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3.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Ex1.xml" ContentType="application/vnd.ms-office.chartex+xml"/>
  <Override PartName="/word/charts/style16.xml" ContentType="application/vnd.ms-office.chartstyle+xml"/>
  <Override PartName="/word/charts/colors1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C0E8D" w14:textId="77777777" w:rsidR="005D5091" w:rsidRPr="00935F3A" w:rsidRDefault="00EB175B" w:rsidP="00095E58">
      <w:pPr>
        <w:pBdr>
          <w:bottom w:val="single" w:sz="6" w:space="1" w:color="auto"/>
        </w:pBdr>
        <w:rPr>
          <w:b/>
          <w:color w:val="0F4761" w:themeColor="accent1" w:themeShade="BF"/>
          <w:sz w:val="60"/>
          <w:szCs w:val="60"/>
        </w:rPr>
      </w:pPr>
      <w:r w:rsidRPr="00935F3A">
        <w:rPr>
          <w:b/>
          <w:color w:val="0F4761" w:themeColor="accent1" w:themeShade="BF"/>
          <w:sz w:val="60"/>
          <w:szCs w:val="60"/>
        </w:rPr>
        <w:t>Independent Review</w:t>
      </w:r>
      <w:r w:rsidR="00C64F1C" w:rsidRPr="00935F3A">
        <w:rPr>
          <w:b/>
          <w:color w:val="0F4761" w:themeColor="accent1" w:themeShade="BF"/>
          <w:sz w:val="60"/>
          <w:szCs w:val="60"/>
        </w:rPr>
        <w:t xml:space="preserve"> of the V</w:t>
      </w:r>
      <w:r w:rsidR="00974D40" w:rsidRPr="00935F3A">
        <w:rPr>
          <w:b/>
          <w:color w:val="0F4761" w:themeColor="accent1" w:themeShade="BF"/>
          <w:sz w:val="60"/>
          <w:szCs w:val="60"/>
        </w:rPr>
        <w:t>ictorian Public Service</w:t>
      </w:r>
    </w:p>
    <w:p w14:paraId="0A20AADE" w14:textId="6631CD57" w:rsidR="00EB175B" w:rsidRPr="00935F3A" w:rsidRDefault="00EB175B" w:rsidP="00EB175B">
      <w:pPr>
        <w:rPr>
          <w:b/>
          <w:color w:val="0F4761" w:themeColor="accent1" w:themeShade="BF"/>
          <w:sz w:val="50"/>
          <w:szCs w:val="50"/>
        </w:rPr>
      </w:pPr>
      <w:r w:rsidRPr="00935F3A">
        <w:rPr>
          <w:b/>
          <w:color w:val="0F4761" w:themeColor="accent1" w:themeShade="BF"/>
          <w:sz w:val="50"/>
          <w:szCs w:val="50"/>
        </w:rPr>
        <w:t>Final Report</w:t>
      </w:r>
    </w:p>
    <w:p w14:paraId="7F938306" w14:textId="77777777" w:rsidR="007A26B7" w:rsidRDefault="007A26B7" w:rsidP="00EB175B">
      <w:pPr>
        <w:rPr>
          <w:sz w:val="40"/>
          <w:szCs w:val="40"/>
        </w:rPr>
      </w:pPr>
    </w:p>
    <w:p w14:paraId="033418AA" w14:textId="77777777" w:rsidR="00E7705B" w:rsidRDefault="00CE1BC2" w:rsidP="00EB175B">
      <w:pPr>
        <w:rPr>
          <w:sz w:val="30"/>
          <w:szCs w:val="30"/>
        </w:rPr>
      </w:pPr>
      <w:r w:rsidRPr="007A26B7">
        <w:rPr>
          <w:sz w:val="30"/>
          <w:szCs w:val="30"/>
        </w:rPr>
        <w:t>June</w:t>
      </w:r>
      <w:r w:rsidR="00EB175B" w:rsidRPr="007A26B7">
        <w:rPr>
          <w:sz w:val="30"/>
          <w:szCs w:val="30"/>
        </w:rPr>
        <w:t xml:space="preserve"> 2025</w:t>
      </w:r>
    </w:p>
    <w:p w14:paraId="7CD5F6C3" w14:textId="582A181F" w:rsidR="00B21FC4" w:rsidRDefault="00B21FC4">
      <w:pPr>
        <w:rPr>
          <w:sz w:val="30"/>
          <w:szCs w:val="30"/>
        </w:rPr>
      </w:pPr>
      <w:r>
        <w:rPr>
          <w:sz w:val="30"/>
          <w:szCs w:val="30"/>
        </w:rPr>
        <w:br w:type="page"/>
      </w:r>
    </w:p>
    <w:p w14:paraId="46964153" w14:textId="528C9038" w:rsidR="003E1982" w:rsidRDefault="003E1982" w:rsidP="00A12536">
      <w:pPr>
        <w:pStyle w:val="Heading1"/>
      </w:pPr>
      <w:bookmarkStart w:id="0" w:name="_Toc202523956"/>
      <w:bookmarkStart w:id="1" w:name="_Toc214911976"/>
      <w:r>
        <w:lastRenderedPageBreak/>
        <w:t>Acknowledgement</w:t>
      </w:r>
      <w:r w:rsidR="001F5950">
        <w:t xml:space="preserve"> of Country</w:t>
      </w:r>
      <w:bookmarkEnd w:id="0"/>
      <w:bookmarkEnd w:id="1"/>
    </w:p>
    <w:p w14:paraId="0B6B2441" w14:textId="28C5E2CC" w:rsidR="003E1982" w:rsidRDefault="00B144F8" w:rsidP="00B144F8">
      <w:r w:rsidRPr="00B144F8">
        <w:t xml:space="preserve">The </w:t>
      </w:r>
      <w:r>
        <w:t>Independent Review</w:t>
      </w:r>
      <w:r w:rsidRPr="00B144F8">
        <w:t xml:space="preserve"> acknowledges that Aboriginal and Torres Strait Islander peoples are the First Peoples and Traditional Custodians of Australia, and the oldest continuing culture in human history. We proudly acknowledge Victoria’s Aboriginal communities and recognise the value and ongoing contribution of Aboriginal people and communities to Victorian life. We pay our respect to Elders past and present.</w:t>
      </w:r>
    </w:p>
    <w:p w14:paraId="314334F9" w14:textId="77777777" w:rsidR="003E1982" w:rsidRDefault="003E1982" w:rsidP="003D2E22"/>
    <w:p w14:paraId="11EF77A3" w14:textId="7189B4B4" w:rsidR="00851224" w:rsidRDefault="00851224" w:rsidP="00851224">
      <w:r>
        <w:br w:type="page"/>
      </w:r>
    </w:p>
    <w:p w14:paraId="795E28B6" w14:textId="2BD5154E" w:rsidR="000D5BAB" w:rsidRPr="004A33B6" w:rsidRDefault="000D5BAB" w:rsidP="00A12536">
      <w:pPr>
        <w:pStyle w:val="Heading1"/>
      </w:pPr>
      <w:bookmarkStart w:id="2" w:name="_Toc202523957"/>
      <w:bookmarkStart w:id="3" w:name="_Toc214911977"/>
      <w:r>
        <w:lastRenderedPageBreak/>
        <w:t>Letter of transmission</w:t>
      </w:r>
      <w:bookmarkEnd w:id="2"/>
      <w:bookmarkEnd w:id="3"/>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16"/>
      </w:tblGrid>
      <w:tr w:rsidR="000D5BAB" w14:paraId="722B0DCD" w14:textId="77777777" w:rsidTr="008E5CA9">
        <w:trPr>
          <w:trHeight w:val="11339"/>
        </w:trPr>
        <w:tc>
          <w:tcPr>
            <w:tcW w:w="9016" w:type="dxa"/>
          </w:tcPr>
          <w:p w14:paraId="2C4CBF56" w14:textId="77777777" w:rsidR="000D5BAB" w:rsidRDefault="000D5BAB" w:rsidP="00877FCD">
            <w:pPr>
              <w:pStyle w:val="NoSpacing"/>
            </w:pPr>
          </w:p>
          <w:p w14:paraId="17550B67" w14:textId="304143DD" w:rsidR="000D5BAB" w:rsidRDefault="000D5BAB" w:rsidP="00877FCD">
            <w:pPr>
              <w:pStyle w:val="NoSpacing"/>
              <w:rPr>
                <w:noProof/>
              </w:rPr>
            </w:pPr>
          </w:p>
          <w:p w14:paraId="5C1592A0" w14:textId="77777777" w:rsidR="004513FA" w:rsidRDefault="004513FA" w:rsidP="00877FCD">
            <w:pPr>
              <w:pStyle w:val="NoSpacing"/>
            </w:pPr>
          </w:p>
          <w:p w14:paraId="34A33AFF" w14:textId="77777777" w:rsidR="000D5BAB" w:rsidRDefault="000D5BAB" w:rsidP="00877FCD">
            <w:pPr>
              <w:pStyle w:val="NoSpacing"/>
            </w:pPr>
          </w:p>
          <w:p w14:paraId="751B1489" w14:textId="77777777" w:rsidR="000D5BAB" w:rsidRDefault="000D5BAB" w:rsidP="00877FCD">
            <w:pPr>
              <w:pStyle w:val="NoSpacing"/>
            </w:pPr>
          </w:p>
          <w:p w14:paraId="2AEFCC0C" w14:textId="77777777" w:rsidR="000D5BAB" w:rsidRDefault="000D5BAB" w:rsidP="00877FCD">
            <w:pPr>
              <w:pStyle w:val="NoSpacing"/>
            </w:pPr>
          </w:p>
          <w:p w14:paraId="4C73C100" w14:textId="77777777" w:rsidR="000D5BAB" w:rsidRDefault="000D5BAB" w:rsidP="00877FCD">
            <w:pPr>
              <w:pStyle w:val="NoSpacing"/>
            </w:pPr>
          </w:p>
          <w:p w14:paraId="0FBFF246" w14:textId="77777777" w:rsidR="000D5BAB" w:rsidRPr="001D1B57" w:rsidRDefault="000D5BAB" w:rsidP="00877FCD">
            <w:pPr>
              <w:pStyle w:val="NoSpacing"/>
              <w:rPr>
                <w:szCs w:val="22"/>
              </w:rPr>
            </w:pPr>
            <w:r w:rsidRPr="001D1B57">
              <w:rPr>
                <w:szCs w:val="22"/>
              </w:rPr>
              <w:t>3 Treasury Place</w:t>
            </w:r>
          </w:p>
          <w:p w14:paraId="51BE0FAA" w14:textId="5570AF00" w:rsidR="000D5BAB" w:rsidRPr="001D1B57" w:rsidRDefault="000D5BAB" w:rsidP="00877FCD">
            <w:pPr>
              <w:pStyle w:val="NoSpacing"/>
              <w:rPr>
                <w:szCs w:val="22"/>
              </w:rPr>
            </w:pPr>
            <w:r w:rsidRPr="001D1B57">
              <w:rPr>
                <w:szCs w:val="22"/>
              </w:rPr>
              <w:t>East Melbourne VIC 300</w:t>
            </w:r>
            <w:r w:rsidR="00C64F1C">
              <w:rPr>
                <w:szCs w:val="22"/>
              </w:rPr>
              <w:t>2</w:t>
            </w:r>
            <w:r w:rsidRPr="001D1B57">
              <w:rPr>
                <w:szCs w:val="22"/>
              </w:rPr>
              <w:t xml:space="preserve"> </w:t>
            </w:r>
          </w:p>
          <w:p w14:paraId="5BCAE96E" w14:textId="77777777" w:rsidR="000D5BAB" w:rsidRDefault="000D5BAB" w:rsidP="00877FCD">
            <w:pPr>
              <w:pStyle w:val="NoSpacing"/>
              <w:rPr>
                <w:szCs w:val="22"/>
              </w:rPr>
            </w:pPr>
          </w:p>
          <w:p w14:paraId="126A03B8" w14:textId="77777777" w:rsidR="000D5BAB" w:rsidRDefault="000D5BAB" w:rsidP="00877FCD">
            <w:pPr>
              <w:pStyle w:val="NoSpacing"/>
              <w:rPr>
                <w:szCs w:val="22"/>
              </w:rPr>
            </w:pPr>
          </w:p>
          <w:p w14:paraId="081D6CC2" w14:textId="77777777" w:rsidR="000D5BAB" w:rsidRPr="001D1B57" w:rsidRDefault="000D5BAB" w:rsidP="00877FCD">
            <w:pPr>
              <w:pStyle w:val="NoSpacing"/>
              <w:rPr>
                <w:szCs w:val="22"/>
              </w:rPr>
            </w:pPr>
            <w:r w:rsidRPr="001D1B57">
              <w:rPr>
                <w:szCs w:val="22"/>
              </w:rPr>
              <w:t>Jaclyn Symes MP</w:t>
            </w:r>
          </w:p>
          <w:p w14:paraId="6BE209D1" w14:textId="77777777" w:rsidR="000D5BAB" w:rsidRPr="001D1B57" w:rsidRDefault="000D5BAB" w:rsidP="00877FCD">
            <w:pPr>
              <w:pStyle w:val="NoSpacing"/>
              <w:rPr>
                <w:szCs w:val="22"/>
              </w:rPr>
            </w:pPr>
            <w:r w:rsidRPr="001D1B57">
              <w:rPr>
                <w:szCs w:val="22"/>
              </w:rPr>
              <w:t>Treasurer</w:t>
            </w:r>
          </w:p>
          <w:p w14:paraId="599F91BB" w14:textId="51167CA1" w:rsidR="000D5BAB" w:rsidRPr="001D1B57" w:rsidRDefault="000D5BAB" w:rsidP="00877FCD">
            <w:pPr>
              <w:pStyle w:val="NoSpacing"/>
              <w:rPr>
                <w:szCs w:val="22"/>
              </w:rPr>
            </w:pPr>
            <w:r w:rsidRPr="001D1B57">
              <w:rPr>
                <w:szCs w:val="22"/>
              </w:rPr>
              <w:t>1 Treasury Pl</w:t>
            </w:r>
            <w:r w:rsidR="00931255">
              <w:rPr>
                <w:szCs w:val="22"/>
              </w:rPr>
              <w:t>ace</w:t>
            </w:r>
          </w:p>
          <w:p w14:paraId="59A6A80C" w14:textId="77777777" w:rsidR="000D5BAB" w:rsidRPr="001D1B57" w:rsidRDefault="000D5BAB" w:rsidP="00877FCD">
            <w:pPr>
              <w:pStyle w:val="NoSpacing"/>
              <w:rPr>
                <w:szCs w:val="22"/>
              </w:rPr>
            </w:pPr>
            <w:r w:rsidRPr="001D1B57">
              <w:rPr>
                <w:szCs w:val="22"/>
              </w:rPr>
              <w:t>East Melbourne VIC 3002</w:t>
            </w:r>
          </w:p>
          <w:p w14:paraId="6989AA86" w14:textId="77777777" w:rsidR="000D5BAB" w:rsidRDefault="000D5BAB" w:rsidP="00877FCD">
            <w:pPr>
              <w:pStyle w:val="NoSpacing"/>
            </w:pPr>
          </w:p>
          <w:p w14:paraId="615FD289" w14:textId="77777777" w:rsidR="000D5BAB" w:rsidRDefault="000D5BAB" w:rsidP="00877FCD">
            <w:pPr>
              <w:pStyle w:val="NoSpacing"/>
            </w:pPr>
          </w:p>
          <w:p w14:paraId="341CB546" w14:textId="77777777" w:rsidR="000D5BAB" w:rsidRDefault="000D5BAB" w:rsidP="00877FCD">
            <w:pPr>
              <w:pStyle w:val="NoSpacing"/>
            </w:pPr>
          </w:p>
          <w:p w14:paraId="4C6320A9" w14:textId="5EF68111" w:rsidR="000D5BAB" w:rsidRPr="001D1B57" w:rsidRDefault="000D5BAB" w:rsidP="00877FCD">
            <w:pPr>
              <w:pStyle w:val="NoSpacing"/>
              <w:rPr>
                <w:szCs w:val="22"/>
              </w:rPr>
            </w:pPr>
            <w:r w:rsidRPr="001D1B57">
              <w:rPr>
                <w:szCs w:val="22"/>
              </w:rPr>
              <w:t>Dear Treasurer</w:t>
            </w:r>
          </w:p>
          <w:p w14:paraId="11E8D242" w14:textId="77777777" w:rsidR="000D5BAB" w:rsidRPr="001D1B57" w:rsidRDefault="000D5BAB" w:rsidP="00877FCD">
            <w:pPr>
              <w:pStyle w:val="NoSpacing"/>
              <w:rPr>
                <w:szCs w:val="22"/>
              </w:rPr>
            </w:pPr>
          </w:p>
          <w:p w14:paraId="2BD6DFCE" w14:textId="77777777" w:rsidR="000D5BAB" w:rsidRPr="001D1B57" w:rsidRDefault="000D5BAB" w:rsidP="00877FCD">
            <w:pPr>
              <w:pStyle w:val="NoSpacing"/>
              <w:rPr>
                <w:szCs w:val="22"/>
              </w:rPr>
            </w:pPr>
            <w:r w:rsidRPr="001D1B57">
              <w:rPr>
                <w:szCs w:val="22"/>
              </w:rPr>
              <w:t>I have pleasure in submitting to you the Final Report of the Independent Review of the Victorian Public Service.</w:t>
            </w:r>
          </w:p>
          <w:p w14:paraId="6D54B3A8" w14:textId="77777777" w:rsidR="000D5BAB" w:rsidRPr="001D1B57" w:rsidRDefault="000D5BAB" w:rsidP="00877FCD">
            <w:pPr>
              <w:pStyle w:val="NoSpacing"/>
              <w:rPr>
                <w:szCs w:val="22"/>
              </w:rPr>
            </w:pPr>
          </w:p>
          <w:p w14:paraId="657D1B5B" w14:textId="77777777" w:rsidR="000D5BAB" w:rsidRPr="001D1B57" w:rsidRDefault="000D5BAB" w:rsidP="00877FCD">
            <w:pPr>
              <w:pStyle w:val="NoSpacing"/>
              <w:rPr>
                <w:szCs w:val="22"/>
              </w:rPr>
            </w:pPr>
            <w:r w:rsidRPr="001D1B57">
              <w:rPr>
                <w:szCs w:val="22"/>
              </w:rPr>
              <w:t>Yours sincerely</w:t>
            </w:r>
          </w:p>
          <w:p w14:paraId="27308759" w14:textId="3E6521A4" w:rsidR="000D5BAB" w:rsidRDefault="000D5BAB" w:rsidP="00877FCD">
            <w:pPr>
              <w:pStyle w:val="NoSpacing"/>
            </w:pPr>
          </w:p>
          <w:p w14:paraId="0BC51962" w14:textId="2AFA973C" w:rsidR="000D5BAB" w:rsidRDefault="00B41F12" w:rsidP="00877FCD">
            <w:pPr>
              <w:pStyle w:val="NoSpacing"/>
            </w:pPr>
            <w:r>
              <w:rPr>
                <w:noProof/>
              </w:rPr>
              <w:drawing>
                <wp:inline distT="0" distB="0" distL="0" distR="0" wp14:anchorId="6A889EB4" wp14:editId="3DBC1BAB">
                  <wp:extent cx="1123573" cy="775411"/>
                  <wp:effectExtent l="0" t="0" r="635" b="5715"/>
                  <wp:docPr id="746066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066199" name=""/>
                          <pic:cNvPicPr/>
                        </pic:nvPicPr>
                        <pic:blipFill rotWithShape="1">
                          <a:blip r:embed="rId12">
                            <a:alphaModFix/>
                            <a:extLst>
                              <a:ext uri="{BEBA8EAE-BF5A-486C-A8C5-ECC9F3942E4B}">
                                <a14:imgProps xmlns:a14="http://schemas.microsoft.com/office/drawing/2010/main">
                                  <a14:imgLayer r:embed="rId13">
                                    <a14:imgEffect>
                                      <a14:backgroundRemoval t="6625" b="95584" l="10088" r="97588">
                                        <a14:foregroundMark x1="26268" y1="38008" x2="24849" y2="43058"/>
                                        <a14:foregroundMark x1="27375" y1="34069" x2="27240" y2="34549"/>
                                        <a14:foregroundMark x1="28084" y1="31546" x2="27375" y2="34069"/>
                                        <a14:foregroundMark x1="28616" y1="29653" x2="28084" y2="31546"/>
                                        <a14:foregroundMark x1="35088" y1="6625" x2="28616" y2="29653"/>
                                        <a14:foregroundMark x1="16964" y1="65334" x2="17105" y2="65300"/>
                                        <a14:foregroundMark x1="14474" y1="65931" x2="15618" y2="65656"/>
                                        <a14:foregroundMark x1="27881" y1="59612" x2="33553" y2="47003"/>
                                        <a14:foregroundMark x1="33553" y1="47003" x2="29825" y2="55521"/>
                                        <a14:foregroundMark x1="26949" y1="64353" x2="26776" y2="64839"/>
                                        <a14:foregroundMark x1="27061" y1="64038" x2="26949" y2="64353"/>
                                        <a14:foregroundMark x1="27510" y1="62776" x2="27061" y2="64038"/>
                                        <a14:foregroundMark x1="27846" y1="61830" x2="27510" y2="62776"/>
                                        <a14:foregroundMark x1="28070" y1="61199" x2="27846" y2="61830"/>
                                        <a14:foregroundMark x1="26847" y1="65931" x2="26974" y2="65615"/>
                                        <a14:foregroundMark x1="26592" y1="66562" x2="26847" y2="65931"/>
                                        <a14:foregroundMark x1="26210" y1="67508" x2="26592" y2="66562"/>
                                        <a14:foregroundMark x1="26054" y1="67894" x2="26210" y2="67508"/>
                                        <a14:foregroundMark x1="24682" y1="71293" x2="25457" y2="69373"/>
                                        <a14:foregroundMark x1="38359" y1="74763" x2="39474" y2="74448"/>
                                        <a14:foregroundMark x1="37796" y1="74922" x2="38359" y2="74763"/>
                                        <a14:foregroundMark x1="29267" y1="77332" x2="31550" y2="76687"/>
                                        <a14:foregroundMark x1="39596" y1="73921" x2="42325" y2="62145"/>
                                        <a14:foregroundMark x1="39474" y1="74448" x2="39453" y2="74538"/>
                                        <a14:foregroundMark x1="40281" y1="77017" x2="40519" y2="77178"/>
                                        <a14:foregroundMark x1="39967" y1="76804" x2="39953" y2="76794"/>
                                        <a14:foregroundMark x1="38816" y1="76025" x2="39748" y2="76656"/>
                                        <a14:foregroundMark x1="51094" y1="80126" x2="54825" y2="80442"/>
                                        <a14:foregroundMark x1="47375" y1="79811" x2="51094" y2="80126"/>
                                        <a14:foregroundMark x1="43845" y1="79512" x2="47375" y2="79811"/>
                                        <a14:foregroundMark x1="79611" y1="47406" x2="79405" y2="46826"/>
                                        <a14:foregroundMark x1="68308" y1="35766" x2="68046" y2="35794"/>
                                        <a14:foregroundMark x1="78025" y1="67875" x2="78145" y2="68139"/>
                                        <a14:foregroundMark x1="68859" y1="47803" x2="69934" y2="50158"/>
                                        <a14:foregroundMark x1="68516" y1="47051" x2="68828" y2="47735"/>
                                        <a14:foregroundMark x1="71742" y1="84858" x2="71491" y2="85489"/>
                                        <a14:foregroundMark x1="71808" y1="84693" x2="71742" y2="84858"/>
                                        <a14:foregroundMark x1="73127" y1="81388" x2="73001" y2="81703"/>
                                        <a14:foregroundMark x1="73253" y1="81073" x2="73127" y2="81388"/>
                                        <a14:foregroundMark x1="73379" y1="80757" x2="73253" y2="81073"/>
                                        <a14:foregroundMark x1="73504" y1="80442" x2="73379" y2="80757"/>
                                        <a14:foregroundMark x1="73630" y1="80126" x2="73504" y2="80442"/>
                                        <a14:foregroundMark x1="74511" y1="77918" x2="73630" y2="80126"/>
                                        <a14:foregroundMark x1="74889" y1="76972" x2="74511" y2="77918"/>
                                        <a14:foregroundMark x1="75015" y1="76656" x2="74889" y2="76972"/>
                                        <a14:foregroundMark x1="75099" y1="76446" x2="75015" y2="76656"/>
                                        <a14:foregroundMark x1="74871" y1="85745" x2="75658" y2="85804"/>
                                        <a14:foregroundMark x1="71491" y1="85489" x2="72664" y2="85578"/>
                                        <a14:foregroundMark x1="79532" y1="85174" x2="79386" y2="85804"/>
                                        <a14:foregroundMark x1="80482" y1="81073" x2="79532" y2="85174"/>
                                        <a14:foregroundMark x1="87500" y1="61199" x2="87500" y2="60568"/>
                                        <a14:foregroundMark x1="97370" y1="75693" x2="97588" y2="75710"/>
                                        <a14:foregroundMark x1="88010" y1="74972" x2="88545" y2="75013"/>
                                        <a14:foregroundMark x1="92811" y1="82334" x2="91447" y2="84227"/>
                                        <a14:foregroundMark x1="93038" y1="82019" x2="92811" y2="82334"/>
                                        <a14:foregroundMark x1="93316" y1="81634" x2="93038" y2="82019"/>
                                        <a14:foregroundMark x1="93494" y1="81388" x2="93370" y2="81560"/>
                                        <a14:foregroundMark x1="94194" y1="80417" x2="93494" y2="81388"/>
                                        <a14:foregroundMark x1="97588" y1="75710" x2="97361" y2="76025"/>
                                        <a14:foregroundMark x1="26042" y1="62776" x2="28728" y2="58360"/>
                                        <a14:foregroundMark x1="25275" y1="64038" x2="26042" y2="62776"/>
                                        <a14:foregroundMark x1="25083" y1="64353" x2="25275" y2="64038"/>
                                        <a14:foregroundMark x1="24123" y1="65931" x2="25083" y2="64353"/>
                                        <a14:foregroundMark x1="12719" y1="89274" x2="16228" y2="77287"/>
                                        <a14:foregroundMark x1="74945" y1="84543" x2="74781" y2="84858"/>
                                        <a14:foregroundMark x1="75110" y1="84227" x2="74945" y2="84543"/>
                                        <a14:foregroundMark x1="75274" y1="83912" x2="75110" y2="84227"/>
                                        <a14:foregroundMark x1="75439" y1="83596" x2="75274" y2="83912"/>
                                        <a14:foregroundMark x1="76096" y1="82334" x2="75439" y2="83596"/>
                                        <a14:foregroundMark x1="29386" y1="29653" x2="28289" y2="32808"/>
                                        <a14:foregroundMark x1="63596" y1="87382" x2="67105" y2="83596"/>
                                        <a14:foregroundMark x1="87939" y1="59306" x2="89254" y2="59306"/>
                                        <a14:backgroundMark x1="26096" y1="51735" x2="21053" y2="66877"/>
                                        <a14:backgroundMark x1="21053" y1="66877" x2="28289" y2="53312"/>
                                        <a14:backgroundMark x1="32456" y1="79495" x2="36184" y2="75079"/>
                                        <a14:backgroundMark x1="20175" y1="76656" x2="21272" y2="71293"/>
                                        <a14:backgroundMark x1="69737" y1="39748" x2="77632" y2="55521"/>
                                        <a14:backgroundMark x1="77632" y1="55521" x2="91228" y2="49842"/>
                                        <a14:backgroundMark x1="91228" y1="49842" x2="96053" y2="64984"/>
                                        <a14:backgroundMark x1="96053" y1="64984" x2="83553" y2="67508"/>
                                        <a14:backgroundMark x1="83553" y1="67508" x2="83333" y2="67192"/>
                                        <a14:backgroundMark x1="68860" y1="37224" x2="69956" y2="39432"/>
                                        <a14:backgroundMark x1="75219" y1="70662" x2="72149" y2="54890"/>
                                        <a14:backgroundMark x1="72149" y1="54890" x2="75439" y2="76341"/>
                                        <a14:backgroundMark x1="75439" y1="76341" x2="76974" y2="71924"/>
                                        <a14:backgroundMark x1="68860" y1="85804" x2="68860" y2="85804"/>
                                        <a14:backgroundMark x1="71053" y1="82650" x2="71053" y2="82650"/>
                                        <a14:backgroundMark x1="71930" y1="82965" x2="71930" y2="82965"/>
                                        <a14:backgroundMark x1="74342" y1="80442" x2="74342" y2="80442"/>
                                        <a14:backgroundMark x1="67763" y1="41956" x2="67763" y2="41956"/>
                                        <a14:backgroundMark x1="65789" y1="39432" x2="65789" y2="39432"/>
                                        <a14:backgroundMark x1="64912" y1="37855" x2="64912" y2="37855"/>
                                        <a14:backgroundMark x1="67105" y1="36593" x2="67105" y2="36593"/>
                                        <a14:backgroundMark x1="71930" y1="36593" x2="71930" y2="36593"/>
                                        <a14:backgroundMark x1="75439" y1="39748" x2="75439" y2="39748"/>
                                        <a14:backgroundMark x1="77412" y1="41956" x2="77412" y2="41956"/>
                                        <a14:backgroundMark x1="75658" y1="38170" x2="75658" y2="38170"/>
                                        <a14:backgroundMark x1="73684" y1="36278" x2="73684" y2="36278"/>
                                        <a14:backgroundMark x1="65789" y1="41640" x2="65789" y2="41640"/>
                                        <a14:backgroundMark x1="65789" y1="37855" x2="65789" y2="37855"/>
                                        <a14:backgroundMark x1="69737" y1="35647" x2="69737" y2="35647"/>
                                        <a14:backgroundMark x1="89912" y1="75394" x2="89912" y2="75394"/>
                                        <a14:backgroundMark x1="89254" y1="79495" x2="89254" y2="79495"/>
                                        <a14:backgroundMark x1="86842" y1="76656" x2="86842" y2="76656"/>
                                        <a14:backgroundMark x1="89693" y1="78549" x2="89693" y2="78549"/>
                                        <a14:backgroundMark x1="92982" y1="76972" x2="92982" y2="76972"/>
                                        <a14:backgroundMark x1="92982" y1="79180" x2="92982" y2="79180"/>
                                        <a14:backgroundMark x1="93421" y1="77918" x2="93421" y2="77918"/>
                                        <a14:backgroundMark x1="94298" y1="76025" x2="94298" y2="76025"/>
                                        <a14:backgroundMark x1="23684" y1="71293" x2="23684" y2="71293"/>
                                        <a14:backgroundMark x1="25877" y1="66562" x2="25877" y2="66562"/>
                                        <a14:backgroundMark x1="41667" y1="77603" x2="41667" y2="77603"/>
                                        <a14:backgroundMark x1="41009" y1="79811" x2="41009" y2="79811"/>
                                        <a14:backgroundMark x1="40132" y1="78549" x2="40132" y2="78549"/>
                                        <a14:backgroundMark x1="41009" y1="77603" x2="41009" y2="77603"/>
                                        <a14:backgroundMark x1="41009" y1="74763" x2="41009" y2="74763"/>
                                        <a14:backgroundMark x1="40351" y1="76656" x2="40351" y2="76656"/>
                                        <a14:backgroundMark x1="42325" y1="77918" x2="42325" y2="77918"/>
                                        <a14:backgroundMark x1="40132" y1="78549" x2="40132" y2="78549"/>
                                        <a14:backgroundMark x1="17763" y1="66877" x2="17763" y2="66877"/>
                                        <a14:backgroundMark x1="17763" y1="67508" x2="17763" y2="67508"/>
                                        <a14:backgroundMark x1="16228" y1="65615" x2="16228" y2="65615"/>
                                        <a14:backgroundMark x1="17763" y1="65615" x2="17763" y2="65615"/>
                                        <a14:backgroundMark x1="18202" y1="67508" x2="18202" y2="67508"/>
                                        <a14:backgroundMark x1="16886" y1="65931" x2="16886" y2="65931"/>
                                        <a14:backgroundMark x1="17982" y1="65615" x2="17982" y2="65615"/>
                                        <a14:backgroundMark x1="87939" y1="75394" x2="87939" y2="75394"/>
                                        <a14:backgroundMark x1="91228" y1="74763" x2="91228" y2="74763"/>
                                        <a14:backgroundMark x1="92105" y1="74763" x2="92105" y2="74763"/>
                                        <a14:backgroundMark x1="92325" y1="76341" x2="92325" y2="76341"/>
                                        <a14:backgroundMark x1="93202" y1="76025" x2="90351" y2="74763"/>
                                        <a14:backgroundMark x1="94079" y1="75079" x2="94079" y2="75079"/>
                                        <a14:backgroundMark x1="95614" y1="76025" x2="95614" y2="76025"/>
                                        <a14:backgroundMark x1="95614" y1="76025" x2="95614" y2="76025"/>
                                        <a14:backgroundMark x1="94518" y1="76025" x2="94518" y2="76025"/>
                                        <a14:backgroundMark x1="94079" y1="75079" x2="94079" y2="75079"/>
                                        <a14:backgroundMark x1="92544" y1="75394" x2="92544" y2="75394"/>
                                        <a14:backgroundMark x1="86842" y1="76025" x2="86842" y2="76025"/>
                                        <a14:backgroundMark x1="87939" y1="75394" x2="87939" y2="75394"/>
                                        <a14:backgroundMark x1="87500" y1="73817" x2="87500" y2="73817"/>
                                        <a14:backgroundMark x1="87500" y1="74448" x2="87500" y2="74448"/>
                                        <a14:backgroundMark x1="87061" y1="75079" x2="87061" y2="75079"/>
                                        <a14:backgroundMark x1="87061" y1="75079" x2="87719" y2="74448"/>
                                        <a14:backgroundMark x1="89693" y1="73817" x2="88596" y2="75079"/>
                                        <a14:backgroundMark x1="87939" y1="74763" x2="86623" y2="73817"/>
                                        <a14:backgroundMark x1="93640" y1="74448" x2="93640" y2="79811"/>
                                        <a14:backgroundMark x1="92982" y1="80126" x2="92982" y2="79811"/>
                                        <a14:backgroundMark x1="68860" y1="36909" x2="77632" y2="48896"/>
                                        <a14:backgroundMark x1="77632" y1="48896" x2="71491" y2="34385"/>
                                        <a14:backgroundMark x1="71491" y1="34385" x2="68860" y2="36593"/>
                                        <a14:backgroundMark x1="65351" y1="40379" x2="65351" y2="40379"/>
                                        <a14:backgroundMark x1="65351" y1="40063" x2="65351" y2="40063"/>
                                        <a14:backgroundMark x1="66009" y1="42587" x2="66009" y2="42587"/>
                                        <a14:backgroundMark x1="66886" y1="43533" x2="66886" y2="43533"/>
                                        <a14:backgroundMark x1="67982" y1="45110" x2="67982" y2="45110"/>
                                        <a14:backgroundMark x1="66447" y1="41325" x2="66447" y2="41325"/>
                                        <a14:backgroundMark x1="66886" y1="43218" x2="66886" y2="43218"/>
                                        <a14:backgroundMark x1="67982" y1="44795" x2="67982" y2="44795"/>
                                        <a14:backgroundMark x1="23684" y1="50158" x2="23684" y2="50158"/>
                                        <a14:backgroundMark x1="24342" y1="46372" x2="24342" y2="46372"/>
                                        <a14:backgroundMark x1="24123" y1="44479" x2="23904" y2="47319"/>
                                        <a14:backgroundMark x1="23246" y1="49842" x2="24123" y2="48580"/>
                                        <a14:backgroundMark x1="22807" y1="49842" x2="23246" y2="48265"/>
                                        <a14:backgroundMark x1="22807" y1="49842" x2="23684" y2="44479"/>
                                        <a14:backgroundMark x1="23026" y1="48265" x2="27604" y2="32350"/>
                                        <a14:backgroundMark x1="22807" y1="49527" x2="24561" y2="45741"/>
                                        <a14:backgroundMark x1="28595" y1="29126" x2="31140" y2="19243"/>
                                        <a14:backgroundMark x1="24561" y1="44795" x2="27742" y2="32442"/>
                                        <a14:backgroundMark x1="28476" y1="29046" x2="32018" y2="16719"/>
                                        <a14:backgroundMark x1="25219" y1="40379" x2="27539" y2="32307"/>
                                        <a14:backgroundMark x1="11623" y1="88328" x2="16228" y2="73186"/>
                                        <a14:backgroundMark x1="10526" y1="94006" x2="16667" y2="73186"/>
                                        <a14:backgroundMark x1="18421" y1="64984" x2="17105" y2="65300"/>
                                        <a14:backgroundMark x1="17763" y1="69401" x2="17325" y2="67823"/>
                                        <a14:backgroundMark x1="16228" y1="64353" x2="15351" y2="65300"/>
                                        <a14:backgroundMark x1="17105" y1="69401" x2="17763" y2="70662"/>
                                        <a14:backgroundMark x1="16009" y1="73186" x2="16886" y2="72555"/>
                                        <a14:backgroundMark x1="14912" y1="68139" x2="14693" y2="67192"/>
                                        <a14:backgroundMark x1="14912" y1="66246" x2="14912" y2="66246"/>
                                        <a14:backgroundMark x1="14474" y1="65931" x2="14474" y2="65931"/>
                                        <a14:backgroundMark x1="16228" y1="66246" x2="16228" y2="66246"/>
                                        <a14:backgroundMark x1="27632" y1="34069" x2="27632" y2="34069"/>
                                        <a14:backgroundMark x1="22807" y1="77287" x2="23246" y2="76341"/>
                                        <a14:backgroundMark x1="22149" y1="76972" x2="25439" y2="68454"/>
                                        <a14:backgroundMark x1="28070" y1="61199" x2="28070" y2="61199"/>
                                        <a14:backgroundMark x1="28728" y1="59621" x2="28728" y2="59621"/>
                                        <a14:backgroundMark x1="25658" y1="65931" x2="25658" y2="65931"/>
                                        <a14:backgroundMark x1="26974" y1="64353" x2="26974" y2="64353"/>
                                        <a14:backgroundMark x1="26535" y1="64038" x2="26535" y2="64038"/>
                                        <a14:backgroundMark x1="26535" y1="64038" x2="26535" y2="64038"/>
                                        <a14:backgroundMark x1="27412" y1="62776" x2="27412" y2="62776"/>
                                        <a14:backgroundMark x1="27193" y1="64038" x2="27193" y2="64038"/>
                                        <a14:backgroundMark x1="25439" y1="69085" x2="25439" y2="69085"/>
                                        <a14:backgroundMark x1="25000" y1="65931" x2="25000" y2="65931"/>
                                        <a14:backgroundMark x1="25658" y1="64353" x2="25658" y2="64353"/>
                                        <a14:backgroundMark x1="31360" y1="78233" x2="33772" y2="76025"/>
                                        <a14:backgroundMark x1="32237" y1="75710" x2="32237" y2="76341"/>
                                        <a14:backgroundMark x1="30702" y1="80442" x2="32456" y2="75079"/>
                                        <a14:backgroundMark x1="26974" y1="78549" x2="28728" y2="78549"/>
                                        <a14:backgroundMark x1="31140" y1="78233" x2="32018" y2="76025"/>
                                        <a14:backgroundMark x1="40570" y1="79180" x2="39912" y2="76972"/>
                                        <a14:backgroundMark x1="34868" y1="78549" x2="37939" y2="74448"/>
                                        <a14:backgroundMark x1="39912" y1="78549" x2="41009" y2="78549"/>
                                        <a14:backgroundMark x1="40351" y1="77287" x2="40132" y2="78864"/>
                                        <a14:backgroundMark x1="40132" y1="77603" x2="40132" y2="76341"/>
                                        <a14:backgroundMark x1="46491" y1="79495" x2="46491" y2="79495"/>
                                        <a14:backgroundMark x1="45833" y1="79180" x2="45833" y2="79180"/>
                                        <a14:backgroundMark x1="45614" y1="80126" x2="45614" y2="80126"/>
                                        <a14:backgroundMark x1="45614" y1="80442" x2="45614" y2="80442"/>
                                        <a14:backgroundMark x1="46711" y1="79495" x2="46711" y2="79495"/>
                                        <a14:backgroundMark x1="46491" y1="80126" x2="46491" y2="80126"/>
                                        <a14:backgroundMark x1="45395" y1="79180" x2="45395" y2="79180"/>
                                        <a14:backgroundMark x1="46491" y1="79811" x2="46491" y2="79811"/>
                                        <a14:backgroundMark x1="45175" y1="79495" x2="45175" y2="79495"/>
                                        <a14:backgroundMark x1="49781" y1="80442" x2="49781" y2="80442"/>
                                        <a14:backgroundMark x1="50219" y1="79811" x2="50219" y2="79811"/>
                                        <a14:backgroundMark x1="50439" y1="79180" x2="50439" y2="79180"/>
                                        <a14:backgroundMark x1="49781" y1="80442" x2="49781" y2="80442"/>
                                        <a14:backgroundMark x1="49342" y1="80442" x2="49342" y2="80442"/>
                                        <a14:backgroundMark x1="49123" y1="80126" x2="49123" y2="80126"/>
                                        <a14:backgroundMark x1="48684" y1="80757" x2="48684" y2="80757"/>
                                        <a14:backgroundMark x1="50877" y1="80126" x2="50877" y2="80126"/>
                                        <a14:backgroundMark x1="49781" y1="80442" x2="49781" y2="80442"/>
                                        <a14:backgroundMark x1="48904" y1="80442" x2="48904" y2="80442"/>
                                        <a14:backgroundMark x1="49781" y1="80442" x2="49781" y2="80442"/>
                                        <a14:backgroundMark x1="53070" y1="80126" x2="53070" y2="80126"/>
                                        <a14:backgroundMark x1="52632" y1="80757" x2="52632" y2="80757"/>
                                        <a14:backgroundMark x1="52632" y1="79811" x2="52632" y2="79811"/>
                                        <a14:backgroundMark x1="43202" y1="79811" x2="43202" y2="79811"/>
                                        <a14:backgroundMark x1="43640" y1="79495" x2="43640" y2="79495"/>
                                        <a14:backgroundMark x1="65132" y1="36278" x2="65132" y2="36278"/>
                                        <a14:backgroundMark x1="66886" y1="36278" x2="66886" y2="36278"/>
                                        <a14:backgroundMark x1="67982" y1="35647" x2="67982" y2="35647"/>
                                        <a14:backgroundMark x1="68202" y1="35647" x2="68202" y2="35647"/>
                                        <a14:backgroundMark x1="68202" y1="35962" x2="65351" y2="40379"/>
                                        <a14:backgroundMark x1="64693" y1="40063" x2="68860" y2="46688"/>
                                        <a14:backgroundMark x1="71491" y1="35331" x2="77632" y2="42587"/>
                                        <a14:backgroundMark x1="80482" y1="47003" x2="81360" y2="50789"/>
                                        <a14:backgroundMark x1="69737" y1="51420" x2="69518" y2="50473"/>
                                        <a14:backgroundMark x1="69298" y1="50789" x2="72368" y2="56151"/>
                                        <a14:backgroundMark x1="77851" y1="68139" x2="77851" y2="69401"/>
                                        <a14:backgroundMark x1="72027" y1="82310" x2="71053" y2="83912"/>
                                        <a14:backgroundMark x1="71053" y1="82334" x2="72588" y2="81703"/>
                                        <a14:backgroundMark x1="74123" y1="76972" x2="74123" y2="76972"/>
                                        <a14:backgroundMark x1="74781" y1="76972" x2="74781" y2="76972"/>
                                        <a14:backgroundMark x1="75000" y1="76656" x2="75000" y2="76656"/>
                                        <a14:backgroundMark x1="74781" y1="77918" x2="74781" y2="77918"/>
                                        <a14:backgroundMark x1="73904" y1="77918" x2="73904" y2="77918"/>
                                        <a14:backgroundMark x1="74342" y1="77918" x2="74342" y2="77918"/>
                                        <a14:backgroundMark x1="73026" y1="85804" x2="73026" y2="85804"/>
                                        <a14:backgroundMark x1="71930" y1="86435" x2="71930" y2="86435"/>
                                        <a14:backgroundMark x1="75658" y1="86120" x2="75658" y2="86120"/>
                                        <a14:backgroundMark x1="74561" y1="86120" x2="74561" y2="86120"/>
                                        <a14:backgroundMark x1="73026" y1="81073" x2="73026" y2="81073"/>
                                        <a14:backgroundMark x1="73465" y1="81388" x2="73465" y2="81388"/>
                                        <a14:backgroundMark x1="73684" y1="81073" x2="73684" y2="81073"/>
                                        <a14:backgroundMark x1="73904" y1="80126" x2="73904" y2="80126"/>
                                        <a14:backgroundMark x1="73684" y1="81073" x2="73684" y2="81073"/>
                                        <a14:backgroundMark x1="73026" y1="80757" x2="73026" y2="80757"/>
                                        <a14:backgroundMark x1="73684" y1="80757" x2="73684" y2="80757"/>
                                        <a14:backgroundMark x1="73684" y1="80442" x2="73684" y2="80442"/>
                                        <a14:backgroundMark x1="73026" y1="82019" x2="73026" y2="82019"/>
                                        <a14:backgroundMark x1="74561" y1="84227" x2="74561" y2="84227"/>
                                        <a14:backgroundMark x1="74781" y1="84543" x2="74781" y2="84543"/>
                                        <a14:backgroundMark x1="75000" y1="83596" x2="75000" y2="83596"/>
                                        <a14:backgroundMark x1="76096" y1="85804" x2="76096" y2="85804"/>
                                        <a14:backgroundMark x1="91886" y1="82334" x2="91886" y2="82334"/>
                                        <a14:backgroundMark x1="92544" y1="82019" x2="92544" y2="82019"/>
                                        <a14:backgroundMark x1="91009" y1="84227" x2="91009" y2="84227"/>
                                        <a14:backgroundMark x1="85965" y1="75394" x2="85965" y2="75394"/>
                                        <a14:backgroundMark x1="86404" y1="75394" x2="86404" y2="75394"/>
                                        <a14:backgroundMark x1="85746" y1="74132" x2="85746" y2="74132"/>
                                        <a14:backgroundMark x1="86404" y1="74763" x2="86404" y2="74763"/>
                                        <a14:backgroundMark x1="97807" y1="76656" x2="97807" y2="76656"/>
                                        <a14:backgroundMark x1="97588" y1="76025" x2="97588" y2="76025"/>
                                        <a14:backgroundMark x1="74781" y1="85804" x2="74781" y2="85804"/>
                                        <a14:backgroundMark x1="75439" y1="85489" x2="75439" y2="85489"/>
                                        <a14:backgroundMark x1="71930" y1="84227" x2="71930" y2="84227"/>
                                        <a14:backgroundMark x1="73465" y1="80126" x2="73465" y2="80126"/>
                                        <a14:backgroundMark x1="72368" y1="86120" x2="72368" y2="86120"/>
                                        <a14:backgroundMark x1="71491" y1="84858" x2="71491" y2="84858"/>
                                        <a14:backgroundMark x1="75000" y1="83912" x2="75000" y2="83912"/>
                                        <a14:backgroundMark x1="93202" y1="81388" x2="93202" y2="81388"/>
                                        <a14:backgroundMark x1="49781" y1="80126" x2="49781" y2="80126"/>
                                        <a14:backgroundMark x1="48684" y1="80442" x2="48684" y2="80442"/>
                                        <a14:backgroundMark x1="54605" y1="81073" x2="54605" y2="81073"/>
                                        <a14:backgroundMark x1="48684" y1="80442" x2="48684" y2="80442"/>
                                      </a14:backgroundRemoval>
                                    </a14:imgEffect>
                                  </a14:imgLayer>
                                </a14:imgProps>
                              </a:ext>
                            </a:extLst>
                          </a:blip>
                          <a:srcRect l="6753" t="4286" b="3144"/>
                          <a:stretch/>
                        </pic:blipFill>
                        <pic:spPr bwMode="auto">
                          <a:xfrm>
                            <a:off x="0" y="0"/>
                            <a:ext cx="1137250" cy="784850"/>
                          </a:xfrm>
                          <a:prstGeom prst="rect">
                            <a:avLst/>
                          </a:prstGeom>
                          <a:noFill/>
                          <a:ln>
                            <a:noFill/>
                          </a:ln>
                          <a:extLst>
                            <a:ext uri="{53640926-AAD7-44D8-BBD7-CCE9431645EC}">
                              <a14:shadowObscured xmlns:a14="http://schemas.microsoft.com/office/drawing/2010/main"/>
                            </a:ext>
                          </a:extLst>
                        </pic:spPr>
                      </pic:pic>
                    </a:graphicData>
                  </a:graphic>
                </wp:inline>
              </w:drawing>
            </w:r>
          </w:p>
          <w:p w14:paraId="57F0727E" w14:textId="77777777" w:rsidR="00B41F12" w:rsidRDefault="00B41F12" w:rsidP="00877FCD">
            <w:pPr>
              <w:pStyle w:val="NoSpacing"/>
            </w:pPr>
          </w:p>
          <w:p w14:paraId="236B72FC" w14:textId="77777777" w:rsidR="000D5BAB" w:rsidRPr="001D1B57" w:rsidRDefault="000D5BAB" w:rsidP="00877FCD">
            <w:pPr>
              <w:pStyle w:val="NoSpacing"/>
              <w:rPr>
                <w:b/>
                <w:bCs/>
                <w:szCs w:val="22"/>
              </w:rPr>
            </w:pPr>
            <w:r w:rsidRPr="001D1B57">
              <w:rPr>
                <w:b/>
                <w:bCs/>
                <w:szCs w:val="22"/>
              </w:rPr>
              <w:t>Helen Silver AO</w:t>
            </w:r>
          </w:p>
          <w:p w14:paraId="054CE648" w14:textId="06885D0C" w:rsidR="000D5BAB" w:rsidRDefault="000D5BAB" w:rsidP="00877FCD">
            <w:pPr>
              <w:pStyle w:val="NoSpacing"/>
            </w:pPr>
            <w:r w:rsidRPr="001D1B57">
              <w:rPr>
                <w:szCs w:val="22"/>
              </w:rPr>
              <w:t xml:space="preserve">Independent Reviewer </w:t>
            </w:r>
          </w:p>
        </w:tc>
      </w:tr>
    </w:tbl>
    <w:p w14:paraId="093D0806" w14:textId="77777777" w:rsidR="00B9112B" w:rsidRDefault="00B9112B" w:rsidP="00B9112B"/>
    <w:p w14:paraId="0536433D" w14:textId="77777777" w:rsidR="00B9112B" w:rsidRDefault="00B9112B" w:rsidP="00B9112B">
      <w:r>
        <w:br w:type="page"/>
      </w:r>
    </w:p>
    <w:p w14:paraId="3E860394" w14:textId="77777777" w:rsidR="00335891" w:rsidRDefault="00335891" w:rsidP="000C1C01">
      <w:bookmarkStart w:id="4" w:name="_Toc202523958"/>
      <w:r>
        <w:lastRenderedPageBreak/>
        <w:br w:type="page"/>
      </w:r>
    </w:p>
    <w:p w14:paraId="4410A68B" w14:textId="5AB07504" w:rsidR="00F30262" w:rsidRDefault="004A20ED" w:rsidP="00F30262">
      <w:pPr>
        <w:pStyle w:val="Heading1"/>
      </w:pPr>
      <w:bookmarkStart w:id="5" w:name="_Toc214911978"/>
      <w:r>
        <w:lastRenderedPageBreak/>
        <w:t>Independent Reviewer’s f</w:t>
      </w:r>
      <w:r w:rsidR="000D5BAB">
        <w:t>oreword</w:t>
      </w:r>
      <w:bookmarkEnd w:id="4"/>
      <w:bookmarkEnd w:id="5"/>
    </w:p>
    <w:p w14:paraId="1EDC9F1C" w14:textId="77777777" w:rsidR="00EC48B4" w:rsidRDefault="00EC48B4" w:rsidP="00B617F3">
      <w:pPr>
        <w:sectPr w:rsidR="00EC48B4" w:rsidSect="0041409B">
          <w:headerReference w:type="even" r:id="rId14"/>
          <w:headerReference w:type="default" r:id="rId15"/>
          <w:footerReference w:type="even" r:id="rId16"/>
          <w:footerReference w:type="default" r:id="rId17"/>
          <w:headerReference w:type="first" r:id="rId18"/>
          <w:type w:val="oddPage"/>
          <w:pgSz w:w="11906" w:h="16838"/>
          <w:pgMar w:top="1440" w:right="1440" w:bottom="1440" w:left="1440" w:header="708" w:footer="708" w:gutter="0"/>
          <w:pgNumType w:fmt="lowerRoman"/>
          <w:cols w:space="708"/>
          <w:titlePg/>
          <w:docGrid w:linePitch="360"/>
          <w15:footnoteColumns w:val="1"/>
        </w:sectPr>
      </w:pPr>
    </w:p>
    <w:p w14:paraId="040CAA53" w14:textId="0F8D8AC0" w:rsidR="00B617F3" w:rsidRDefault="00B617F3" w:rsidP="00B617F3">
      <w:r w:rsidRPr="0038010B">
        <w:t>I was honoured to be asked by the Treasurer to undertake a broad ranging review of the Victorian public sector and its operating environment. </w:t>
      </w:r>
    </w:p>
    <w:p w14:paraId="74EED79D" w14:textId="5181C610" w:rsidR="00B617F3" w:rsidRPr="0038010B" w:rsidRDefault="00B617F3" w:rsidP="00B617F3">
      <w:r w:rsidRPr="0038010B">
        <w:t>In undertaking the Review my focus was on</w:t>
      </w:r>
      <w:r w:rsidR="00025722">
        <w:t> </w:t>
      </w:r>
      <w:r w:rsidRPr="0038010B">
        <w:t>improving the delivery of core services and finding opportunities to create more budget</w:t>
      </w:r>
      <w:r w:rsidR="004B7111">
        <w:t> </w:t>
      </w:r>
      <w:r w:rsidRPr="0038010B">
        <w:t xml:space="preserve">capacity. </w:t>
      </w:r>
    </w:p>
    <w:p w14:paraId="09D29B59" w14:textId="7D48CA09" w:rsidR="00B617F3" w:rsidRDefault="00B617F3" w:rsidP="00B617F3">
      <w:r w:rsidRPr="0038010B">
        <w:t xml:space="preserve">My </w:t>
      </w:r>
      <w:r>
        <w:t xml:space="preserve">review provides advice to the </w:t>
      </w:r>
      <w:r w:rsidRPr="0038010B">
        <w:t>government on how to set up the budget process for the future</w:t>
      </w:r>
      <w:r w:rsidR="00AE495D">
        <w:t>,</w:t>
      </w:r>
      <w:r w:rsidRPr="0038010B">
        <w:t xml:space="preserve"> </w:t>
      </w:r>
      <w:r>
        <w:t xml:space="preserve">including </w:t>
      </w:r>
      <w:r w:rsidRPr="0038010B">
        <w:t xml:space="preserve">an ongoing cycle of review to improve </w:t>
      </w:r>
      <w:r>
        <w:t xml:space="preserve">service quality and </w:t>
      </w:r>
      <w:r w:rsidRPr="0038010B">
        <w:t>sustainab</w:t>
      </w:r>
      <w:r>
        <w:t>i</w:t>
      </w:r>
      <w:r w:rsidRPr="0038010B">
        <w:t>l</w:t>
      </w:r>
      <w:r>
        <w:t>ity</w:t>
      </w:r>
      <w:r w:rsidRPr="0038010B">
        <w:t>. I also recommend ways to accelerate the uptake of digital platforms to provide</w:t>
      </w:r>
      <w:r>
        <w:t xml:space="preserve"> contemporary, convenient and cost-effective services to the community</w:t>
      </w:r>
      <w:r w:rsidRPr="0038010B">
        <w:t>. </w:t>
      </w:r>
    </w:p>
    <w:p w14:paraId="64213D2A" w14:textId="77777777" w:rsidR="00513DDB" w:rsidRDefault="00B617F3" w:rsidP="00B617F3">
      <w:r w:rsidRPr="0038010B">
        <w:t xml:space="preserve">Done well, spending reductions </w:t>
      </w:r>
      <w:r w:rsidR="009A4621">
        <w:t>can</w:t>
      </w:r>
      <w:r w:rsidRPr="0038010B">
        <w:t xml:space="preserve"> lead to better outcomes. To find savings</w:t>
      </w:r>
      <w:r>
        <w:t>,</w:t>
      </w:r>
      <w:r w:rsidRPr="0038010B">
        <w:t xml:space="preserve"> </w:t>
      </w:r>
      <w:r>
        <w:t xml:space="preserve">there was a </w:t>
      </w:r>
      <w:r w:rsidRPr="0038010B">
        <w:t>systematic examin</w:t>
      </w:r>
      <w:r>
        <w:t>ation of</w:t>
      </w:r>
      <w:r w:rsidRPr="0038010B">
        <w:t xml:space="preserve"> the objectives and outcomes of programs, the structure </w:t>
      </w:r>
      <w:r w:rsidRPr="0038010B">
        <w:t>and size of the VPS, and the organisation of Victoria’s public entities. </w:t>
      </w:r>
    </w:p>
    <w:p w14:paraId="2934C9B3" w14:textId="00EB762D" w:rsidR="00B617F3" w:rsidRDefault="00B617F3" w:rsidP="00B617F3">
      <w:r w:rsidRPr="0038010B">
        <w:t xml:space="preserve">In doing this important work, I </w:t>
      </w:r>
      <w:r>
        <w:t xml:space="preserve">was </w:t>
      </w:r>
      <w:r w:rsidRPr="0038010B">
        <w:t xml:space="preserve">supported by a terrific team </w:t>
      </w:r>
      <w:r w:rsidR="00904845">
        <w:t>of</w:t>
      </w:r>
      <w:r w:rsidRPr="0038010B">
        <w:t xml:space="preserve"> talented and committed secondees from the Department of Premier and Cabinet and the Department of Treasury and Finance</w:t>
      </w:r>
      <w:r w:rsidR="00E04EEF">
        <w:t>,</w:t>
      </w:r>
      <w:r w:rsidRPr="0038010B">
        <w:t xml:space="preserve"> as well as other crucial members.</w:t>
      </w:r>
    </w:p>
    <w:p w14:paraId="59CBAF59" w14:textId="77777777" w:rsidR="00F4367D" w:rsidRDefault="00B617F3" w:rsidP="000D5BAB">
      <w:r w:rsidRPr="0038010B">
        <w:t xml:space="preserve">I have always been a proud Victorian, and that pride </w:t>
      </w:r>
      <w:r w:rsidR="00F46673">
        <w:t>has</w:t>
      </w:r>
      <w:r w:rsidRPr="0038010B">
        <w:t xml:space="preserve"> deepened over the </w:t>
      </w:r>
      <w:r>
        <w:t>p</w:t>
      </w:r>
      <w:r w:rsidRPr="0038010B">
        <w:t xml:space="preserve">ast </w:t>
      </w:r>
      <w:r w:rsidR="00D96535">
        <w:t>4</w:t>
      </w:r>
      <w:r w:rsidR="000B115E">
        <w:t> </w:t>
      </w:r>
      <w:r w:rsidRPr="0038010B">
        <w:t xml:space="preserve">months. It was a privilege to work with ministers and the Victorian </w:t>
      </w:r>
      <w:r w:rsidR="00A3410E">
        <w:t>P</w:t>
      </w:r>
      <w:r w:rsidRPr="0038010B">
        <w:t xml:space="preserve">ublic </w:t>
      </w:r>
      <w:r w:rsidR="00A3410E">
        <w:t>S</w:t>
      </w:r>
      <w:r w:rsidRPr="0038010B">
        <w:t>ervice again. I was reminded of how important the work of the Victorian public sector is, and I was impressed by the immense effort that individuals put in every day to make a complex system run as well as it can for the benefit of our community. </w:t>
      </w:r>
    </w:p>
    <w:p w14:paraId="6A6BC35B" w14:textId="77777777" w:rsidR="00203FB3" w:rsidRDefault="00203FB3" w:rsidP="00203FB3">
      <w:pPr>
        <w:rPr>
          <w:b/>
          <w:bCs/>
        </w:rPr>
      </w:pPr>
      <w:r w:rsidRPr="00385016">
        <w:rPr>
          <w:b/>
          <w:bCs/>
        </w:rPr>
        <w:t>Helen Silver AO</w:t>
      </w:r>
    </w:p>
    <w:p w14:paraId="15D5EDD8" w14:textId="77777777" w:rsidR="004A17FC" w:rsidRDefault="004A17FC" w:rsidP="000D5BAB"/>
    <w:p w14:paraId="10D0C74C" w14:textId="77777777" w:rsidR="00EC48B4" w:rsidRDefault="00EC48B4" w:rsidP="000D5BAB">
      <w:pPr>
        <w:rPr>
          <w:b/>
          <w:bCs/>
        </w:rPr>
        <w:sectPr w:rsidR="00EC48B4" w:rsidSect="00EC48B4">
          <w:type w:val="continuous"/>
          <w:pgSz w:w="11906" w:h="16838"/>
          <w:pgMar w:top="1440" w:right="1440" w:bottom="1440" w:left="1440" w:header="708" w:footer="708" w:gutter="0"/>
          <w:cols w:num="2" w:space="708"/>
          <w:docGrid w:linePitch="360"/>
          <w15:footnoteColumns w:val="1"/>
        </w:sectPr>
      </w:pPr>
    </w:p>
    <w:p w14:paraId="0F28AD74" w14:textId="6C1413FD" w:rsidR="001903E3" w:rsidRDefault="001903E3" w:rsidP="001903E3">
      <w:pPr>
        <w:jc w:val="right"/>
        <w:rPr>
          <w:b/>
          <w:bCs/>
        </w:rPr>
      </w:pPr>
    </w:p>
    <w:p w14:paraId="69EBB71D" w14:textId="4C5FB828" w:rsidR="00513DDB" w:rsidRDefault="00513DDB" w:rsidP="001903E3">
      <w:pPr>
        <w:rPr>
          <w:b/>
          <w:bCs/>
        </w:rPr>
      </w:pPr>
      <w:r>
        <w:rPr>
          <w:b/>
          <w:bCs/>
        </w:rPr>
        <w:br w:type="page"/>
      </w:r>
    </w:p>
    <w:p w14:paraId="432E7147" w14:textId="77777777" w:rsidR="0030782D" w:rsidRDefault="0030782D" w:rsidP="009275CF">
      <w:r>
        <w:lastRenderedPageBreak/>
        <w:br w:type="page"/>
      </w:r>
    </w:p>
    <w:p w14:paraId="24626055" w14:textId="23099F3B" w:rsidR="003C6021" w:rsidRPr="003C6021" w:rsidRDefault="003C6021" w:rsidP="003C6021">
      <w:pPr>
        <w:rPr>
          <w:rFonts w:asciiTheme="majorHAnsi" w:hAnsiTheme="majorHAnsi"/>
          <w:b/>
          <w:bCs/>
          <w:color w:val="0F4761" w:themeColor="accent1" w:themeShade="BF"/>
          <w:sz w:val="40"/>
          <w:szCs w:val="40"/>
        </w:rPr>
      </w:pPr>
      <w:r w:rsidRPr="003C6021">
        <w:rPr>
          <w:rFonts w:asciiTheme="majorHAnsi" w:hAnsiTheme="majorHAnsi"/>
          <w:b/>
          <w:bCs/>
          <w:color w:val="0F4761" w:themeColor="accent1" w:themeShade="BF"/>
          <w:sz w:val="40"/>
          <w:szCs w:val="40"/>
        </w:rPr>
        <w:lastRenderedPageBreak/>
        <w:t>Contents</w:t>
      </w:r>
    </w:p>
    <w:p w14:paraId="50889790" w14:textId="1263FC3C" w:rsidR="0038256B" w:rsidRDefault="004417D1">
      <w:pPr>
        <w:pStyle w:val="TOC1"/>
        <w:rPr>
          <w:rFonts w:eastAsiaTheme="minorEastAsia"/>
          <w:b w:val="0"/>
          <w:bCs w:val="0"/>
          <w:sz w:val="24"/>
          <w:lang w:eastAsia="en-AU"/>
        </w:rPr>
      </w:pPr>
      <w:r>
        <w:fldChar w:fldCharType="begin"/>
      </w:r>
      <w:r>
        <w:instrText xml:space="preserve"> TOC \o "1-2" \h \z \u </w:instrText>
      </w:r>
      <w:r>
        <w:fldChar w:fldCharType="separate"/>
      </w:r>
      <w:hyperlink w:anchor="_Toc214911976" w:history="1">
        <w:r w:rsidR="0038256B" w:rsidRPr="00F36EFC">
          <w:rPr>
            <w:rStyle w:val="Hyperlink"/>
          </w:rPr>
          <w:t>Acknowledgement of Country</w:t>
        </w:r>
        <w:r w:rsidR="0038256B">
          <w:rPr>
            <w:webHidden/>
          </w:rPr>
          <w:tab/>
        </w:r>
        <w:r w:rsidR="0038256B">
          <w:rPr>
            <w:webHidden/>
          </w:rPr>
          <w:fldChar w:fldCharType="begin"/>
        </w:r>
        <w:r w:rsidR="0038256B">
          <w:rPr>
            <w:webHidden/>
          </w:rPr>
          <w:instrText xml:space="preserve"> PAGEREF _Toc214911976 \h </w:instrText>
        </w:r>
        <w:r w:rsidR="0038256B">
          <w:rPr>
            <w:webHidden/>
          </w:rPr>
        </w:r>
        <w:r w:rsidR="0038256B">
          <w:rPr>
            <w:webHidden/>
          </w:rPr>
          <w:fldChar w:fldCharType="separate"/>
        </w:r>
        <w:r w:rsidR="0038256B">
          <w:rPr>
            <w:webHidden/>
          </w:rPr>
          <w:t>ii</w:t>
        </w:r>
        <w:r w:rsidR="0038256B">
          <w:rPr>
            <w:webHidden/>
          </w:rPr>
          <w:fldChar w:fldCharType="end"/>
        </w:r>
      </w:hyperlink>
    </w:p>
    <w:p w14:paraId="232B5D89" w14:textId="6ED1635A" w:rsidR="0038256B" w:rsidRDefault="0038256B">
      <w:pPr>
        <w:pStyle w:val="TOC1"/>
        <w:rPr>
          <w:rFonts w:eastAsiaTheme="minorEastAsia"/>
          <w:b w:val="0"/>
          <w:bCs w:val="0"/>
          <w:sz w:val="24"/>
          <w:lang w:eastAsia="en-AU"/>
        </w:rPr>
      </w:pPr>
      <w:hyperlink w:anchor="_Toc214911977" w:history="1">
        <w:r w:rsidRPr="00F36EFC">
          <w:rPr>
            <w:rStyle w:val="Hyperlink"/>
          </w:rPr>
          <w:t>Letter of transmission</w:t>
        </w:r>
        <w:r>
          <w:rPr>
            <w:webHidden/>
          </w:rPr>
          <w:tab/>
        </w:r>
        <w:r>
          <w:rPr>
            <w:webHidden/>
          </w:rPr>
          <w:fldChar w:fldCharType="begin"/>
        </w:r>
        <w:r>
          <w:rPr>
            <w:webHidden/>
          </w:rPr>
          <w:instrText xml:space="preserve"> PAGEREF _Toc214911977 \h </w:instrText>
        </w:r>
        <w:r>
          <w:rPr>
            <w:webHidden/>
          </w:rPr>
        </w:r>
        <w:r>
          <w:rPr>
            <w:webHidden/>
          </w:rPr>
          <w:fldChar w:fldCharType="separate"/>
        </w:r>
        <w:r>
          <w:rPr>
            <w:webHidden/>
          </w:rPr>
          <w:t>iii</w:t>
        </w:r>
        <w:r>
          <w:rPr>
            <w:webHidden/>
          </w:rPr>
          <w:fldChar w:fldCharType="end"/>
        </w:r>
      </w:hyperlink>
    </w:p>
    <w:p w14:paraId="51B00BAA" w14:textId="53DFDC7A" w:rsidR="0038256B" w:rsidRDefault="0038256B">
      <w:pPr>
        <w:pStyle w:val="TOC1"/>
        <w:rPr>
          <w:rFonts w:eastAsiaTheme="minorEastAsia"/>
          <w:b w:val="0"/>
          <w:bCs w:val="0"/>
          <w:sz w:val="24"/>
          <w:lang w:eastAsia="en-AU"/>
        </w:rPr>
      </w:pPr>
      <w:hyperlink w:anchor="_Toc214911978" w:history="1">
        <w:r w:rsidRPr="00F36EFC">
          <w:rPr>
            <w:rStyle w:val="Hyperlink"/>
          </w:rPr>
          <w:t>Independent Reviewer’s foreword</w:t>
        </w:r>
        <w:r>
          <w:rPr>
            <w:webHidden/>
          </w:rPr>
          <w:tab/>
        </w:r>
        <w:r>
          <w:rPr>
            <w:webHidden/>
          </w:rPr>
          <w:fldChar w:fldCharType="begin"/>
        </w:r>
        <w:r>
          <w:rPr>
            <w:webHidden/>
          </w:rPr>
          <w:instrText xml:space="preserve"> PAGEREF _Toc214911978 \h </w:instrText>
        </w:r>
        <w:r>
          <w:rPr>
            <w:webHidden/>
          </w:rPr>
        </w:r>
        <w:r>
          <w:rPr>
            <w:webHidden/>
          </w:rPr>
          <w:fldChar w:fldCharType="separate"/>
        </w:r>
        <w:r>
          <w:rPr>
            <w:webHidden/>
          </w:rPr>
          <w:t>v</w:t>
        </w:r>
        <w:r>
          <w:rPr>
            <w:webHidden/>
          </w:rPr>
          <w:fldChar w:fldCharType="end"/>
        </w:r>
      </w:hyperlink>
    </w:p>
    <w:p w14:paraId="69BC49C1" w14:textId="58870D9A" w:rsidR="0038256B" w:rsidRDefault="0038256B">
      <w:pPr>
        <w:pStyle w:val="TOC1"/>
        <w:rPr>
          <w:rFonts w:eastAsiaTheme="minorEastAsia"/>
          <w:b w:val="0"/>
          <w:bCs w:val="0"/>
          <w:sz w:val="24"/>
          <w:lang w:eastAsia="en-AU"/>
        </w:rPr>
      </w:pPr>
      <w:hyperlink w:anchor="_Toc214911979" w:history="1">
        <w:r w:rsidRPr="00F36EFC">
          <w:rPr>
            <w:rStyle w:val="Hyperlink"/>
          </w:rPr>
          <w:t>Chapter 1:  Executive summary</w:t>
        </w:r>
        <w:r>
          <w:rPr>
            <w:webHidden/>
          </w:rPr>
          <w:tab/>
        </w:r>
        <w:r>
          <w:rPr>
            <w:webHidden/>
          </w:rPr>
          <w:fldChar w:fldCharType="begin"/>
        </w:r>
        <w:r>
          <w:rPr>
            <w:webHidden/>
          </w:rPr>
          <w:instrText xml:space="preserve"> PAGEREF _Toc214911979 \h </w:instrText>
        </w:r>
        <w:r>
          <w:rPr>
            <w:webHidden/>
          </w:rPr>
        </w:r>
        <w:r>
          <w:rPr>
            <w:webHidden/>
          </w:rPr>
          <w:fldChar w:fldCharType="separate"/>
        </w:r>
        <w:r>
          <w:rPr>
            <w:webHidden/>
          </w:rPr>
          <w:t>1</w:t>
        </w:r>
        <w:r>
          <w:rPr>
            <w:webHidden/>
          </w:rPr>
          <w:fldChar w:fldCharType="end"/>
        </w:r>
      </w:hyperlink>
    </w:p>
    <w:p w14:paraId="77665883" w14:textId="352808C8" w:rsidR="0038256B" w:rsidRDefault="0038256B">
      <w:pPr>
        <w:pStyle w:val="TOC2"/>
        <w:rPr>
          <w:rFonts w:eastAsiaTheme="minorEastAsia"/>
          <w:noProof/>
          <w:sz w:val="24"/>
          <w:lang w:eastAsia="en-AU"/>
        </w:rPr>
      </w:pPr>
      <w:hyperlink w:anchor="_Toc214911980" w:history="1">
        <w:r w:rsidRPr="00F36EFC">
          <w:rPr>
            <w:rStyle w:val="Hyperlink"/>
            <w:noProof/>
          </w:rPr>
          <w:t>1.1   Summary of Review recommendations and savings</w:t>
        </w:r>
        <w:r>
          <w:rPr>
            <w:noProof/>
            <w:webHidden/>
          </w:rPr>
          <w:tab/>
        </w:r>
        <w:r>
          <w:rPr>
            <w:noProof/>
            <w:webHidden/>
          </w:rPr>
          <w:fldChar w:fldCharType="begin"/>
        </w:r>
        <w:r>
          <w:rPr>
            <w:noProof/>
            <w:webHidden/>
          </w:rPr>
          <w:instrText xml:space="preserve"> PAGEREF _Toc214911980 \h </w:instrText>
        </w:r>
        <w:r>
          <w:rPr>
            <w:noProof/>
            <w:webHidden/>
          </w:rPr>
        </w:r>
        <w:r>
          <w:rPr>
            <w:noProof/>
            <w:webHidden/>
          </w:rPr>
          <w:fldChar w:fldCharType="separate"/>
        </w:r>
        <w:r>
          <w:rPr>
            <w:noProof/>
            <w:webHidden/>
          </w:rPr>
          <w:t>5</w:t>
        </w:r>
        <w:r>
          <w:rPr>
            <w:noProof/>
            <w:webHidden/>
          </w:rPr>
          <w:fldChar w:fldCharType="end"/>
        </w:r>
      </w:hyperlink>
    </w:p>
    <w:p w14:paraId="2C5E8CE8" w14:textId="138D15B7" w:rsidR="0038256B" w:rsidRDefault="0038256B">
      <w:pPr>
        <w:pStyle w:val="TOC1"/>
        <w:rPr>
          <w:rFonts w:eastAsiaTheme="minorEastAsia"/>
          <w:b w:val="0"/>
          <w:bCs w:val="0"/>
          <w:sz w:val="24"/>
          <w:lang w:eastAsia="en-AU"/>
        </w:rPr>
      </w:pPr>
      <w:hyperlink w:anchor="_Toc214911981" w:history="1">
        <w:r w:rsidRPr="00F36EFC">
          <w:rPr>
            <w:rStyle w:val="Hyperlink"/>
          </w:rPr>
          <w:t>Chapter 2:  The opportunity of this Review</w:t>
        </w:r>
        <w:r>
          <w:rPr>
            <w:webHidden/>
          </w:rPr>
          <w:tab/>
        </w:r>
        <w:r>
          <w:rPr>
            <w:webHidden/>
          </w:rPr>
          <w:fldChar w:fldCharType="begin"/>
        </w:r>
        <w:r>
          <w:rPr>
            <w:webHidden/>
          </w:rPr>
          <w:instrText xml:space="preserve"> PAGEREF _Toc214911981 \h </w:instrText>
        </w:r>
        <w:r>
          <w:rPr>
            <w:webHidden/>
          </w:rPr>
        </w:r>
        <w:r>
          <w:rPr>
            <w:webHidden/>
          </w:rPr>
          <w:fldChar w:fldCharType="separate"/>
        </w:r>
        <w:r>
          <w:rPr>
            <w:webHidden/>
          </w:rPr>
          <w:t>15</w:t>
        </w:r>
        <w:r>
          <w:rPr>
            <w:webHidden/>
          </w:rPr>
          <w:fldChar w:fldCharType="end"/>
        </w:r>
      </w:hyperlink>
    </w:p>
    <w:p w14:paraId="425068BD" w14:textId="19749663" w:rsidR="0038256B" w:rsidRDefault="0038256B">
      <w:pPr>
        <w:pStyle w:val="TOC2"/>
        <w:rPr>
          <w:rFonts w:eastAsiaTheme="minorEastAsia"/>
          <w:noProof/>
          <w:sz w:val="24"/>
          <w:lang w:eastAsia="en-AU"/>
        </w:rPr>
      </w:pPr>
      <w:hyperlink w:anchor="_Toc214911982" w:history="1">
        <w:r w:rsidRPr="00F36EFC">
          <w:rPr>
            <w:rStyle w:val="Hyperlink"/>
            <w:noProof/>
          </w:rPr>
          <w:t>2.1   Introduction</w:t>
        </w:r>
        <w:r>
          <w:rPr>
            <w:noProof/>
            <w:webHidden/>
          </w:rPr>
          <w:tab/>
        </w:r>
        <w:r>
          <w:rPr>
            <w:noProof/>
            <w:webHidden/>
          </w:rPr>
          <w:fldChar w:fldCharType="begin"/>
        </w:r>
        <w:r>
          <w:rPr>
            <w:noProof/>
            <w:webHidden/>
          </w:rPr>
          <w:instrText xml:space="preserve"> PAGEREF _Toc214911982 \h </w:instrText>
        </w:r>
        <w:r>
          <w:rPr>
            <w:noProof/>
            <w:webHidden/>
          </w:rPr>
        </w:r>
        <w:r>
          <w:rPr>
            <w:noProof/>
            <w:webHidden/>
          </w:rPr>
          <w:fldChar w:fldCharType="separate"/>
        </w:r>
        <w:r>
          <w:rPr>
            <w:noProof/>
            <w:webHidden/>
          </w:rPr>
          <w:t>15</w:t>
        </w:r>
        <w:r>
          <w:rPr>
            <w:noProof/>
            <w:webHidden/>
          </w:rPr>
          <w:fldChar w:fldCharType="end"/>
        </w:r>
      </w:hyperlink>
    </w:p>
    <w:p w14:paraId="21CEE6F0" w14:textId="05E432E5" w:rsidR="0038256B" w:rsidRDefault="0038256B">
      <w:pPr>
        <w:pStyle w:val="TOC2"/>
        <w:rPr>
          <w:rFonts w:eastAsiaTheme="minorEastAsia"/>
          <w:noProof/>
          <w:sz w:val="24"/>
          <w:lang w:eastAsia="en-AU"/>
        </w:rPr>
      </w:pPr>
      <w:hyperlink w:anchor="_Toc214911983" w:history="1">
        <w:r w:rsidRPr="00F36EFC">
          <w:rPr>
            <w:rStyle w:val="Hyperlink"/>
            <w:noProof/>
          </w:rPr>
          <w:t>2.2   Context for the Review</w:t>
        </w:r>
        <w:r>
          <w:rPr>
            <w:noProof/>
            <w:webHidden/>
          </w:rPr>
          <w:tab/>
        </w:r>
        <w:r>
          <w:rPr>
            <w:noProof/>
            <w:webHidden/>
          </w:rPr>
          <w:fldChar w:fldCharType="begin"/>
        </w:r>
        <w:r>
          <w:rPr>
            <w:noProof/>
            <w:webHidden/>
          </w:rPr>
          <w:instrText xml:space="preserve"> PAGEREF _Toc214911983 \h </w:instrText>
        </w:r>
        <w:r>
          <w:rPr>
            <w:noProof/>
            <w:webHidden/>
          </w:rPr>
        </w:r>
        <w:r>
          <w:rPr>
            <w:noProof/>
            <w:webHidden/>
          </w:rPr>
          <w:fldChar w:fldCharType="separate"/>
        </w:r>
        <w:r>
          <w:rPr>
            <w:noProof/>
            <w:webHidden/>
          </w:rPr>
          <w:t>17</w:t>
        </w:r>
        <w:r>
          <w:rPr>
            <w:noProof/>
            <w:webHidden/>
          </w:rPr>
          <w:fldChar w:fldCharType="end"/>
        </w:r>
      </w:hyperlink>
    </w:p>
    <w:p w14:paraId="197E5B95" w14:textId="5EFECFBD" w:rsidR="0038256B" w:rsidRDefault="0038256B">
      <w:pPr>
        <w:pStyle w:val="TOC2"/>
        <w:rPr>
          <w:rFonts w:eastAsiaTheme="minorEastAsia"/>
          <w:noProof/>
          <w:sz w:val="24"/>
          <w:lang w:eastAsia="en-AU"/>
        </w:rPr>
      </w:pPr>
      <w:hyperlink w:anchor="_Toc214911984" w:history="1">
        <w:r w:rsidRPr="00F36EFC">
          <w:rPr>
            <w:rStyle w:val="Hyperlink"/>
            <w:noProof/>
          </w:rPr>
          <w:t>2.3   Review approach</w:t>
        </w:r>
        <w:r>
          <w:rPr>
            <w:noProof/>
            <w:webHidden/>
          </w:rPr>
          <w:tab/>
        </w:r>
        <w:r>
          <w:rPr>
            <w:noProof/>
            <w:webHidden/>
          </w:rPr>
          <w:fldChar w:fldCharType="begin"/>
        </w:r>
        <w:r>
          <w:rPr>
            <w:noProof/>
            <w:webHidden/>
          </w:rPr>
          <w:instrText xml:space="preserve"> PAGEREF _Toc214911984 \h </w:instrText>
        </w:r>
        <w:r>
          <w:rPr>
            <w:noProof/>
            <w:webHidden/>
          </w:rPr>
        </w:r>
        <w:r>
          <w:rPr>
            <w:noProof/>
            <w:webHidden/>
          </w:rPr>
          <w:fldChar w:fldCharType="separate"/>
        </w:r>
        <w:r>
          <w:rPr>
            <w:noProof/>
            <w:webHidden/>
          </w:rPr>
          <w:t>27</w:t>
        </w:r>
        <w:r>
          <w:rPr>
            <w:noProof/>
            <w:webHidden/>
          </w:rPr>
          <w:fldChar w:fldCharType="end"/>
        </w:r>
      </w:hyperlink>
    </w:p>
    <w:p w14:paraId="1F8C272B" w14:textId="3B8C02A8" w:rsidR="0038256B" w:rsidRDefault="0038256B">
      <w:pPr>
        <w:pStyle w:val="TOC2"/>
        <w:rPr>
          <w:rFonts w:eastAsiaTheme="minorEastAsia"/>
          <w:noProof/>
          <w:sz w:val="24"/>
          <w:lang w:eastAsia="en-AU"/>
        </w:rPr>
      </w:pPr>
      <w:hyperlink w:anchor="_Toc214911985" w:history="1">
        <w:r w:rsidRPr="00F36EFC">
          <w:rPr>
            <w:rStyle w:val="Hyperlink"/>
            <w:noProof/>
          </w:rPr>
          <w:t>2.4   Methodology</w:t>
        </w:r>
        <w:r>
          <w:rPr>
            <w:noProof/>
            <w:webHidden/>
          </w:rPr>
          <w:tab/>
        </w:r>
        <w:r>
          <w:rPr>
            <w:noProof/>
            <w:webHidden/>
          </w:rPr>
          <w:fldChar w:fldCharType="begin"/>
        </w:r>
        <w:r>
          <w:rPr>
            <w:noProof/>
            <w:webHidden/>
          </w:rPr>
          <w:instrText xml:space="preserve"> PAGEREF _Toc214911985 \h </w:instrText>
        </w:r>
        <w:r>
          <w:rPr>
            <w:noProof/>
            <w:webHidden/>
          </w:rPr>
        </w:r>
        <w:r>
          <w:rPr>
            <w:noProof/>
            <w:webHidden/>
          </w:rPr>
          <w:fldChar w:fldCharType="separate"/>
        </w:r>
        <w:r>
          <w:rPr>
            <w:noProof/>
            <w:webHidden/>
          </w:rPr>
          <w:t>28</w:t>
        </w:r>
        <w:r>
          <w:rPr>
            <w:noProof/>
            <w:webHidden/>
          </w:rPr>
          <w:fldChar w:fldCharType="end"/>
        </w:r>
      </w:hyperlink>
    </w:p>
    <w:p w14:paraId="5EC74D66" w14:textId="36C619A7" w:rsidR="0038256B" w:rsidRDefault="0038256B">
      <w:pPr>
        <w:pStyle w:val="TOC1"/>
        <w:rPr>
          <w:rFonts w:eastAsiaTheme="minorEastAsia"/>
          <w:b w:val="0"/>
          <w:bCs w:val="0"/>
          <w:sz w:val="24"/>
          <w:lang w:eastAsia="en-AU"/>
        </w:rPr>
      </w:pPr>
      <w:hyperlink w:anchor="_Toc214911986" w:history="1">
        <w:r w:rsidRPr="00F36EFC">
          <w:rPr>
            <w:rStyle w:val="Hyperlink"/>
          </w:rPr>
          <w:t>Chapter 3:  Fiscal management and strategy</w:t>
        </w:r>
        <w:r>
          <w:rPr>
            <w:webHidden/>
          </w:rPr>
          <w:tab/>
        </w:r>
        <w:r>
          <w:rPr>
            <w:webHidden/>
          </w:rPr>
          <w:fldChar w:fldCharType="begin"/>
        </w:r>
        <w:r>
          <w:rPr>
            <w:webHidden/>
          </w:rPr>
          <w:instrText xml:space="preserve"> PAGEREF _Toc214911986 \h </w:instrText>
        </w:r>
        <w:r>
          <w:rPr>
            <w:webHidden/>
          </w:rPr>
        </w:r>
        <w:r>
          <w:rPr>
            <w:webHidden/>
          </w:rPr>
          <w:fldChar w:fldCharType="separate"/>
        </w:r>
        <w:r>
          <w:rPr>
            <w:webHidden/>
          </w:rPr>
          <w:t>31</w:t>
        </w:r>
        <w:r>
          <w:rPr>
            <w:webHidden/>
          </w:rPr>
          <w:fldChar w:fldCharType="end"/>
        </w:r>
      </w:hyperlink>
    </w:p>
    <w:p w14:paraId="1EF12569" w14:textId="006C0A8A" w:rsidR="0038256B" w:rsidRDefault="0038256B">
      <w:pPr>
        <w:pStyle w:val="TOC2"/>
        <w:rPr>
          <w:rFonts w:eastAsiaTheme="minorEastAsia"/>
          <w:noProof/>
          <w:sz w:val="24"/>
          <w:lang w:eastAsia="en-AU"/>
        </w:rPr>
      </w:pPr>
      <w:hyperlink w:anchor="_Toc214911987" w:history="1">
        <w:r w:rsidRPr="00F36EFC">
          <w:rPr>
            <w:rStyle w:val="Hyperlink"/>
            <w:noProof/>
          </w:rPr>
          <w:t>3.1   Introduction</w:t>
        </w:r>
        <w:r>
          <w:rPr>
            <w:noProof/>
            <w:webHidden/>
          </w:rPr>
          <w:tab/>
        </w:r>
        <w:r>
          <w:rPr>
            <w:noProof/>
            <w:webHidden/>
          </w:rPr>
          <w:fldChar w:fldCharType="begin"/>
        </w:r>
        <w:r>
          <w:rPr>
            <w:noProof/>
            <w:webHidden/>
          </w:rPr>
          <w:instrText xml:space="preserve"> PAGEREF _Toc214911987 \h </w:instrText>
        </w:r>
        <w:r>
          <w:rPr>
            <w:noProof/>
            <w:webHidden/>
          </w:rPr>
        </w:r>
        <w:r>
          <w:rPr>
            <w:noProof/>
            <w:webHidden/>
          </w:rPr>
          <w:fldChar w:fldCharType="separate"/>
        </w:r>
        <w:r>
          <w:rPr>
            <w:noProof/>
            <w:webHidden/>
          </w:rPr>
          <w:t>31</w:t>
        </w:r>
        <w:r>
          <w:rPr>
            <w:noProof/>
            <w:webHidden/>
          </w:rPr>
          <w:fldChar w:fldCharType="end"/>
        </w:r>
      </w:hyperlink>
    </w:p>
    <w:p w14:paraId="24350171" w14:textId="79FFBC69" w:rsidR="0038256B" w:rsidRDefault="0038256B">
      <w:pPr>
        <w:pStyle w:val="TOC2"/>
        <w:rPr>
          <w:rFonts w:eastAsiaTheme="minorEastAsia"/>
          <w:noProof/>
          <w:sz w:val="24"/>
          <w:lang w:eastAsia="en-AU"/>
        </w:rPr>
      </w:pPr>
      <w:hyperlink w:anchor="_Toc214911988" w:history="1">
        <w:r w:rsidRPr="00F36EFC">
          <w:rPr>
            <w:rStyle w:val="Hyperlink"/>
            <w:noProof/>
          </w:rPr>
          <w:t>3.2   Principles for strong public sector financial management</w:t>
        </w:r>
        <w:r>
          <w:rPr>
            <w:noProof/>
            <w:webHidden/>
          </w:rPr>
          <w:tab/>
        </w:r>
        <w:r>
          <w:rPr>
            <w:noProof/>
            <w:webHidden/>
          </w:rPr>
          <w:fldChar w:fldCharType="begin"/>
        </w:r>
        <w:r>
          <w:rPr>
            <w:noProof/>
            <w:webHidden/>
          </w:rPr>
          <w:instrText xml:space="preserve"> PAGEREF _Toc214911988 \h </w:instrText>
        </w:r>
        <w:r>
          <w:rPr>
            <w:noProof/>
            <w:webHidden/>
          </w:rPr>
        </w:r>
        <w:r>
          <w:rPr>
            <w:noProof/>
            <w:webHidden/>
          </w:rPr>
          <w:fldChar w:fldCharType="separate"/>
        </w:r>
        <w:r>
          <w:rPr>
            <w:noProof/>
            <w:webHidden/>
          </w:rPr>
          <w:t>32</w:t>
        </w:r>
        <w:r>
          <w:rPr>
            <w:noProof/>
            <w:webHidden/>
          </w:rPr>
          <w:fldChar w:fldCharType="end"/>
        </w:r>
      </w:hyperlink>
    </w:p>
    <w:p w14:paraId="20850CCB" w14:textId="116B4E4A" w:rsidR="0038256B" w:rsidRDefault="0038256B">
      <w:pPr>
        <w:pStyle w:val="TOC2"/>
        <w:rPr>
          <w:rFonts w:eastAsiaTheme="minorEastAsia"/>
          <w:noProof/>
          <w:sz w:val="24"/>
          <w:lang w:eastAsia="en-AU"/>
        </w:rPr>
      </w:pPr>
      <w:hyperlink w:anchor="_Toc214911989" w:history="1">
        <w:r w:rsidRPr="00F36EFC">
          <w:rPr>
            <w:rStyle w:val="Hyperlink"/>
            <w:noProof/>
          </w:rPr>
          <w:t>3.3   The government’s fiscal strategy</w:t>
        </w:r>
        <w:r>
          <w:rPr>
            <w:noProof/>
            <w:webHidden/>
          </w:rPr>
          <w:tab/>
        </w:r>
        <w:r>
          <w:rPr>
            <w:noProof/>
            <w:webHidden/>
          </w:rPr>
          <w:fldChar w:fldCharType="begin"/>
        </w:r>
        <w:r>
          <w:rPr>
            <w:noProof/>
            <w:webHidden/>
          </w:rPr>
          <w:instrText xml:space="preserve"> PAGEREF _Toc214911989 \h </w:instrText>
        </w:r>
        <w:r>
          <w:rPr>
            <w:noProof/>
            <w:webHidden/>
          </w:rPr>
        </w:r>
        <w:r>
          <w:rPr>
            <w:noProof/>
            <w:webHidden/>
          </w:rPr>
          <w:fldChar w:fldCharType="separate"/>
        </w:r>
        <w:r>
          <w:rPr>
            <w:noProof/>
            <w:webHidden/>
          </w:rPr>
          <w:t>33</w:t>
        </w:r>
        <w:r>
          <w:rPr>
            <w:noProof/>
            <w:webHidden/>
          </w:rPr>
          <w:fldChar w:fldCharType="end"/>
        </w:r>
      </w:hyperlink>
    </w:p>
    <w:p w14:paraId="2B4878D3" w14:textId="14C1C1E1" w:rsidR="0038256B" w:rsidRDefault="0038256B">
      <w:pPr>
        <w:pStyle w:val="TOC2"/>
        <w:rPr>
          <w:rFonts w:eastAsiaTheme="minorEastAsia"/>
          <w:noProof/>
          <w:sz w:val="24"/>
          <w:lang w:eastAsia="en-AU"/>
        </w:rPr>
      </w:pPr>
      <w:hyperlink w:anchor="_Toc214911990" w:history="1">
        <w:r w:rsidRPr="00F36EFC">
          <w:rPr>
            <w:rStyle w:val="Hyperlink"/>
            <w:noProof/>
          </w:rPr>
          <w:t>3.4   Enhancing Victoria’s budget management processes</w:t>
        </w:r>
        <w:r>
          <w:rPr>
            <w:noProof/>
            <w:webHidden/>
          </w:rPr>
          <w:tab/>
        </w:r>
        <w:r>
          <w:rPr>
            <w:noProof/>
            <w:webHidden/>
          </w:rPr>
          <w:fldChar w:fldCharType="begin"/>
        </w:r>
        <w:r>
          <w:rPr>
            <w:noProof/>
            <w:webHidden/>
          </w:rPr>
          <w:instrText xml:space="preserve"> PAGEREF _Toc214911990 \h </w:instrText>
        </w:r>
        <w:r>
          <w:rPr>
            <w:noProof/>
            <w:webHidden/>
          </w:rPr>
        </w:r>
        <w:r>
          <w:rPr>
            <w:noProof/>
            <w:webHidden/>
          </w:rPr>
          <w:fldChar w:fldCharType="separate"/>
        </w:r>
        <w:r>
          <w:rPr>
            <w:noProof/>
            <w:webHidden/>
          </w:rPr>
          <w:t>34</w:t>
        </w:r>
        <w:r>
          <w:rPr>
            <w:noProof/>
            <w:webHidden/>
          </w:rPr>
          <w:fldChar w:fldCharType="end"/>
        </w:r>
      </w:hyperlink>
    </w:p>
    <w:p w14:paraId="16500F85" w14:textId="35ADD4F0" w:rsidR="0038256B" w:rsidRDefault="0038256B">
      <w:pPr>
        <w:pStyle w:val="TOC2"/>
        <w:rPr>
          <w:rFonts w:eastAsiaTheme="minorEastAsia"/>
          <w:noProof/>
          <w:sz w:val="24"/>
          <w:lang w:eastAsia="en-AU"/>
        </w:rPr>
      </w:pPr>
      <w:hyperlink w:anchor="_Toc214911991" w:history="1">
        <w:r w:rsidRPr="00F36EFC">
          <w:rPr>
            <w:rStyle w:val="Hyperlink"/>
            <w:noProof/>
          </w:rPr>
          <w:t>3.5   Recommendations</w:t>
        </w:r>
        <w:r>
          <w:rPr>
            <w:noProof/>
            <w:webHidden/>
          </w:rPr>
          <w:tab/>
        </w:r>
        <w:r>
          <w:rPr>
            <w:noProof/>
            <w:webHidden/>
          </w:rPr>
          <w:fldChar w:fldCharType="begin"/>
        </w:r>
        <w:r>
          <w:rPr>
            <w:noProof/>
            <w:webHidden/>
          </w:rPr>
          <w:instrText xml:space="preserve"> PAGEREF _Toc214911991 \h </w:instrText>
        </w:r>
        <w:r>
          <w:rPr>
            <w:noProof/>
            <w:webHidden/>
          </w:rPr>
        </w:r>
        <w:r>
          <w:rPr>
            <w:noProof/>
            <w:webHidden/>
          </w:rPr>
          <w:fldChar w:fldCharType="separate"/>
        </w:r>
        <w:r>
          <w:rPr>
            <w:noProof/>
            <w:webHidden/>
          </w:rPr>
          <w:t>44</w:t>
        </w:r>
        <w:r>
          <w:rPr>
            <w:noProof/>
            <w:webHidden/>
          </w:rPr>
          <w:fldChar w:fldCharType="end"/>
        </w:r>
      </w:hyperlink>
    </w:p>
    <w:p w14:paraId="18702521" w14:textId="604570EE" w:rsidR="0038256B" w:rsidRDefault="0038256B">
      <w:pPr>
        <w:pStyle w:val="TOC1"/>
        <w:rPr>
          <w:rFonts w:eastAsiaTheme="minorEastAsia"/>
          <w:b w:val="0"/>
          <w:bCs w:val="0"/>
          <w:sz w:val="24"/>
          <w:lang w:eastAsia="en-AU"/>
        </w:rPr>
      </w:pPr>
      <w:hyperlink w:anchor="_Toc214911992" w:history="1">
        <w:r w:rsidRPr="00F36EFC">
          <w:rPr>
            <w:rStyle w:val="Hyperlink"/>
          </w:rPr>
          <w:t>Chapter 4:  Commonwealth-State relations</w:t>
        </w:r>
        <w:r>
          <w:rPr>
            <w:webHidden/>
          </w:rPr>
          <w:tab/>
        </w:r>
        <w:r>
          <w:rPr>
            <w:webHidden/>
          </w:rPr>
          <w:fldChar w:fldCharType="begin"/>
        </w:r>
        <w:r>
          <w:rPr>
            <w:webHidden/>
          </w:rPr>
          <w:instrText xml:space="preserve"> PAGEREF _Toc214911992 \h </w:instrText>
        </w:r>
        <w:r>
          <w:rPr>
            <w:webHidden/>
          </w:rPr>
        </w:r>
        <w:r>
          <w:rPr>
            <w:webHidden/>
          </w:rPr>
          <w:fldChar w:fldCharType="separate"/>
        </w:r>
        <w:r>
          <w:rPr>
            <w:webHidden/>
          </w:rPr>
          <w:t>45</w:t>
        </w:r>
        <w:r>
          <w:rPr>
            <w:webHidden/>
          </w:rPr>
          <w:fldChar w:fldCharType="end"/>
        </w:r>
      </w:hyperlink>
    </w:p>
    <w:p w14:paraId="214D253A" w14:textId="1D92F0F6" w:rsidR="0038256B" w:rsidRDefault="0038256B">
      <w:pPr>
        <w:pStyle w:val="TOC2"/>
        <w:rPr>
          <w:rFonts w:eastAsiaTheme="minorEastAsia"/>
          <w:noProof/>
          <w:sz w:val="24"/>
          <w:lang w:eastAsia="en-AU"/>
        </w:rPr>
      </w:pPr>
      <w:hyperlink w:anchor="_Toc214911993" w:history="1">
        <w:r w:rsidRPr="00F36EFC">
          <w:rPr>
            <w:rStyle w:val="Hyperlink"/>
            <w:noProof/>
          </w:rPr>
          <w:t>4.1   Introduction</w:t>
        </w:r>
        <w:r>
          <w:rPr>
            <w:noProof/>
            <w:webHidden/>
          </w:rPr>
          <w:tab/>
        </w:r>
        <w:r>
          <w:rPr>
            <w:noProof/>
            <w:webHidden/>
          </w:rPr>
          <w:fldChar w:fldCharType="begin"/>
        </w:r>
        <w:r>
          <w:rPr>
            <w:noProof/>
            <w:webHidden/>
          </w:rPr>
          <w:instrText xml:space="preserve"> PAGEREF _Toc214911993 \h </w:instrText>
        </w:r>
        <w:r>
          <w:rPr>
            <w:noProof/>
            <w:webHidden/>
          </w:rPr>
        </w:r>
        <w:r>
          <w:rPr>
            <w:noProof/>
            <w:webHidden/>
          </w:rPr>
          <w:fldChar w:fldCharType="separate"/>
        </w:r>
        <w:r>
          <w:rPr>
            <w:noProof/>
            <w:webHidden/>
          </w:rPr>
          <w:t>45</w:t>
        </w:r>
        <w:r>
          <w:rPr>
            <w:noProof/>
            <w:webHidden/>
          </w:rPr>
          <w:fldChar w:fldCharType="end"/>
        </w:r>
      </w:hyperlink>
    </w:p>
    <w:p w14:paraId="2799EB6D" w14:textId="1C50824E" w:rsidR="0038256B" w:rsidRDefault="0038256B">
      <w:pPr>
        <w:pStyle w:val="TOC2"/>
        <w:rPr>
          <w:rFonts w:eastAsiaTheme="minorEastAsia"/>
          <w:noProof/>
          <w:sz w:val="24"/>
          <w:lang w:eastAsia="en-AU"/>
        </w:rPr>
      </w:pPr>
      <w:hyperlink w:anchor="_Toc214911994" w:history="1">
        <w:r w:rsidRPr="00F36EFC">
          <w:rPr>
            <w:rStyle w:val="Hyperlink"/>
            <w:noProof/>
          </w:rPr>
          <w:t>4.2   Importance of Commonwealth funding to state revenue</w:t>
        </w:r>
        <w:r>
          <w:rPr>
            <w:noProof/>
            <w:webHidden/>
          </w:rPr>
          <w:tab/>
        </w:r>
        <w:r>
          <w:rPr>
            <w:noProof/>
            <w:webHidden/>
          </w:rPr>
          <w:fldChar w:fldCharType="begin"/>
        </w:r>
        <w:r>
          <w:rPr>
            <w:noProof/>
            <w:webHidden/>
          </w:rPr>
          <w:instrText xml:space="preserve"> PAGEREF _Toc214911994 \h </w:instrText>
        </w:r>
        <w:r>
          <w:rPr>
            <w:noProof/>
            <w:webHidden/>
          </w:rPr>
        </w:r>
        <w:r>
          <w:rPr>
            <w:noProof/>
            <w:webHidden/>
          </w:rPr>
          <w:fldChar w:fldCharType="separate"/>
        </w:r>
        <w:r>
          <w:rPr>
            <w:noProof/>
            <w:webHidden/>
          </w:rPr>
          <w:t>46</w:t>
        </w:r>
        <w:r>
          <w:rPr>
            <w:noProof/>
            <w:webHidden/>
          </w:rPr>
          <w:fldChar w:fldCharType="end"/>
        </w:r>
      </w:hyperlink>
    </w:p>
    <w:p w14:paraId="56E987C4" w14:textId="3DC14584" w:rsidR="0038256B" w:rsidRDefault="0038256B">
      <w:pPr>
        <w:pStyle w:val="TOC2"/>
        <w:rPr>
          <w:rFonts w:eastAsiaTheme="minorEastAsia"/>
          <w:noProof/>
          <w:sz w:val="24"/>
          <w:lang w:eastAsia="en-AU"/>
        </w:rPr>
      </w:pPr>
      <w:hyperlink w:anchor="_Toc214911995" w:history="1">
        <w:r w:rsidRPr="00F36EFC">
          <w:rPr>
            <w:rStyle w:val="Hyperlink"/>
            <w:noProof/>
          </w:rPr>
          <w:t>4.3   Overlapping responsibilities and duplication</w:t>
        </w:r>
        <w:r>
          <w:rPr>
            <w:noProof/>
            <w:webHidden/>
          </w:rPr>
          <w:tab/>
        </w:r>
        <w:r>
          <w:rPr>
            <w:noProof/>
            <w:webHidden/>
          </w:rPr>
          <w:fldChar w:fldCharType="begin"/>
        </w:r>
        <w:r>
          <w:rPr>
            <w:noProof/>
            <w:webHidden/>
          </w:rPr>
          <w:instrText xml:space="preserve"> PAGEREF _Toc214911995 \h </w:instrText>
        </w:r>
        <w:r>
          <w:rPr>
            <w:noProof/>
            <w:webHidden/>
          </w:rPr>
        </w:r>
        <w:r>
          <w:rPr>
            <w:noProof/>
            <w:webHidden/>
          </w:rPr>
          <w:fldChar w:fldCharType="separate"/>
        </w:r>
        <w:r>
          <w:rPr>
            <w:noProof/>
            <w:webHidden/>
          </w:rPr>
          <w:t>50</w:t>
        </w:r>
        <w:r>
          <w:rPr>
            <w:noProof/>
            <w:webHidden/>
          </w:rPr>
          <w:fldChar w:fldCharType="end"/>
        </w:r>
      </w:hyperlink>
    </w:p>
    <w:p w14:paraId="580A5BDE" w14:textId="748513F6" w:rsidR="0038256B" w:rsidRDefault="0038256B">
      <w:pPr>
        <w:pStyle w:val="TOC2"/>
        <w:rPr>
          <w:rFonts w:eastAsiaTheme="minorEastAsia"/>
          <w:noProof/>
          <w:sz w:val="24"/>
          <w:lang w:eastAsia="en-AU"/>
        </w:rPr>
      </w:pPr>
      <w:hyperlink w:anchor="_Toc214911996" w:history="1">
        <w:r w:rsidRPr="00F36EFC">
          <w:rPr>
            <w:rStyle w:val="Hyperlink"/>
            <w:noProof/>
          </w:rPr>
          <w:t>4.4   Reform of Commonwealth-State settings</w:t>
        </w:r>
        <w:r>
          <w:rPr>
            <w:noProof/>
            <w:webHidden/>
          </w:rPr>
          <w:tab/>
        </w:r>
        <w:r>
          <w:rPr>
            <w:noProof/>
            <w:webHidden/>
          </w:rPr>
          <w:fldChar w:fldCharType="begin"/>
        </w:r>
        <w:r>
          <w:rPr>
            <w:noProof/>
            <w:webHidden/>
          </w:rPr>
          <w:instrText xml:space="preserve"> PAGEREF _Toc214911996 \h </w:instrText>
        </w:r>
        <w:r>
          <w:rPr>
            <w:noProof/>
            <w:webHidden/>
          </w:rPr>
        </w:r>
        <w:r>
          <w:rPr>
            <w:noProof/>
            <w:webHidden/>
          </w:rPr>
          <w:fldChar w:fldCharType="separate"/>
        </w:r>
        <w:r>
          <w:rPr>
            <w:noProof/>
            <w:webHidden/>
          </w:rPr>
          <w:t>51</w:t>
        </w:r>
        <w:r>
          <w:rPr>
            <w:noProof/>
            <w:webHidden/>
          </w:rPr>
          <w:fldChar w:fldCharType="end"/>
        </w:r>
      </w:hyperlink>
    </w:p>
    <w:p w14:paraId="2073428B" w14:textId="4829EDE5" w:rsidR="0038256B" w:rsidRDefault="0038256B">
      <w:pPr>
        <w:pStyle w:val="TOC2"/>
        <w:rPr>
          <w:rFonts w:eastAsiaTheme="minorEastAsia"/>
          <w:noProof/>
          <w:sz w:val="24"/>
          <w:lang w:eastAsia="en-AU"/>
        </w:rPr>
      </w:pPr>
      <w:hyperlink w:anchor="_Toc214911997" w:history="1">
        <w:r w:rsidRPr="00F36EFC">
          <w:rPr>
            <w:rStyle w:val="Hyperlink"/>
            <w:noProof/>
          </w:rPr>
          <w:t>4.5   Recommendations</w:t>
        </w:r>
        <w:r>
          <w:rPr>
            <w:noProof/>
            <w:webHidden/>
          </w:rPr>
          <w:tab/>
        </w:r>
        <w:r>
          <w:rPr>
            <w:noProof/>
            <w:webHidden/>
          </w:rPr>
          <w:fldChar w:fldCharType="begin"/>
        </w:r>
        <w:r>
          <w:rPr>
            <w:noProof/>
            <w:webHidden/>
          </w:rPr>
          <w:instrText xml:space="preserve"> PAGEREF _Toc214911997 \h </w:instrText>
        </w:r>
        <w:r>
          <w:rPr>
            <w:noProof/>
            <w:webHidden/>
          </w:rPr>
        </w:r>
        <w:r>
          <w:rPr>
            <w:noProof/>
            <w:webHidden/>
          </w:rPr>
          <w:fldChar w:fldCharType="separate"/>
        </w:r>
        <w:r>
          <w:rPr>
            <w:noProof/>
            <w:webHidden/>
          </w:rPr>
          <w:t>56</w:t>
        </w:r>
        <w:r>
          <w:rPr>
            <w:noProof/>
            <w:webHidden/>
          </w:rPr>
          <w:fldChar w:fldCharType="end"/>
        </w:r>
      </w:hyperlink>
    </w:p>
    <w:p w14:paraId="00CCA1BF" w14:textId="6E8D3503" w:rsidR="0038256B" w:rsidRDefault="0038256B">
      <w:pPr>
        <w:pStyle w:val="TOC1"/>
        <w:rPr>
          <w:rFonts w:eastAsiaTheme="minorEastAsia"/>
          <w:b w:val="0"/>
          <w:bCs w:val="0"/>
          <w:sz w:val="24"/>
          <w:lang w:eastAsia="en-AU"/>
        </w:rPr>
      </w:pPr>
      <w:hyperlink w:anchor="_Toc214911998" w:history="1">
        <w:r w:rsidRPr="00F36EFC">
          <w:rPr>
            <w:rStyle w:val="Hyperlink"/>
          </w:rPr>
          <w:t>Chapter 5:  VPS size and structure</w:t>
        </w:r>
        <w:r>
          <w:rPr>
            <w:webHidden/>
          </w:rPr>
          <w:tab/>
        </w:r>
        <w:r>
          <w:rPr>
            <w:webHidden/>
          </w:rPr>
          <w:fldChar w:fldCharType="begin"/>
        </w:r>
        <w:r>
          <w:rPr>
            <w:webHidden/>
          </w:rPr>
          <w:instrText xml:space="preserve"> PAGEREF _Toc214911998 \h </w:instrText>
        </w:r>
        <w:r>
          <w:rPr>
            <w:webHidden/>
          </w:rPr>
        </w:r>
        <w:r>
          <w:rPr>
            <w:webHidden/>
          </w:rPr>
          <w:fldChar w:fldCharType="separate"/>
        </w:r>
        <w:r>
          <w:rPr>
            <w:webHidden/>
          </w:rPr>
          <w:t>59</w:t>
        </w:r>
        <w:r>
          <w:rPr>
            <w:webHidden/>
          </w:rPr>
          <w:fldChar w:fldCharType="end"/>
        </w:r>
      </w:hyperlink>
    </w:p>
    <w:p w14:paraId="4565C84B" w14:textId="02DEF785" w:rsidR="0038256B" w:rsidRDefault="0038256B">
      <w:pPr>
        <w:pStyle w:val="TOC2"/>
        <w:rPr>
          <w:rFonts w:eastAsiaTheme="minorEastAsia"/>
          <w:noProof/>
          <w:sz w:val="24"/>
          <w:lang w:eastAsia="en-AU"/>
        </w:rPr>
      </w:pPr>
      <w:hyperlink w:anchor="_Toc214911999" w:history="1">
        <w:r w:rsidRPr="00F36EFC">
          <w:rPr>
            <w:rStyle w:val="Hyperlink"/>
            <w:noProof/>
          </w:rPr>
          <w:t>5.1   Introduction</w:t>
        </w:r>
        <w:r>
          <w:rPr>
            <w:noProof/>
            <w:webHidden/>
          </w:rPr>
          <w:tab/>
        </w:r>
        <w:r>
          <w:rPr>
            <w:noProof/>
            <w:webHidden/>
          </w:rPr>
          <w:fldChar w:fldCharType="begin"/>
        </w:r>
        <w:r>
          <w:rPr>
            <w:noProof/>
            <w:webHidden/>
          </w:rPr>
          <w:instrText xml:space="preserve"> PAGEREF _Toc214911999 \h </w:instrText>
        </w:r>
        <w:r>
          <w:rPr>
            <w:noProof/>
            <w:webHidden/>
          </w:rPr>
        </w:r>
        <w:r>
          <w:rPr>
            <w:noProof/>
            <w:webHidden/>
          </w:rPr>
          <w:fldChar w:fldCharType="separate"/>
        </w:r>
        <w:r>
          <w:rPr>
            <w:noProof/>
            <w:webHidden/>
          </w:rPr>
          <w:t>59</w:t>
        </w:r>
        <w:r>
          <w:rPr>
            <w:noProof/>
            <w:webHidden/>
          </w:rPr>
          <w:fldChar w:fldCharType="end"/>
        </w:r>
      </w:hyperlink>
    </w:p>
    <w:p w14:paraId="6CC1D005" w14:textId="7692AFAE" w:rsidR="0038256B" w:rsidRDefault="0038256B">
      <w:pPr>
        <w:pStyle w:val="TOC2"/>
        <w:rPr>
          <w:rFonts w:eastAsiaTheme="minorEastAsia"/>
          <w:noProof/>
          <w:sz w:val="24"/>
          <w:lang w:eastAsia="en-AU"/>
        </w:rPr>
      </w:pPr>
      <w:hyperlink w:anchor="_Toc214912000" w:history="1">
        <w:r w:rsidRPr="00F36EFC">
          <w:rPr>
            <w:rStyle w:val="Hyperlink"/>
            <w:noProof/>
          </w:rPr>
          <w:t>5.2   VPS and public sector workforce growth</w:t>
        </w:r>
        <w:r>
          <w:rPr>
            <w:noProof/>
            <w:webHidden/>
          </w:rPr>
          <w:tab/>
        </w:r>
        <w:r>
          <w:rPr>
            <w:noProof/>
            <w:webHidden/>
          </w:rPr>
          <w:fldChar w:fldCharType="begin"/>
        </w:r>
        <w:r>
          <w:rPr>
            <w:noProof/>
            <w:webHidden/>
          </w:rPr>
          <w:instrText xml:space="preserve"> PAGEREF _Toc214912000 \h </w:instrText>
        </w:r>
        <w:r>
          <w:rPr>
            <w:noProof/>
            <w:webHidden/>
          </w:rPr>
        </w:r>
        <w:r>
          <w:rPr>
            <w:noProof/>
            <w:webHidden/>
          </w:rPr>
          <w:fldChar w:fldCharType="separate"/>
        </w:r>
        <w:r>
          <w:rPr>
            <w:noProof/>
            <w:webHidden/>
          </w:rPr>
          <w:t>60</w:t>
        </w:r>
        <w:r>
          <w:rPr>
            <w:noProof/>
            <w:webHidden/>
          </w:rPr>
          <w:fldChar w:fldCharType="end"/>
        </w:r>
      </w:hyperlink>
    </w:p>
    <w:p w14:paraId="62562EE6" w14:textId="3BB5744A" w:rsidR="0038256B" w:rsidRDefault="0038256B">
      <w:pPr>
        <w:pStyle w:val="TOC2"/>
        <w:rPr>
          <w:rFonts w:eastAsiaTheme="minorEastAsia"/>
          <w:noProof/>
          <w:sz w:val="24"/>
          <w:lang w:eastAsia="en-AU"/>
        </w:rPr>
      </w:pPr>
      <w:hyperlink w:anchor="_Toc214912001" w:history="1">
        <w:r w:rsidRPr="00F36EFC">
          <w:rPr>
            <w:rStyle w:val="Hyperlink"/>
            <w:noProof/>
          </w:rPr>
          <w:t>5.3   Spans and layers: good organisational design</w:t>
        </w:r>
        <w:r>
          <w:rPr>
            <w:noProof/>
            <w:webHidden/>
          </w:rPr>
          <w:tab/>
        </w:r>
        <w:r>
          <w:rPr>
            <w:noProof/>
            <w:webHidden/>
          </w:rPr>
          <w:fldChar w:fldCharType="begin"/>
        </w:r>
        <w:r>
          <w:rPr>
            <w:noProof/>
            <w:webHidden/>
          </w:rPr>
          <w:instrText xml:space="preserve"> PAGEREF _Toc214912001 \h </w:instrText>
        </w:r>
        <w:r>
          <w:rPr>
            <w:noProof/>
            <w:webHidden/>
          </w:rPr>
        </w:r>
        <w:r>
          <w:rPr>
            <w:noProof/>
            <w:webHidden/>
          </w:rPr>
          <w:fldChar w:fldCharType="separate"/>
        </w:r>
        <w:r>
          <w:rPr>
            <w:noProof/>
            <w:webHidden/>
          </w:rPr>
          <w:t>64</w:t>
        </w:r>
        <w:r>
          <w:rPr>
            <w:noProof/>
            <w:webHidden/>
          </w:rPr>
          <w:fldChar w:fldCharType="end"/>
        </w:r>
      </w:hyperlink>
    </w:p>
    <w:p w14:paraId="1F521ABA" w14:textId="621E6B54" w:rsidR="0038256B" w:rsidRDefault="0038256B">
      <w:pPr>
        <w:pStyle w:val="TOC2"/>
        <w:rPr>
          <w:rFonts w:eastAsiaTheme="minorEastAsia"/>
          <w:noProof/>
          <w:sz w:val="24"/>
          <w:lang w:eastAsia="en-AU"/>
        </w:rPr>
      </w:pPr>
      <w:hyperlink w:anchor="_Toc214912002" w:history="1">
        <w:r w:rsidRPr="00F36EFC">
          <w:rPr>
            <w:rStyle w:val="Hyperlink"/>
            <w:noProof/>
          </w:rPr>
          <w:t>5.4   Workforce reductions and rebalancing</w:t>
        </w:r>
        <w:r>
          <w:rPr>
            <w:noProof/>
            <w:webHidden/>
          </w:rPr>
          <w:tab/>
        </w:r>
        <w:r>
          <w:rPr>
            <w:noProof/>
            <w:webHidden/>
          </w:rPr>
          <w:fldChar w:fldCharType="begin"/>
        </w:r>
        <w:r>
          <w:rPr>
            <w:noProof/>
            <w:webHidden/>
          </w:rPr>
          <w:instrText xml:space="preserve"> PAGEREF _Toc214912002 \h </w:instrText>
        </w:r>
        <w:r>
          <w:rPr>
            <w:noProof/>
            <w:webHidden/>
          </w:rPr>
        </w:r>
        <w:r>
          <w:rPr>
            <w:noProof/>
            <w:webHidden/>
          </w:rPr>
          <w:fldChar w:fldCharType="separate"/>
        </w:r>
        <w:r>
          <w:rPr>
            <w:noProof/>
            <w:webHidden/>
          </w:rPr>
          <w:t>66</w:t>
        </w:r>
        <w:r>
          <w:rPr>
            <w:noProof/>
            <w:webHidden/>
          </w:rPr>
          <w:fldChar w:fldCharType="end"/>
        </w:r>
      </w:hyperlink>
    </w:p>
    <w:p w14:paraId="2BD81E00" w14:textId="116B3E9C" w:rsidR="0038256B" w:rsidRDefault="0038256B">
      <w:pPr>
        <w:pStyle w:val="TOC2"/>
        <w:rPr>
          <w:rFonts w:eastAsiaTheme="minorEastAsia"/>
          <w:noProof/>
          <w:sz w:val="24"/>
          <w:lang w:eastAsia="en-AU"/>
        </w:rPr>
      </w:pPr>
      <w:hyperlink w:anchor="_Toc214912003" w:history="1">
        <w:r w:rsidRPr="00F36EFC">
          <w:rPr>
            <w:rStyle w:val="Hyperlink"/>
            <w:noProof/>
          </w:rPr>
          <w:t>5.5   Need for improved data</w:t>
        </w:r>
        <w:r>
          <w:rPr>
            <w:noProof/>
            <w:webHidden/>
          </w:rPr>
          <w:tab/>
        </w:r>
        <w:r>
          <w:rPr>
            <w:noProof/>
            <w:webHidden/>
          </w:rPr>
          <w:fldChar w:fldCharType="begin"/>
        </w:r>
        <w:r>
          <w:rPr>
            <w:noProof/>
            <w:webHidden/>
          </w:rPr>
          <w:instrText xml:space="preserve"> PAGEREF _Toc214912003 \h </w:instrText>
        </w:r>
        <w:r>
          <w:rPr>
            <w:noProof/>
            <w:webHidden/>
          </w:rPr>
        </w:r>
        <w:r>
          <w:rPr>
            <w:noProof/>
            <w:webHidden/>
          </w:rPr>
          <w:fldChar w:fldCharType="separate"/>
        </w:r>
        <w:r>
          <w:rPr>
            <w:noProof/>
            <w:webHidden/>
          </w:rPr>
          <w:t>67</w:t>
        </w:r>
        <w:r>
          <w:rPr>
            <w:noProof/>
            <w:webHidden/>
          </w:rPr>
          <w:fldChar w:fldCharType="end"/>
        </w:r>
      </w:hyperlink>
    </w:p>
    <w:p w14:paraId="1D03A3F8" w14:textId="6D2280DB" w:rsidR="0038256B" w:rsidRDefault="0038256B">
      <w:pPr>
        <w:pStyle w:val="TOC2"/>
        <w:rPr>
          <w:rFonts w:eastAsiaTheme="minorEastAsia"/>
          <w:noProof/>
          <w:sz w:val="24"/>
          <w:lang w:eastAsia="en-AU"/>
        </w:rPr>
      </w:pPr>
      <w:hyperlink w:anchor="_Toc214912004" w:history="1">
        <w:r w:rsidRPr="00F36EFC">
          <w:rPr>
            <w:rStyle w:val="Hyperlink"/>
            <w:noProof/>
          </w:rPr>
          <w:t>5.6   Executive government/VPS protocol</w:t>
        </w:r>
        <w:r>
          <w:rPr>
            <w:noProof/>
            <w:webHidden/>
          </w:rPr>
          <w:tab/>
        </w:r>
        <w:r>
          <w:rPr>
            <w:noProof/>
            <w:webHidden/>
          </w:rPr>
          <w:fldChar w:fldCharType="begin"/>
        </w:r>
        <w:r>
          <w:rPr>
            <w:noProof/>
            <w:webHidden/>
          </w:rPr>
          <w:instrText xml:space="preserve"> PAGEREF _Toc214912004 \h </w:instrText>
        </w:r>
        <w:r>
          <w:rPr>
            <w:noProof/>
            <w:webHidden/>
          </w:rPr>
        </w:r>
        <w:r>
          <w:rPr>
            <w:noProof/>
            <w:webHidden/>
          </w:rPr>
          <w:fldChar w:fldCharType="separate"/>
        </w:r>
        <w:r>
          <w:rPr>
            <w:noProof/>
            <w:webHidden/>
          </w:rPr>
          <w:t>67</w:t>
        </w:r>
        <w:r>
          <w:rPr>
            <w:noProof/>
            <w:webHidden/>
          </w:rPr>
          <w:fldChar w:fldCharType="end"/>
        </w:r>
      </w:hyperlink>
    </w:p>
    <w:p w14:paraId="2FB61CE3" w14:textId="6D355C92" w:rsidR="0038256B" w:rsidRDefault="0038256B">
      <w:pPr>
        <w:pStyle w:val="TOC2"/>
        <w:rPr>
          <w:rFonts w:eastAsiaTheme="minorEastAsia"/>
          <w:noProof/>
          <w:sz w:val="24"/>
          <w:lang w:eastAsia="en-AU"/>
        </w:rPr>
      </w:pPr>
      <w:hyperlink w:anchor="_Toc214912005" w:history="1">
        <w:r w:rsidRPr="00F36EFC">
          <w:rPr>
            <w:rStyle w:val="Hyperlink"/>
            <w:noProof/>
          </w:rPr>
          <w:t>5.7   Capability reviews</w:t>
        </w:r>
        <w:r>
          <w:rPr>
            <w:noProof/>
            <w:webHidden/>
          </w:rPr>
          <w:tab/>
        </w:r>
        <w:r>
          <w:rPr>
            <w:noProof/>
            <w:webHidden/>
          </w:rPr>
          <w:fldChar w:fldCharType="begin"/>
        </w:r>
        <w:r>
          <w:rPr>
            <w:noProof/>
            <w:webHidden/>
          </w:rPr>
          <w:instrText xml:space="preserve"> PAGEREF _Toc214912005 \h </w:instrText>
        </w:r>
        <w:r>
          <w:rPr>
            <w:noProof/>
            <w:webHidden/>
          </w:rPr>
        </w:r>
        <w:r>
          <w:rPr>
            <w:noProof/>
            <w:webHidden/>
          </w:rPr>
          <w:fldChar w:fldCharType="separate"/>
        </w:r>
        <w:r>
          <w:rPr>
            <w:noProof/>
            <w:webHidden/>
          </w:rPr>
          <w:t>68</w:t>
        </w:r>
        <w:r>
          <w:rPr>
            <w:noProof/>
            <w:webHidden/>
          </w:rPr>
          <w:fldChar w:fldCharType="end"/>
        </w:r>
      </w:hyperlink>
    </w:p>
    <w:p w14:paraId="787F085A" w14:textId="6B5AFC4E" w:rsidR="0038256B" w:rsidRDefault="0038256B">
      <w:pPr>
        <w:pStyle w:val="TOC2"/>
        <w:rPr>
          <w:rFonts w:eastAsiaTheme="minorEastAsia"/>
          <w:noProof/>
          <w:sz w:val="24"/>
          <w:lang w:eastAsia="en-AU"/>
        </w:rPr>
      </w:pPr>
      <w:hyperlink w:anchor="_Toc214912006" w:history="1">
        <w:r w:rsidRPr="00F36EFC">
          <w:rPr>
            <w:rStyle w:val="Hyperlink"/>
            <w:noProof/>
          </w:rPr>
          <w:t>5.8   Implementation</w:t>
        </w:r>
        <w:r>
          <w:rPr>
            <w:noProof/>
            <w:webHidden/>
          </w:rPr>
          <w:tab/>
        </w:r>
        <w:r>
          <w:rPr>
            <w:noProof/>
            <w:webHidden/>
          </w:rPr>
          <w:fldChar w:fldCharType="begin"/>
        </w:r>
        <w:r>
          <w:rPr>
            <w:noProof/>
            <w:webHidden/>
          </w:rPr>
          <w:instrText xml:space="preserve"> PAGEREF _Toc214912006 \h </w:instrText>
        </w:r>
        <w:r>
          <w:rPr>
            <w:noProof/>
            <w:webHidden/>
          </w:rPr>
        </w:r>
        <w:r>
          <w:rPr>
            <w:noProof/>
            <w:webHidden/>
          </w:rPr>
          <w:fldChar w:fldCharType="separate"/>
        </w:r>
        <w:r>
          <w:rPr>
            <w:noProof/>
            <w:webHidden/>
          </w:rPr>
          <w:t>70</w:t>
        </w:r>
        <w:r>
          <w:rPr>
            <w:noProof/>
            <w:webHidden/>
          </w:rPr>
          <w:fldChar w:fldCharType="end"/>
        </w:r>
      </w:hyperlink>
    </w:p>
    <w:p w14:paraId="3C70675F" w14:textId="171CF2D0" w:rsidR="0038256B" w:rsidRDefault="0038256B">
      <w:pPr>
        <w:pStyle w:val="TOC2"/>
        <w:rPr>
          <w:rFonts w:eastAsiaTheme="minorEastAsia"/>
          <w:noProof/>
          <w:sz w:val="24"/>
          <w:lang w:eastAsia="en-AU"/>
        </w:rPr>
      </w:pPr>
      <w:hyperlink w:anchor="_Toc214912007" w:history="1">
        <w:r w:rsidRPr="00F36EFC">
          <w:rPr>
            <w:rStyle w:val="Hyperlink"/>
            <w:noProof/>
          </w:rPr>
          <w:t>5.9   Recommendations</w:t>
        </w:r>
        <w:r>
          <w:rPr>
            <w:noProof/>
            <w:webHidden/>
          </w:rPr>
          <w:tab/>
        </w:r>
        <w:r>
          <w:rPr>
            <w:noProof/>
            <w:webHidden/>
          </w:rPr>
          <w:fldChar w:fldCharType="begin"/>
        </w:r>
        <w:r>
          <w:rPr>
            <w:noProof/>
            <w:webHidden/>
          </w:rPr>
          <w:instrText xml:space="preserve"> PAGEREF _Toc214912007 \h </w:instrText>
        </w:r>
        <w:r>
          <w:rPr>
            <w:noProof/>
            <w:webHidden/>
          </w:rPr>
        </w:r>
        <w:r>
          <w:rPr>
            <w:noProof/>
            <w:webHidden/>
          </w:rPr>
          <w:fldChar w:fldCharType="separate"/>
        </w:r>
        <w:r>
          <w:rPr>
            <w:noProof/>
            <w:webHidden/>
          </w:rPr>
          <w:t>71</w:t>
        </w:r>
        <w:r>
          <w:rPr>
            <w:noProof/>
            <w:webHidden/>
          </w:rPr>
          <w:fldChar w:fldCharType="end"/>
        </w:r>
      </w:hyperlink>
    </w:p>
    <w:p w14:paraId="3F3A78F6" w14:textId="0FBE7355" w:rsidR="0038256B" w:rsidRDefault="0038256B">
      <w:pPr>
        <w:pStyle w:val="TOC1"/>
        <w:rPr>
          <w:rFonts w:eastAsiaTheme="minorEastAsia"/>
          <w:b w:val="0"/>
          <w:bCs w:val="0"/>
          <w:sz w:val="24"/>
          <w:lang w:eastAsia="en-AU"/>
        </w:rPr>
      </w:pPr>
      <w:hyperlink w:anchor="_Toc214912008" w:history="1">
        <w:r w:rsidRPr="00F36EFC">
          <w:rPr>
            <w:rStyle w:val="Hyperlink"/>
          </w:rPr>
          <w:t>Chapter 6:  Public entity reform</w:t>
        </w:r>
        <w:r>
          <w:rPr>
            <w:webHidden/>
          </w:rPr>
          <w:tab/>
        </w:r>
        <w:r>
          <w:rPr>
            <w:webHidden/>
          </w:rPr>
          <w:fldChar w:fldCharType="begin"/>
        </w:r>
        <w:r>
          <w:rPr>
            <w:webHidden/>
          </w:rPr>
          <w:instrText xml:space="preserve"> PAGEREF _Toc214912008 \h </w:instrText>
        </w:r>
        <w:r>
          <w:rPr>
            <w:webHidden/>
          </w:rPr>
        </w:r>
        <w:r>
          <w:rPr>
            <w:webHidden/>
          </w:rPr>
          <w:fldChar w:fldCharType="separate"/>
        </w:r>
        <w:r>
          <w:rPr>
            <w:webHidden/>
          </w:rPr>
          <w:t>73</w:t>
        </w:r>
        <w:r>
          <w:rPr>
            <w:webHidden/>
          </w:rPr>
          <w:fldChar w:fldCharType="end"/>
        </w:r>
      </w:hyperlink>
    </w:p>
    <w:p w14:paraId="413F39DA" w14:textId="01612D77" w:rsidR="0038256B" w:rsidRDefault="0038256B">
      <w:pPr>
        <w:pStyle w:val="TOC2"/>
        <w:rPr>
          <w:rFonts w:eastAsiaTheme="minorEastAsia"/>
          <w:noProof/>
          <w:sz w:val="24"/>
          <w:lang w:eastAsia="en-AU"/>
        </w:rPr>
      </w:pPr>
      <w:hyperlink w:anchor="_Toc214912009" w:history="1">
        <w:r w:rsidRPr="00F36EFC">
          <w:rPr>
            <w:rStyle w:val="Hyperlink"/>
            <w:noProof/>
          </w:rPr>
          <w:t>6.1   Introduction</w:t>
        </w:r>
        <w:r>
          <w:rPr>
            <w:noProof/>
            <w:webHidden/>
          </w:rPr>
          <w:tab/>
        </w:r>
        <w:r>
          <w:rPr>
            <w:noProof/>
            <w:webHidden/>
          </w:rPr>
          <w:fldChar w:fldCharType="begin"/>
        </w:r>
        <w:r>
          <w:rPr>
            <w:noProof/>
            <w:webHidden/>
          </w:rPr>
          <w:instrText xml:space="preserve"> PAGEREF _Toc214912009 \h </w:instrText>
        </w:r>
        <w:r>
          <w:rPr>
            <w:noProof/>
            <w:webHidden/>
          </w:rPr>
        </w:r>
        <w:r>
          <w:rPr>
            <w:noProof/>
            <w:webHidden/>
          </w:rPr>
          <w:fldChar w:fldCharType="separate"/>
        </w:r>
        <w:r>
          <w:rPr>
            <w:noProof/>
            <w:webHidden/>
          </w:rPr>
          <w:t>73</w:t>
        </w:r>
        <w:r>
          <w:rPr>
            <w:noProof/>
            <w:webHidden/>
          </w:rPr>
          <w:fldChar w:fldCharType="end"/>
        </w:r>
      </w:hyperlink>
    </w:p>
    <w:p w14:paraId="319B3AC9" w14:textId="61346E1C" w:rsidR="0038256B" w:rsidRDefault="0038256B">
      <w:pPr>
        <w:pStyle w:val="TOC2"/>
        <w:rPr>
          <w:rFonts w:eastAsiaTheme="minorEastAsia"/>
          <w:noProof/>
          <w:sz w:val="24"/>
          <w:lang w:eastAsia="en-AU"/>
        </w:rPr>
      </w:pPr>
      <w:hyperlink w:anchor="_Toc214912010" w:history="1">
        <w:r w:rsidRPr="00F36EFC">
          <w:rPr>
            <w:rStyle w:val="Hyperlink"/>
            <w:rFonts w:eastAsia="Aptos"/>
            <w:noProof/>
          </w:rPr>
          <w:t>6.2   Assessment framework for public entities</w:t>
        </w:r>
        <w:r>
          <w:rPr>
            <w:noProof/>
            <w:webHidden/>
          </w:rPr>
          <w:tab/>
        </w:r>
        <w:r>
          <w:rPr>
            <w:noProof/>
            <w:webHidden/>
          </w:rPr>
          <w:fldChar w:fldCharType="begin"/>
        </w:r>
        <w:r>
          <w:rPr>
            <w:noProof/>
            <w:webHidden/>
          </w:rPr>
          <w:instrText xml:space="preserve"> PAGEREF _Toc214912010 \h </w:instrText>
        </w:r>
        <w:r>
          <w:rPr>
            <w:noProof/>
            <w:webHidden/>
          </w:rPr>
        </w:r>
        <w:r>
          <w:rPr>
            <w:noProof/>
            <w:webHidden/>
          </w:rPr>
          <w:fldChar w:fldCharType="separate"/>
        </w:r>
        <w:r>
          <w:rPr>
            <w:noProof/>
            <w:webHidden/>
          </w:rPr>
          <w:t>75</w:t>
        </w:r>
        <w:r>
          <w:rPr>
            <w:noProof/>
            <w:webHidden/>
          </w:rPr>
          <w:fldChar w:fldCharType="end"/>
        </w:r>
      </w:hyperlink>
    </w:p>
    <w:p w14:paraId="2B2AFBA6" w14:textId="14E38692" w:rsidR="0038256B" w:rsidRDefault="0038256B">
      <w:pPr>
        <w:pStyle w:val="TOC2"/>
        <w:rPr>
          <w:rFonts w:eastAsiaTheme="minorEastAsia"/>
          <w:noProof/>
          <w:sz w:val="24"/>
          <w:lang w:eastAsia="en-AU"/>
        </w:rPr>
      </w:pPr>
      <w:hyperlink w:anchor="_Toc214912011" w:history="1">
        <w:r w:rsidRPr="00F36EFC">
          <w:rPr>
            <w:rStyle w:val="Hyperlink"/>
            <w:rFonts w:eastAsia="Aptos"/>
            <w:noProof/>
          </w:rPr>
          <w:t>6.3   Reducing the number of public entities</w:t>
        </w:r>
        <w:r>
          <w:rPr>
            <w:noProof/>
            <w:webHidden/>
          </w:rPr>
          <w:tab/>
        </w:r>
        <w:r>
          <w:rPr>
            <w:noProof/>
            <w:webHidden/>
          </w:rPr>
          <w:fldChar w:fldCharType="begin"/>
        </w:r>
        <w:r>
          <w:rPr>
            <w:noProof/>
            <w:webHidden/>
          </w:rPr>
          <w:instrText xml:space="preserve"> PAGEREF _Toc214912011 \h </w:instrText>
        </w:r>
        <w:r>
          <w:rPr>
            <w:noProof/>
            <w:webHidden/>
          </w:rPr>
        </w:r>
        <w:r>
          <w:rPr>
            <w:noProof/>
            <w:webHidden/>
          </w:rPr>
          <w:fldChar w:fldCharType="separate"/>
        </w:r>
        <w:r>
          <w:rPr>
            <w:noProof/>
            <w:webHidden/>
          </w:rPr>
          <w:t>76</w:t>
        </w:r>
        <w:r>
          <w:rPr>
            <w:noProof/>
            <w:webHidden/>
          </w:rPr>
          <w:fldChar w:fldCharType="end"/>
        </w:r>
      </w:hyperlink>
    </w:p>
    <w:p w14:paraId="2B04E5D9" w14:textId="7659AFAB" w:rsidR="0038256B" w:rsidRDefault="0038256B">
      <w:pPr>
        <w:pStyle w:val="TOC2"/>
        <w:rPr>
          <w:rFonts w:eastAsiaTheme="minorEastAsia"/>
          <w:noProof/>
          <w:sz w:val="24"/>
          <w:lang w:eastAsia="en-AU"/>
        </w:rPr>
      </w:pPr>
      <w:hyperlink w:anchor="_Toc214912012" w:history="1">
        <w:r w:rsidRPr="00F36EFC">
          <w:rPr>
            <w:rStyle w:val="Hyperlink"/>
            <w:noProof/>
          </w:rPr>
          <w:t>6.4   Ongoing administration and oversight of public entities</w:t>
        </w:r>
        <w:r>
          <w:rPr>
            <w:noProof/>
            <w:webHidden/>
          </w:rPr>
          <w:tab/>
        </w:r>
        <w:r>
          <w:rPr>
            <w:noProof/>
            <w:webHidden/>
          </w:rPr>
          <w:fldChar w:fldCharType="begin"/>
        </w:r>
        <w:r>
          <w:rPr>
            <w:noProof/>
            <w:webHidden/>
          </w:rPr>
          <w:instrText xml:space="preserve"> PAGEREF _Toc214912012 \h </w:instrText>
        </w:r>
        <w:r>
          <w:rPr>
            <w:noProof/>
            <w:webHidden/>
          </w:rPr>
        </w:r>
        <w:r>
          <w:rPr>
            <w:noProof/>
            <w:webHidden/>
          </w:rPr>
          <w:fldChar w:fldCharType="separate"/>
        </w:r>
        <w:r>
          <w:rPr>
            <w:noProof/>
            <w:webHidden/>
          </w:rPr>
          <w:t>87</w:t>
        </w:r>
        <w:r>
          <w:rPr>
            <w:noProof/>
            <w:webHidden/>
          </w:rPr>
          <w:fldChar w:fldCharType="end"/>
        </w:r>
      </w:hyperlink>
    </w:p>
    <w:p w14:paraId="75F287CD" w14:textId="6836C09F" w:rsidR="0038256B" w:rsidRDefault="0038256B">
      <w:pPr>
        <w:pStyle w:val="TOC2"/>
        <w:rPr>
          <w:rFonts w:eastAsiaTheme="minorEastAsia"/>
          <w:noProof/>
          <w:sz w:val="24"/>
          <w:lang w:eastAsia="en-AU"/>
        </w:rPr>
      </w:pPr>
      <w:hyperlink w:anchor="_Toc214912013" w:history="1">
        <w:r w:rsidRPr="00F36EFC">
          <w:rPr>
            <w:rStyle w:val="Hyperlink"/>
            <w:noProof/>
          </w:rPr>
          <w:t>6.5   Implementation</w:t>
        </w:r>
        <w:r>
          <w:rPr>
            <w:noProof/>
            <w:webHidden/>
          </w:rPr>
          <w:tab/>
        </w:r>
        <w:r>
          <w:rPr>
            <w:noProof/>
            <w:webHidden/>
          </w:rPr>
          <w:fldChar w:fldCharType="begin"/>
        </w:r>
        <w:r>
          <w:rPr>
            <w:noProof/>
            <w:webHidden/>
          </w:rPr>
          <w:instrText xml:space="preserve"> PAGEREF _Toc214912013 \h </w:instrText>
        </w:r>
        <w:r>
          <w:rPr>
            <w:noProof/>
            <w:webHidden/>
          </w:rPr>
        </w:r>
        <w:r>
          <w:rPr>
            <w:noProof/>
            <w:webHidden/>
          </w:rPr>
          <w:fldChar w:fldCharType="separate"/>
        </w:r>
        <w:r>
          <w:rPr>
            <w:noProof/>
            <w:webHidden/>
          </w:rPr>
          <w:t>89</w:t>
        </w:r>
        <w:r>
          <w:rPr>
            <w:noProof/>
            <w:webHidden/>
          </w:rPr>
          <w:fldChar w:fldCharType="end"/>
        </w:r>
      </w:hyperlink>
    </w:p>
    <w:p w14:paraId="7450B8BC" w14:textId="69938B16" w:rsidR="0038256B" w:rsidRDefault="0038256B">
      <w:pPr>
        <w:pStyle w:val="TOC2"/>
        <w:rPr>
          <w:rFonts w:eastAsiaTheme="minorEastAsia"/>
          <w:noProof/>
          <w:sz w:val="24"/>
          <w:lang w:eastAsia="en-AU"/>
        </w:rPr>
      </w:pPr>
      <w:hyperlink w:anchor="_Toc214912014" w:history="1">
        <w:r w:rsidRPr="00F36EFC">
          <w:rPr>
            <w:rStyle w:val="Hyperlink"/>
            <w:noProof/>
          </w:rPr>
          <w:t>6.6   Recommendations</w:t>
        </w:r>
        <w:r>
          <w:rPr>
            <w:noProof/>
            <w:webHidden/>
          </w:rPr>
          <w:tab/>
        </w:r>
        <w:r>
          <w:rPr>
            <w:noProof/>
            <w:webHidden/>
          </w:rPr>
          <w:fldChar w:fldCharType="begin"/>
        </w:r>
        <w:r>
          <w:rPr>
            <w:noProof/>
            <w:webHidden/>
          </w:rPr>
          <w:instrText xml:space="preserve"> PAGEREF _Toc214912014 \h </w:instrText>
        </w:r>
        <w:r>
          <w:rPr>
            <w:noProof/>
            <w:webHidden/>
          </w:rPr>
        </w:r>
        <w:r>
          <w:rPr>
            <w:noProof/>
            <w:webHidden/>
          </w:rPr>
          <w:fldChar w:fldCharType="separate"/>
        </w:r>
        <w:r>
          <w:rPr>
            <w:noProof/>
            <w:webHidden/>
          </w:rPr>
          <w:t>90</w:t>
        </w:r>
        <w:r>
          <w:rPr>
            <w:noProof/>
            <w:webHidden/>
          </w:rPr>
          <w:fldChar w:fldCharType="end"/>
        </w:r>
      </w:hyperlink>
    </w:p>
    <w:p w14:paraId="57CBE87A" w14:textId="6168FE39" w:rsidR="0038256B" w:rsidRDefault="0038256B">
      <w:pPr>
        <w:pStyle w:val="TOC1"/>
        <w:rPr>
          <w:rFonts w:eastAsiaTheme="minorEastAsia"/>
          <w:b w:val="0"/>
          <w:bCs w:val="0"/>
          <w:sz w:val="24"/>
          <w:lang w:eastAsia="en-AU"/>
        </w:rPr>
      </w:pPr>
      <w:hyperlink w:anchor="_Toc214912015" w:history="1">
        <w:r w:rsidRPr="00F36EFC">
          <w:rPr>
            <w:rStyle w:val="Hyperlink"/>
          </w:rPr>
          <w:t>Chapter 7:  Accelerating digital capability</w:t>
        </w:r>
        <w:r>
          <w:rPr>
            <w:webHidden/>
          </w:rPr>
          <w:tab/>
        </w:r>
        <w:r>
          <w:rPr>
            <w:webHidden/>
          </w:rPr>
          <w:fldChar w:fldCharType="begin"/>
        </w:r>
        <w:r>
          <w:rPr>
            <w:webHidden/>
          </w:rPr>
          <w:instrText xml:space="preserve"> PAGEREF _Toc214912015 \h </w:instrText>
        </w:r>
        <w:r>
          <w:rPr>
            <w:webHidden/>
          </w:rPr>
        </w:r>
        <w:r>
          <w:rPr>
            <w:webHidden/>
          </w:rPr>
          <w:fldChar w:fldCharType="separate"/>
        </w:r>
        <w:r>
          <w:rPr>
            <w:webHidden/>
          </w:rPr>
          <w:t>91</w:t>
        </w:r>
        <w:r>
          <w:rPr>
            <w:webHidden/>
          </w:rPr>
          <w:fldChar w:fldCharType="end"/>
        </w:r>
      </w:hyperlink>
    </w:p>
    <w:p w14:paraId="44A2649D" w14:textId="2423FB73" w:rsidR="0038256B" w:rsidRDefault="0038256B">
      <w:pPr>
        <w:pStyle w:val="TOC2"/>
        <w:rPr>
          <w:rFonts w:eastAsiaTheme="minorEastAsia"/>
          <w:noProof/>
          <w:sz w:val="24"/>
          <w:lang w:eastAsia="en-AU"/>
        </w:rPr>
      </w:pPr>
      <w:hyperlink w:anchor="_Toc214912016" w:history="1">
        <w:r w:rsidRPr="00F36EFC">
          <w:rPr>
            <w:rStyle w:val="Hyperlink"/>
            <w:rFonts w:ascii="Aptos" w:hAnsi="Aptos"/>
            <w:noProof/>
          </w:rPr>
          <w:t>7.1   Introduction</w:t>
        </w:r>
        <w:r>
          <w:rPr>
            <w:noProof/>
            <w:webHidden/>
          </w:rPr>
          <w:tab/>
        </w:r>
        <w:r>
          <w:rPr>
            <w:noProof/>
            <w:webHidden/>
          </w:rPr>
          <w:fldChar w:fldCharType="begin"/>
        </w:r>
        <w:r>
          <w:rPr>
            <w:noProof/>
            <w:webHidden/>
          </w:rPr>
          <w:instrText xml:space="preserve"> PAGEREF _Toc214912016 \h </w:instrText>
        </w:r>
        <w:r>
          <w:rPr>
            <w:noProof/>
            <w:webHidden/>
          </w:rPr>
        </w:r>
        <w:r>
          <w:rPr>
            <w:noProof/>
            <w:webHidden/>
          </w:rPr>
          <w:fldChar w:fldCharType="separate"/>
        </w:r>
        <w:r>
          <w:rPr>
            <w:noProof/>
            <w:webHidden/>
          </w:rPr>
          <w:t>91</w:t>
        </w:r>
        <w:r>
          <w:rPr>
            <w:noProof/>
            <w:webHidden/>
          </w:rPr>
          <w:fldChar w:fldCharType="end"/>
        </w:r>
      </w:hyperlink>
    </w:p>
    <w:p w14:paraId="24FAC223" w14:textId="1F32B06E" w:rsidR="0038256B" w:rsidRDefault="0038256B">
      <w:pPr>
        <w:pStyle w:val="TOC2"/>
        <w:rPr>
          <w:rFonts w:eastAsiaTheme="minorEastAsia"/>
          <w:noProof/>
          <w:sz w:val="24"/>
          <w:lang w:eastAsia="en-AU"/>
        </w:rPr>
      </w:pPr>
      <w:hyperlink w:anchor="_Toc214912017" w:history="1">
        <w:r w:rsidRPr="00F36EFC">
          <w:rPr>
            <w:rStyle w:val="Hyperlink"/>
            <w:noProof/>
          </w:rPr>
          <w:t>7.2   The role of the Department of Government Services</w:t>
        </w:r>
        <w:r>
          <w:rPr>
            <w:noProof/>
            <w:webHidden/>
          </w:rPr>
          <w:tab/>
        </w:r>
        <w:r>
          <w:rPr>
            <w:noProof/>
            <w:webHidden/>
          </w:rPr>
          <w:fldChar w:fldCharType="begin"/>
        </w:r>
        <w:r>
          <w:rPr>
            <w:noProof/>
            <w:webHidden/>
          </w:rPr>
          <w:instrText xml:space="preserve"> PAGEREF _Toc214912017 \h </w:instrText>
        </w:r>
        <w:r>
          <w:rPr>
            <w:noProof/>
            <w:webHidden/>
          </w:rPr>
        </w:r>
        <w:r>
          <w:rPr>
            <w:noProof/>
            <w:webHidden/>
          </w:rPr>
          <w:fldChar w:fldCharType="separate"/>
        </w:r>
        <w:r>
          <w:rPr>
            <w:noProof/>
            <w:webHidden/>
          </w:rPr>
          <w:t>92</w:t>
        </w:r>
        <w:r>
          <w:rPr>
            <w:noProof/>
            <w:webHidden/>
          </w:rPr>
          <w:fldChar w:fldCharType="end"/>
        </w:r>
      </w:hyperlink>
    </w:p>
    <w:p w14:paraId="42F69028" w14:textId="0692E4A9" w:rsidR="0038256B" w:rsidRDefault="0038256B">
      <w:pPr>
        <w:pStyle w:val="TOC2"/>
        <w:rPr>
          <w:rFonts w:eastAsiaTheme="minorEastAsia"/>
          <w:noProof/>
          <w:sz w:val="24"/>
          <w:lang w:eastAsia="en-AU"/>
        </w:rPr>
      </w:pPr>
      <w:hyperlink w:anchor="_Toc214912018" w:history="1">
        <w:r w:rsidRPr="00F36EFC">
          <w:rPr>
            <w:rStyle w:val="Hyperlink"/>
            <w:noProof/>
          </w:rPr>
          <w:t>7.3   Conditions for successful reform</w:t>
        </w:r>
        <w:r>
          <w:rPr>
            <w:noProof/>
            <w:webHidden/>
          </w:rPr>
          <w:tab/>
        </w:r>
        <w:r>
          <w:rPr>
            <w:noProof/>
            <w:webHidden/>
          </w:rPr>
          <w:fldChar w:fldCharType="begin"/>
        </w:r>
        <w:r>
          <w:rPr>
            <w:noProof/>
            <w:webHidden/>
          </w:rPr>
          <w:instrText xml:space="preserve"> PAGEREF _Toc214912018 \h </w:instrText>
        </w:r>
        <w:r>
          <w:rPr>
            <w:noProof/>
            <w:webHidden/>
          </w:rPr>
        </w:r>
        <w:r>
          <w:rPr>
            <w:noProof/>
            <w:webHidden/>
          </w:rPr>
          <w:fldChar w:fldCharType="separate"/>
        </w:r>
        <w:r>
          <w:rPr>
            <w:noProof/>
            <w:webHidden/>
          </w:rPr>
          <w:t>92</w:t>
        </w:r>
        <w:r>
          <w:rPr>
            <w:noProof/>
            <w:webHidden/>
          </w:rPr>
          <w:fldChar w:fldCharType="end"/>
        </w:r>
      </w:hyperlink>
    </w:p>
    <w:p w14:paraId="08052766" w14:textId="57430F63" w:rsidR="0038256B" w:rsidRDefault="0038256B">
      <w:pPr>
        <w:pStyle w:val="TOC2"/>
        <w:rPr>
          <w:rFonts w:eastAsiaTheme="minorEastAsia"/>
          <w:noProof/>
          <w:sz w:val="24"/>
          <w:lang w:eastAsia="en-AU"/>
        </w:rPr>
      </w:pPr>
      <w:hyperlink w:anchor="_Toc214912019" w:history="1">
        <w:r w:rsidRPr="00F36EFC">
          <w:rPr>
            <w:rStyle w:val="Hyperlink"/>
            <w:noProof/>
          </w:rPr>
          <w:t>7.4   Digital reform priorities</w:t>
        </w:r>
        <w:r>
          <w:rPr>
            <w:noProof/>
            <w:webHidden/>
          </w:rPr>
          <w:tab/>
        </w:r>
        <w:r>
          <w:rPr>
            <w:noProof/>
            <w:webHidden/>
          </w:rPr>
          <w:fldChar w:fldCharType="begin"/>
        </w:r>
        <w:r>
          <w:rPr>
            <w:noProof/>
            <w:webHidden/>
          </w:rPr>
          <w:instrText xml:space="preserve"> PAGEREF _Toc214912019 \h </w:instrText>
        </w:r>
        <w:r>
          <w:rPr>
            <w:noProof/>
            <w:webHidden/>
          </w:rPr>
        </w:r>
        <w:r>
          <w:rPr>
            <w:noProof/>
            <w:webHidden/>
          </w:rPr>
          <w:fldChar w:fldCharType="separate"/>
        </w:r>
        <w:r>
          <w:rPr>
            <w:noProof/>
            <w:webHidden/>
          </w:rPr>
          <w:t>93</w:t>
        </w:r>
        <w:r>
          <w:rPr>
            <w:noProof/>
            <w:webHidden/>
          </w:rPr>
          <w:fldChar w:fldCharType="end"/>
        </w:r>
      </w:hyperlink>
    </w:p>
    <w:p w14:paraId="48C537DD" w14:textId="46E28B06" w:rsidR="0038256B" w:rsidRDefault="0038256B">
      <w:pPr>
        <w:pStyle w:val="TOC2"/>
        <w:rPr>
          <w:rFonts w:eastAsiaTheme="minorEastAsia"/>
          <w:noProof/>
          <w:sz w:val="24"/>
          <w:lang w:eastAsia="en-AU"/>
        </w:rPr>
      </w:pPr>
      <w:hyperlink w:anchor="_Toc214912020" w:history="1">
        <w:r w:rsidRPr="00F36EFC">
          <w:rPr>
            <w:rStyle w:val="Hyperlink"/>
            <w:noProof/>
          </w:rPr>
          <w:t>7.5   Implementation</w:t>
        </w:r>
        <w:r>
          <w:rPr>
            <w:noProof/>
            <w:webHidden/>
          </w:rPr>
          <w:tab/>
        </w:r>
        <w:r>
          <w:rPr>
            <w:noProof/>
            <w:webHidden/>
          </w:rPr>
          <w:fldChar w:fldCharType="begin"/>
        </w:r>
        <w:r>
          <w:rPr>
            <w:noProof/>
            <w:webHidden/>
          </w:rPr>
          <w:instrText xml:space="preserve"> PAGEREF _Toc214912020 \h </w:instrText>
        </w:r>
        <w:r>
          <w:rPr>
            <w:noProof/>
            <w:webHidden/>
          </w:rPr>
        </w:r>
        <w:r>
          <w:rPr>
            <w:noProof/>
            <w:webHidden/>
          </w:rPr>
          <w:fldChar w:fldCharType="separate"/>
        </w:r>
        <w:r>
          <w:rPr>
            <w:noProof/>
            <w:webHidden/>
          </w:rPr>
          <w:t>99</w:t>
        </w:r>
        <w:r>
          <w:rPr>
            <w:noProof/>
            <w:webHidden/>
          </w:rPr>
          <w:fldChar w:fldCharType="end"/>
        </w:r>
      </w:hyperlink>
    </w:p>
    <w:p w14:paraId="50FD01E2" w14:textId="197198D1" w:rsidR="0038256B" w:rsidRDefault="0038256B">
      <w:pPr>
        <w:pStyle w:val="TOC2"/>
        <w:rPr>
          <w:rFonts w:eastAsiaTheme="minorEastAsia"/>
          <w:noProof/>
          <w:sz w:val="24"/>
          <w:lang w:eastAsia="en-AU"/>
        </w:rPr>
      </w:pPr>
      <w:hyperlink w:anchor="_Toc214912021" w:history="1">
        <w:r w:rsidRPr="00F36EFC">
          <w:rPr>
            <w:rStyle w:val="Hyperlink"/>
            <w:noProof/>
          </w:rPr>
          <w:t>7.6   Recommendations</w:t>
        </w:r>
        <w:r>
          <w:rPr>
            <w:noProof/>
            <w:webHidden/>
          </w:rPr>
          <w:tab/>
        </w:r>
        <w:r>
          <w:rPr>
            <w:noProof/>
            <w:webHidden/>
          </w:rPr>
          <w:fldChar w:fldCharType="begin"/>
        </w:r>
        <w:r>
          <w:rPr>
            <w:noProof/>
            <w:webHidden/>
          </w:rPr>
          <w:instrText xml:space="preserve"> PAGEREF _Toc214912021 \h </w:instrText>
        </w:r>
        <w:r>
          <w:rPr>
            <w:noProof/>
            <w:webHidden/>
          </w:rPr>
        </w:r>
        <w:r>
          <w:rPr>
            <w:noProof/>
            <w:webHidden/>
          </w:rPr>
          <w:fldChar w:fldCharType="separate"/>
        </w:r>
        <w:r>
          <w:rPr>
            <w:noProof/>
            <w:webHidden/>
          </w:rPr>
          <w:t>102</w:t>
        </w:r>
        <w:r>
          <w:rPr>
            <w:noProof/>
            <w:webHidden/>
          </w:rPr>
          <w:fldChar w:fldCharType="end"/>
        </w:r>
      </w:hyperlink>
    </w:p>
    <w:p w14:paraId="153E2AD3" w14:textId="42406A17" w:rsidR="0038256B" w:rsidRDefault="0038256B">
      <w:pPr>
        <w:pStyle w:val="TOC1"/>
        <w:rPr>
          <w:rFonts w:eastAsiaTheme="minorEastAsia"/>
          <w:b w:val="0"/>
          <w:bCs w:val="0"/>
          <w:sz w:val="24"/>
          <w:lang w:eastAsia="en-AU"/>
        </w:rPr>
      </w:pPr>
      <w:hyperlink w:anchor="_Toc214912022" w:history="1">
        <w:r w:rsidRPr="00F36EFC">
          <w:rPr>
            <w:rStyle w:val="Hyperlink"/>
          </w:rPr>
          <w:t>Chapter 8:  Portfolio and other reforms</w:t>
        </w:r>
        <w:r>
          <w:rPr>
            <w:webHidden/>
          </w:rPr>
          <w:tab/>
        </w:r>
        <w:r>
          <w:rPr>
            <w:webHidden/>
          </w:rPr>
          <w:fldChar w:fldCharType="begin"/>
        </w:r>
        <w:r>
          <w:rPr>
            <w:webHidden/>
          </w:rPr>
          <w:instrText xml:space="preserve"> PAGEREF _Toc214912022 \h </w:instrText>
        </w:r>
        <w:r>
          <w:rPr>
            <w:webHidden/>
          </w:rPr>
        </w:r>
        <w:r>
          <w:rPr>
            <w:webHidden/>
          </w:rPr>
          <w:fldChar w:fldCharType="separate"/>
        </w:r>
        <w:r>
          <w:rPr>
            <w:webHidden/>
          </w:rPr>
          <w:t>103</w:t>
        </w:r>
        <w:r>
          <w:rPr>
            <w:webHidden/>
          </w:rPr>
          <w:fldChar w:fldCharType="end"/>
        </w:r>
      </w:hyperlink>
    </w:p>
    <w:p w14:paraId="0CFD8D77" w14:textId="040BE69E" w:rsidR="0038256B" w:rsidRDefault="0038256B">
      <w:pPr>
        <w:pStyle w:val="TOC2"/>
        <w:rPr>
          <w:rFonts w:eastAsiaTheme="minorEastAsia"/>
          <w:noProof/>
          <w:sz w:val="24"/>
          <w:lang w:eastAsia="en-AU"/>
        </w:rPr>
      </w:pPr>
      <w:hyperlink w:anchor="_Toc214912023" w:history="1">
        <w:r w:rsidRPr="00F36EFC">
          <w:rPr>
            <w:rStyle w:val="Hyperlink"/>
            <w:noProof/>
          </w:rPr>
          <w:t>8.1   Introduction</w:t>
        </w:r>
        <w:r>
          <w:rPr>
            <w:noProof/>
            <w:webHidden/>
          </w:rPr>
          <w:tab/>
        </w:r>
        <w:r>
          <w:rPr>
            <w:noProof/>
            <w:webHidden/>
          </w:rPr>
          <w:fldChar w:fldCharType="begin"/>
        </w:r>
        <w:r>
          <w:rPr>
            <w:noProof/>
            <w:webHidden/>
          </w:rPr>
          <w:instrText xml:space="preserve"> PAGEREF _Toc214912023 \h </w:instrText>
        </w:r>
        <w:r>
          <w:rPr>
            <w:noProof/>
            <w:webHidden/>
          </w:rPr>
        </w:r>
        <w:r>
          <w:rPr>
            <w:noProof/>
            <w:webHidden/>
          </w:rPr>
          <w:fldChar w:fldCharType="separate"/>
        </w:r>
        <w:r>
          <w:rPr>
            <w:noProof/>
            <w:webHidden/>
          </w:rPr>
          <w:t>103</w:t>
        </w:r>
        <w:r>
          <w:rPr>
            <w:noProof/>
            <w:webHidden/>
          </w:rPr>
          <w:fldChar w:fldCharType="end"/>
        </w:r>
      </w:hyperlink>
    </w:p>
    <w:p w14:paraId="7628B32B" w14:textId="6BAE715C" w:rsidR="0038256B" w:rsidRDefault="0038256B">
      <w:pPr>
        <w:pStyle w:val="TOC2"/>
        <w:rPr>
          <w:rFonts w:eastAsiaTheme="minorEastAsia"/>
          <w:noProof/>
          <w:sz w:val="24"/>
          <w:lang w:eastAsia="en-AU"/>
        </w:rPr>
      </w:pPr>
      <w:hyperlink w:anchor="_Toc214912024" w:history="1">
        <w:r w:rsidRPr="00F36EFC">
          <w:rPr>
            <w:rStyle w:val="Hyperlink"/>
            <w:noProof/>
          </w:rPr>
          <w:t>8.2   Opportunities for portfolio reforms – case studies</w:t>
        </w:r>
        <w:r>
          <w:rPr>
            <w:noProof/>
            <w:webHidden/>
          </w:rPr>
          <w:tab/>
        </w:r>
        <w:r>
          <w:rPr>
            <w:noProof/>
            <w:webHidden/>
          </w:rPr>
          <w:fldChar w:fldCharType="begin"/>
        </w:r>
        <w:r>
          <w:rPr>
            <w:noProof/>
            <w:webHidden/>
          </w:rPr>
          <w:instrText xml:space="preserve"> PAGEREF _Toc214912024 \h </w:instrText>
        </w:r>
        <w:r>
          <w:rPr>
            <w:noProof/>
            <w:webHidden/>
          </w:rPr>
        </w:r>
        <w:r>
          <w:rPr>
            <w:noProof/>
            <w:webHidden/>
          </w:rPr>
          <w:fldChar w:fldCharType="separate"/>
        </w:r>
        <w:r>
          <w:rPr>
            <w:noProof/>
            <w:webHidden/>
          </w:rPr>
          <w:t>104</w:t>
        </w:r>
        <w:r>
          <w:rPr>
            <w:noProof/>
            <w:webHidden/>
          </w:rPr>
          <w:fldChar w:fldCharType="end"/>
        </w:r>
      </w:hyperlink>
    </w:p>
    <w:p w14:paraId="126E6785" w14:textId="0D67FFEF" w:rsidR="0038256B" w:rsidRDefault="0038256B">
      <w:pPr>
        <w:pStyle w:val="TOC2"/>
        <w:rPr>
          <w:rFonts w:eastAsiaTheme="minorEastAsia"/>
          <w:noProof/>
          <w:sz w:val="24"/>
          <w:lang w:eastAsia="en-AU"/>
        </w:rPr>
      </w:pPr>
      <w:hyperlink w:anchor="_Toc214912025" w:history="1">
        <w:r w:rsidRPr="00F36EFC">
          <w:rPr>
            <w:rStyle w:val="Hyperlink"/>
            <w:noProof/>
          </w:rPr>
          <w:t>8.3   Additional savings opportunities</w:t>
        </w:r>
        <w:r>
          <w:rPr>
            <w:noProof/>
            <w:webHidden/>
          </w:rPr>
          <w:tab/>
        </w:r>
        <w:r>
          <w:rPr>
            <w:noProof/>
            <w:webHidden/>
          </w:rPr>
          <w:fldChar w:fldCharType="begin"/>
        </w:r>
        <w:r>
          <w:rPr>
            <w:noProof/>
            <w:webHidden/>
          </w:rPr>
          <w:instrText xml:space="preserve"> PAGEREF _Toc214912025 \h </w:instrText>
        </w:r>
        <w:r>
          <w:rPr>
            <w:noProof/>
            <w:webHidden/>
          </w:rPr>
        </w:r>
        <w:r>
          <w:rPr>
            <w:noProof/>
            <w:webHidden/>
          </w:rPr>
          <w:fldChar w:fldCharType="separate"/>
        </w:r>
        <w:r>
          <w:rPr>
            <w:noProof/>
            <w:webHidden/>
          </w:rPr>
          <w:t>110</w:t>
        </w:r>
        <w:r>
          <w:rPr>
            <w:noProof/>
            <w:webHidden/>
          </w:rPr>
          <w:fldChar w:fldCharType="end"/>
        </w:r>
      </w:hyperlink>
    </w:p>
    <w:p w14:paraId="30860633" w14:textId="3EA4E1DC" w:rsidR="0038256B" w:rsidRDefault="0038256B">
      <w:pPr>
        <w:pStyle w:val="TOC1"/>
        <w:rPr>
          <w:rFonts w:eastAsiaTheme="minorEastAsia"/>
          <w:b w:val="0"/>
          <w:bCs w:val="0"/>
          <w:sz w:val="24"/>
          <w:lang w:eastAsia="en-AU"/>
        </w:rPr>
      </w:pPr>
      <w:hyperlink w:anchor="_Toc214912026" w:history="1">
        <w:r w:rsidRPr="00F36EFC">
          <w:rPr>
            <w:rStyle w:val="Hyperlink"/>
          </w:rPr>
          <w:t>Chapter 9:  Implementation of the Review</w:t>
        </w:r>
        <w:r>
          <w:rPr>
            <w:webHidden/>
          </w:rPr>
          <w:tab/>
        </w:r>
        <w:r>
          <w:rPr>
            <w:webHidden/>
          </w:rPr>
          <w:fldChar w:fldCharType="begin"/>
        </w:r>
        <w:r>
          <w:rPr>
            <w:webHidden/>
          </w:rPr>
          <w:instrText xml:space="preserve"> PAGEREF _Toc214912026 \h </w:instrText>
        </w:r>
        <w:r>
          <w:rPr>
            <w:webHidden/>
          </w:rPr>
        </w:r>
        <w:r>
          <w:rPr>
            <w:webHidden/>
          </w:rPr>
          <w:fldChar w:fldCharType="separate"/>
        </w:r>
        <w:r>
          <w:rPr>
            <w:webHidden/>
          </w:rPr>
          <w:t>117</w:t>
        </w:r>
        <w:r>
          <w:rPr>
            <w:webHidden/>
          </w:rPr>
          <w:fldChar w:fldCharType="end"/>
        </w:r>
      </w:hyperlink>
    </w:p>
    <w:p w14:paraId="20A8A4CD" w14:textId="107ABF9C" w:rsidR="0038256B" w:rsidRDefault="0038256B">
      <w:pPr>
        <w:pStyle w:val="TOC2"/>
        <w:rPr>
          <w:rFonts w:eastAsiaTheme="minorEastAsia"/>
          <w:noProof/>
          <w:sz w:val="24"/>
          <w:lang w:eastAsia="en-AU"/>
        </w:rPr>
      </w:pPr>
      <w:hyperlink w:anchor="_Toc214912027" w:history="1">
        <w:r w:rsidRPr="00F36EFC">
          <w:rPr>
            <w:rStyle w:val="Hyperlink"/>
            <w:noProof/>
          </w:rPr>
          <w:t>9.1   Urgency for change</w:t>
        </w:r>
        <w:r>
          <w:rPr>
            <w:noProof/>
            <w:webHidden/>
          </w:rPr>
          <w:tab/>
        </w:r>
        <w:r>
          <w:rPr>
            <w:noProof/>
            <w:webHidden/>
          </w:rPr>
          <w:fldChar w:fldCharType="begin"/>
        </w:r>
        <w:r>
          <w:rPr>
            <w:noProof/>
            <w:webHidden/>
          </w:rPr>
          <w:instrText xml:space="preserve"> PAGEREF _Toc214912027 \h </w:instrText>
        </w:r>
        <w:r>
          <w:rPr>
            <w:noProof/>
            <w:webHidden/>
          </w:rPr>
        </w:r>
        <w:r>
          <w:rPr>
            <w:noProof/>
            <w:webHidden/>
          </w:rPr>
          <w:fldChar w:fldCharType="separate"/>
        </w:r>
        <w:r>
          <w:rPr>
            <w:noProof/>
            <w:webHidden/>
          </w:rPr>
          <w:t>117</w:t>
        </w:r>
        <w:r>
          <w:rPr>
            <w:noProof/>
            <w:webHidden/>
          </w:rPr>
          <w:fldChar w:fldCharType="end"/>
        </w:r>
      </w:hyperlink>
    </w:p>
    <w:p w14:paraId="00C710E3" w14:textId="63E48ED4" w:rsidR="0038256B" w:rsidRDefault="0038256B">
      <w:pPr>
        <w:pStyle w:val="TOC2"/>
        <w:rPr>
          <w:rFonts w:eastAsiaTheme="minorEastAsia"/>
          <w:noProof/>
          <w:sz w:val="24"/>
          <w:lang w:eastAsia="en-AU"/>
        </w:rPr>
      </w:pPr>
      <w:hyperlink w:anchor="_Toc214912028" w:history="1">
        <w:r w:rsidRPr="00F36EFC">
          <w:rPr>
            <w:rStyle w:val="Hyperlink"/>
            <w:noProof/>
          </w:rPr>
          <w:t>9.2   Need for a dedicated implementation approach</w:t>
        </w:r>
        <w:r>
          <w:rPr>
            <w:noProof/>
            <w:webHidden/>
          </w:rPr>
          <w:tab/>
        </w:r>
        <w:r>
          <w:rPr>
            <w:noProof/>
            <w:webHidden/>
          </w:rPr>
          <w:fldChar w:fldCharType="begin"/>
        </w:r>
        <w:r>
          <w:rPr>
            <w:noProof/>
            <w:webHidden/>
          </w:rPr>
          <w:instrText xml:space="preserve"> PAGEREF _Toc214912028 \h </w:instrText>
        </w:r>
        <w:r>
          <w:rPr>
            <w:noProof/>
            <w:webHidden/>
          </w:rPr>
        </w:r>
        <w:r>
          <w:rPr>
            <w:noProof/>
            <w:webHidden/>
          </w:rPr>
          <w:fldChar w:fldCharType="separate"/>
        </w:r>
        <w:r>
          <w:rPr>
            <w:noProof/>
            <w:webHidden/>
          </w:rPr>
          <w:t>117</w:t>
        </w:r>
        <w:r>
          <w:rPr>
            <w:noProof/>
            <w:webHidden/>
          </w:rPr>
          <w:fldChar w:fldCharType="end"/>
        </w:r>
      </w:hyperlink>
    </w:p>
    <w:p w14:paraId="6FDF81B8" w14:textId="371227E1" w:rsidR="0038256B" w:rsidRDefault="0038256B">
      <w:pPr>
        <w:pStyle w:val="TOC2"/>
        <w:rPr>
          <w:rFonts w:eastAsiaTheme="minorEastAsia"/>
          <w:noProof/>
          <w:sz w:val="24"/>
          <w:lang w:eastAsia="en-AU"/>
        </w:rPr>
      </w:pPr>
      <w:hyperlink w:anchor="_Toc214912029" w:history="1">
        <w:r w:rsidRPr="00F36EFC">
          <w:rPr>
            <w:rStyle w:val="Hyperlink"/>
            <w:bCs/>
            <w:noProof/>
          </w:rPr>
          <w:t>9.3   Implementation governance</w:t>
        </w:r>
        <w:r>
          <w:rPr>
            <w:noProof/>
            <w:webHidden/>
          </w:rPr>
          <w:tab/>
        </w:r>
        <w:r>
          <w:rPr>
            <w:noProof/>
            <w:webHidden/>
          </w:rPr>
          <w:fldChar w:fldCharType="begin"/>
        </w:r>
        <w:r>
          <w:rPr>
            <w:noProof/>
            <w:webHidden/>
          </w:rPr>
          <w:instrText xml:space="preserve"> PAGEREF _Toc214912029 \h </w:instrText>
        </w:r>
        <w:r>
          <w:rPr>
            <w:noProof/>
            <w:webHidden/>
          </w:rPr>
        </w:r>
        <w:r>
          <w:rPr>
            <w:noProof/>
            <w:webHidden/>
          </w:rPr>
          <w:fldChar w:fldCharType="separate"/>
        </w:r>
        <w:r>
          <w:rPr>
            <w:noProof/>
            <w:webHidden/>
          </w:rPr>
          <w:t>118</w:t>
        </w:r>
        <w:r>
          <w:rPr>
            <w:noProof/>
            <w:webHidden/>
          </w:rPr>
          <w:fldChar w:fldCharType="end"/>
        </w:r>
      </w:hyperlink>
    </w:p>
    <w:p w14:paraId="6C8064F5" w14:textId="1EE4CADE" w:rsidR="0038256B" w:rsidRDefault="0038256B">
      <w:pPr>
        <w:pStyle w:val="TOC2"/>
        <w:rPr>
          <w:rFonts w:eastAsiaTheme="minorEastAsia"/>
          <w:noProof/>
          <w:sz w:val="24"/>
          <w:lang w:eastAsia="en-AU"/>
        </w:rPr>
      </w:pPr>
      <w:hyperlink w:anchor="_Toc214912030" w:history="1">
        <w:r w:rsidRPr="00F36EFC">
          <w:rPr>
            <w:rStyle w:val="Hyperlink"/>
            <w:noProof/>
          </w:rPr>
          <w:t>9.4   Immediate priorities</w:t>
        </w:r>
        <w:r>
          <w:rPr>
            <w:noProof/>
            <w:webHidden/>
          </w:rPr>
          <w:tab/>
        </w:r>
        <w:r>
          <w:rPr>
            <w:noProof/>
            <w:webHidden/>
          </w:rPr>
          <w:fldChar w:fldCharType="begin"/>
        </w:r>
        <w:r>
          <w:rPr>
            <w:noProof/>
            <w:webHidden/>
          </w:rPr>
          <w:instrText xml:space="preserve"> PAGEREF _Toc214912030 \h </w:instrText>
        </w:r>
        <w:r>
          <w:rPr>
            <w:noProof/>
            <w:webHidden/>
          </w:rPr>
        </w:r>
        <w:r>
          <w:rPr>
            <w:noProof/>
            <w:webHidden/>
          </w:rPr>
          <w:fldChar w:fldCharType="separate"/>
        </w:r>
        <w:r>
          <w:rPr>
            <w:noProof/>
            <w:webHidden/>
          </w:rPr>
          <w:t>119</w:t>
        </w:r>
        <w:r>
          <w:rPr>
            <w:noProof/>
            <w:webHidden/>
          </w:rPr>
          <w:fldChar w:fldCharType="end"/>
        </w:r>
      </w:hyperlink>
    </w:p>
    <w:p w14:paraId="14ADECCA" w14:textId="2EE06938" w:rsidR="0038256B" w:rsidRDefault="0038256B">
      <w:pPr>
        <w:pStyle w:val="TOC2"/>
        <w:rPr>
          <w:rFonts w:eastAsiaTheme="minorEastAsia"/>
          <w:noProof/>
          <w:sz w:val="24"/>
          <w:lang w:eastAsia="en-AU"/>
        </w:rPr>
      </w:pPr>
      <w:hyperlink w:anchor="_Toc214912031" w:history="1">
        <w:r w:rsidRPr="00F36EFC">
          <w:rPr>
            <w:rStyle w:val="Hyperlink"/>
            <w:bCs/>
            <w:noProof/>
          </w:rPr>
          <w:t xml:space="preserve">9.5   </w:t>
        </w:r>
        <w:r w:rsidRPr="00F36EFC">
          <w:rPr>
            <w:rStyle w:val="Hyperlink"/>
            <w:noProof/>
          </w:rPr>
          <w:t>Recommendations</w:t>
        </w:r>
        <w:r>
          <w:rPr>
            <w:noProof/>
            <w:webHidden/>
          </w:rPr>
          <w:tab/>
        </w:r>
        <w:r>
          <w:rPr>
            <w:noProof/>
            <w:webHidden/>
          </w:rPr>
          <w:fldChar w:fldCharType="begin"/>
        </w:r>
        <w:r>
          <w:rPr>
            <w:noProof/>
            <w:webHidden/>
          </w:rPr>
          <w:instrText xml:space="preserve"> PAGEREF _Toc214912031 \h </w:instrText>
        </w:r>
        <w:r>
          <w:rPr>
            <w:noProof/>
            <w:webHidden/>
          </w:rPr>
        </w:r>
        <w:r>
          <w:rPr>
            <w:noProof/>
            <w:webHidden/>
          </w:rPr>
          <w:fldChar w:fldCharType="separate"/>
        </w:r>
        <w:r>
          <w:rPr>
            <w:noProof/>
            <w:webHidden/>
          </w:rPr>
          <w:t>120</w:t>
        </w:r>
        <w:r>
          <w:rPr>
            <w:noProof/>
            <w:webHidden/>
          </w:rPr>
          <w:fldChar w:fldCharType="end"/>
        </w:r>
      </w:hyperlink>
    </w:p>
    <w:p w14:paraId="6F61B681" w14:textId="6B5DB7C1" w:rsidR="0038256B" w:rsidRDefault="0038256B">
      <w:pPr>
        <w:pStyle w:val="TOC1"/>
        <w:rPr>
          <w:rFonts w:eastAsiaTheme="minorEastAsia"/>
          <w:b w:val="0"/>
          <w:bCs w:val="0"/>
          <w:sz w:val="24"/>
          <w:lang w:eastAsia="en-AU"/>
        </w:rPr>
      </w:pPr>
      <w:hyperlink w:anchor="_Toc214912032" w:history="1">
        <w:r w:rsidRPr="00F36EFC">
          <w:rPr>
            <w:rStyle w:val="Hyperlink"/>
          </w:rPr>
          <w:t>Appendix A:  Terms of Reference</w:t>
        </w:r>
        <w:r>
          <w:rPr>
            <w:webHidden/>
          </w:rPr>
          <w:tab/>
        </w:r>
        <w:r>
          <w:rPr>
            <w:webHidden/>
          </w:rPr>
          <w:fldChar w:fldCharType="begin"/>
        </w:r>
        <w:r>
          <w:rPr>
            <w:webHidden/>
          </w:rPr>
          <w:instrText xml:space="preserve"> PAGEREF _Toc214912032 \h </w:instrText>
        </w:r>
        <w:r>
          <w:rPr>
            <w:webHidden/>
          </w:rPr>
        </w:r>
        <w:r>
          <w:rPr>
            <w:webHidden/>
          </w:rPr>
          <w:fldChar w:fldCharType="separate"/>
        </w:r>
        <w:r>
          <w:rPr>
            <w:webHidden/>
          </w:rPr>
          <w:t>123</w:t>
        </w:r>
        <w:r>
          <w:rPr>
            <w:webHidden/>
          </w:rPr>
          <w:fldChar w:fldCharType="end"/>
        </w:r>
      </w:hyperlink>
    </w:p>
    <w:p w14:paraId="12A36AC0" w14:textId="34230D2E" w:rsidR="0038256B" w:rsidRDefault="0038256B">
      <w:pPr>
        <w:pStyle w:val="TOC1"/>
        <w:rPr>
          <w:rFonts w:eastAsiaTheme="minorEastAsia"/>
          <w:b w:val="0"/>
          <w:bCs w:val="0"/>
          <w:sz w:val="24"/>
          <w:lang w:eastAsia="en-AU"/>
        </w:rPr>
      </w:pPr>
      <w:hyperlink w:anchor="_Toc214912033" w:history="1">
        <w:r w:rsidRPr="00F36EFC">
          <w:rPr>
            <w:rStyle w:val="Hyperlink"/>
          </w:rPr>
          <w:t>Appendix B:  Departmental summaries</w:t>
        </w:r>
        <w:r>
          <w:rPr>
            <w:webHidden/>
          </w:rPr>
          <w:tab/>
        </w:r>
        <w:r>
          <w:rPr>
            <w:webHidden/>
          </w:rPr>
          <w:fldChar w:fldCharType="begin"/>
        </w:r>
        <w:r>
          <w:rPr>
            <w:webHidden/>
          </w:rPr>
          <w:instrText xml:space="preserve"> PAGEREF _Toc214912033 \h </w:instrText>
        </w:r>
        <w:r>
          <w:rPr>
            <w:webHidden/>
          </w:rPr>
        </w:r>
        <w:r>
          <w:rPr>
            <w:webHidden/>
          </w:rPr>
          <w:fldChar w:fldCharType="separate"/>
        </w:r>
        <w:r>
          <w:rPr>
            <w:webHidden/>
          </w:rPr>
          <w:t>125</w:t>
        </w:r>
        <w:r>
          <w:rPr>
            <w:webHidden/>
          </w:rPr>
          <w:fldChar w:fldCharType="end"/>
        </w:r>
      </w:hyperlink>
    </w:p>
    <w:p w14:paraId="22431334" w14:textId="600DEB82" w:rsidR="0038256B" w:rsidRDefault="0038256B">
      <w:pPr>
        <w:pStyle w:val="TOC1"/>
        <w:rPr>
          <w:rFonts w:eastAsiaTheme="minorEastAsia"/>
          <w:b w:val="0"/>
          <w:bCs w:val="0"/>
          <w:sz w:val="24"/>
          <w:lang w:eastAsia="en-AU"/>
        </w:rPr>
      </w:pPr>
      <w:hyperlink w:anchor="_Toc214912034" w:history="1">
        <w:r w:rsidRPr="00F36EFC">
          <w:rPr>
            <w:rStyle w:val="Hyperlink"/>
          </w:rPr>
          <w:t>Appendix C:  Public entity reform</w:t>
        </w:r>
        <w:r>
          <w:rPr>
            <w:webHidden/>
          </w:rPr>
          <w:tab/>
        </w:r>
        <w:r>
          <w:rPr>
            <w:webHidden/>
          </w:rPr>
          <w:fldChar w:fldCharType="begin"/>
        </w:r>
        <w:r>
          <w:rPr>
            <w:webHidden/>
          </w:rPr>
          <w:instrText xml:space="preserve"> PAGEREF _Toc214912034 \h </w:instrText>
        </w:r>
        <w:r>
          <w:rPr>
            <w:webHidden/>
          </w:rPr>
        </w:r>
        <w:r>
          <w:rPr>
            <w:webHidden/>
          </w:rPr>
          <w:fldChar w:fldCharType="separate"/>
        </w:r>
        <w:r>
          <w:rPr>
            <w:webHidden/>
          </w:rPr>
          <w:t>137</w:t>
        </w:r>
        <w:r>
          <w:rPr>
            <w:webHidden/>
          </w:rPr>
          <w:fldChar w:fldCharType="end"/>
        </w:r>
      </w:hyperlink>
    </w:p>
    <w:p w14:paraId="0244885D" w14:textId="4C39FAEC" w:rsidR="0038256B" w:rsidRDefault="0038256B">
      <w:pPr>
        <w:pStyle w:val="TOC1"/>
        <w:rPr>
          <w:rFonts w:eastAsiaTheme="minorEastAsia"/>
          <w:b w:val="0"/>
          <w:bCs w:val="0"/>
          <w:sz w:val="24"/>
          <w:lang w:eastAsia="en-AU"/>
        </w:rPr>
      </w:pPr>
      <w:hyperlink w:anchor="_Toc214912035" w:history="1">
        <w:r w:rsidRPr="00F36EFC">
          <w:rPr>
            <w:rStyle w:val="Hyperlink"/>
          </w:rPr>
          <w:t>Abbreviations and glossary of key terms</w:t>
        </w:r>
        <w:r>
          <w:rPr>
            <w:webHidden/>
          </w:rPr>
          <w:tab/>
        </w:r>
        <w:r>
          <w:rPr>
            <w:webHidden/>
          </w:rPr>
          <w:fldChar w:fldCharType="begin"/>
        </w:r>
        <w:r>
          <w:rPr>
            <w:webHidden/>
          </w:rPr>
          <w:instrText xml:space="preserve"> PAGEREF _Toc214912035 \h </w:instrText>
        </w:r>
        <w:r>
          <w:rPr>
            <w:webHidden/>
          </w:rPr>
        </w:r>
        <w:r>
          <w:rPr>
            <w:webHidden/>
          </w:rPr>
          <w:fldChar w:fldCharType="separate"/>
        </w:r>
        <w:r>
          <w:rPr>
            <w:webHidden/>
          </w:rPr>
          <w:t>151</w:t>
        </w:r>
        <w:r>
          <w:rPr>
            <w:webHidden/>
          </w:rPr>
          <w:fldChar w:fldCharType="end"/>
        </w:r>
      </w:hyperlink>
    </w:p>
    <w:p w14:paraId="4D06706B" w14:textId="1A2FFC6D" w:rsidR="00F4367D" w:rsidRDefault="004417D1" w:rsidP="003D175E">
      <w:r>
        <w:fldChar w:fldCharType="end"/>
      </w:r>
      <w:bookmarkStart w:id="6" w:name="_Toc202523959"/>
    </w:p>
    <w:p w14:paraId="546572E3" w14:textId="77777777" w:rsidR="00C55742" w:rsidRDefault="00C55742">
      <w:pPr>
        <w:sectPr w:rsidR="00C55742" w:rsidSect="00043353">
          <w:type w:val="continuous"/>
          <w:pgSz w:w="11906" w:h="16838"/>
          <w:pgMar w:top="1440" w:right="1440" w:bottom="1440" w:left="1440" w:header="708" w:footer="708" w:gutter="0"/>
          <w:pgNumType w:fmt="lowerRoman"/>
          <w:cols w:space="708"/>
          <w:docGrid w:linePitch="360"/>
          <w15:footnoteColumns w:val="1"/>
        </w:sectPr>
      </w:pPr>
    </w:p>
    <w:p w14:paraId="31D47CB1" w14:textId="77777777" w:rsidR="00133CDF" w:rsidRDefault="00326265" w:rsidP="00133CDF">
      <w:pPr>
        <w:pStyle w:val="Heading1"/>
      </w:pPr>
      <w:bookmarkStart w:id="7" w:name="_Toc214911979"/>
      <w:r>
        <w:lastRenderedPageBreak/>
        <w:t>C</w:t>
      </w:r>
      <w:r w:rsidR="00F729A4">
        <w:t xml:space="preserve">hapter 1: </w:t>
      </w:r>
      <w:r w:rsidR="000568EF">
        <w:t xml:space="preserve"> </w:t>
      </w:r>
      <w:r w:rsidR="004F0371" w:rsidRPr="00961301">
        <w:t>Executive summary</w:t>
      </w:r>
      <w:bookmarkEnd w:id="6"/>
      <w:bookmarkEnd w:id="7"/>
    </w:p>
    <w:p w14:paraId="00382625" w14:textId="77777777" w:rsidR="00EF7234" w:rsidRDefault="00EF7234" w:rsidP="003D175E">
      <w:pPr>
        <w:rPr>
          <w:szCs w:val="22"/>
        </w:rPr>
        <w:sectPr w:rsidR="00EF7234" w:rsidSect="00C55742">
          <w:pgSz w:w="11906" w:h="16838"/>
          <w:pgMar w:top="1440" w:right="1440" w:bottom="1440" w:left="1440" w:header="708" w:footer="708" w:gutter="0"/>
          <w:pgNumType w:start="1"/>
          <w:cols w:space="708"/>
          <w:docGrid w:linePitch="360"/>
          <w15:footnoteColumns w:val="1"/>
        </w:sectPr>
      </w:pPr>
    </w:p>
    <w:p w14:paraId="3827304A" w14:textId="590E2F93" w:rsidR="00186893" w:rsidRPr="005C3FD1" w:rsidRDefault="00186893" w:rsidP="003D175E">
      <w:pPr>
        <w:rPr>
          <w:szCs w:val="22"/>
          <w:highlight w:val="green"/>
        </w:rPr>
      </w:pPr>
      <w:r w:rsidRPr="003B75DA">
        <w:rPr>
          <w:szCs w:val="22"/>
        </w:rPr>
        <w:t>The Victorian community is well-served by</w:t>
      </w:r>
      <w:r w:rsidR="00FA4088">
        <w:rPr>
          <w:szCs w:val="22"/>
        </w:rPr>
        <w:t> </w:t>
      </w:r>
      <w:r w:rsidRPr="003B75DA">
        <w:rPr>
          <w:szCs w:val="22"/>
        </w:rPr>
        <w:t>its public service and public sector. Victoria’s economy is resilient, and Victorians generally enjoy high</w:t>
      </w:r>
      <w:r w:rsidR="00D44999">
        <w:rPr>
          <w:szCs w:val="22"/>
        </w:rPr>
        <w:t xml:space="preserve"> </w:t>
      </w:r>
      <w:r w:rsidRPr="003B75DA">
        <w:rPr>
          <w:szCs w:val="22"/>
        </w:rPr>
        <w:t>quality</w:t>
      </w:r>
      <w:r w:rsidR="00EB73C9">
        <w:rPr>
          <w:szCs w:val="22"/>
        </w:rPr>
        <w:t xml:space="preserve"> </w:t>
      </w:r>
      <w:r w:rsidRPr="003B75DA">
        <w:rPr>
          <w:szCs w:val="22"/>
        </w:rPr>
        <w:t>services.</w:t>
      </w:r>
    </w:p>
    <w:p w14:paraId="77100F41" w14:textId="7AC1553A" w:rsidR="004F0371" w:rsidRPr="004865C8" w:rsidRDefault="004F0371" w:rsidP="003D175E">
      <w:pPr>
        <w:rPr>
          <w:szCs w:val="22"/>
        </w:rPr>
      </w:pPr>
      <w:r>
        <w:rPr>
          <w:szCs w:val="22"/>
        </w:rPr>
        <w:t xml:space="preserve">In addressing its Terms of Reference, the Independent Review of the </w:t>
      </w:r>
      <w:r w:rsidR="00135787" w:rsidRPr="00DC2CB5">
        <w:rPr>
          <w:szCs w:val="22"/>
        </w:rPr>
        <w:t>Victorian Public</w:t>
      </w:r>
      <w:r w:rsidR="00EB73C9">
        <w:rPr>
          <w:szCs w:val="22"/>
        </w:rPr>
        <w:t> </w:t>
      </w:r>
      <w:r w:rsidR="00135787" w:rsidRPr="00DC2CB5">
        <w:rPr>
          <w:szCs w:val="22"/>
        </w:rPr>
        <w:t>Service</w:t>
      </w:r>
      <w:r w:rsidR="00135787">
        <w:rPr>
          <w:szCs w:val="22"/>
        </w:rPr>
        <w:t xml:space="preserve"> (</w:t>
      </w:r>
      <w:r>
        <w:rPr>
          <w:szCs w:val="22"/>
        </w:rPr>
        <w:t>VPS</w:t>
      </w:r>
      <w:r w:rsidR="00135787">
        <w:rPr>
          <w:szCs w:val="22"/>
        </w:rPr>
        <w:t>)</w:t>
      </w:r>
      <w:r>
        <w:rPr>
          <w:szCs w:val="22"/>
        </w:rPr>
        <w:t xml:space="preserve"> has </w:t>
      </w:r>
      <w:r w:rsidRPr="004865C8">
        <w:rPr>
          <w:szCs w:val="22"/>
        </w:rPr>
        <w:t>started from principles of strong public financial management and good public policy</w:t>
      </w:r>
      <w:r>
        <w:rPr>
          <w:szCs w:val="22"/>
        </w:rPr>
        <w:t>. The</w:t>
      </w:r>
      <w:r w:rsidR="0031353F">
        <w:rPr>
          <w:szCs w:val="22"/>
        </w:rPr>
        <w:t> </w:t>
      </w:r>
      <w:r>
        <w:rPr>
          <w:szCs w:val="22"/>
        </w:rPr>
        <w:t>Review has taken a big picture view – the current context of the Victorian Government’s operating expenditure and its challenges, the government’s current fiscal strategy and financial management approach, the size and shape of the VPS and the public sector, and their systems, processes and culture. These are important con</w:t>
      </w:r>
      <w:r w:rsidRPr="00BE4FAB">
        <w:rPr>
          <w:szCs w:val="22"/>
        </w:rPr>
        <w:t xml:space="preserve">siderations </w:t>
      </w:r>
      <w:r w:rsidRPr="004865C8">
        <w:rPr>
          <w:szCs w:val="22"/>
        </w:rPr>
        <w:t>for the Review to be able to give advice about right-sizing program expenditure, consolidating public entities, and returning the VPS towards its pre-pandemic share of employment.</w:t>
      </w:r>
    </w:p>
    <w:p w14:paraId="3E2631DD" w14:textId="38FCFA09" w:rsidR="004F0371" w:rsidRDefault="004F0371" w:rsidP="003D175E">
      <w:pPr>
        <w:rPr>
          <w:szCs w:val="22"/>
        </w:rPr>
      </w:pPr>
      <w:r w:rsidRPr="004865C8">
        <w:rPr>
          <w:szCs w:val="22"/>
        </w:rPr>
        <w:t xml:space="preserve">In total, the Review makes recommendations that amount to savings of </w:t>
      </w:r>
      <w:r w:rsidR="00D05F21">
        <w:rPr>
          <w:szCs w:val="22"/>
        </w:rPr>
        <w:t>around</w:t>
      </w:r>
      <w:r w:rsidRPr="004865C8">
        <w:rPr>
          <w:szCs w:val="22"/>
        </w:rPr>
        <w:t xml:space="preserve"> </w:t>
      </w:r>
      <w:r w:rsidRPr="00DC2CB5">
        <w:rPr>
          <w:szCs w:val="22"/>
        </w:rPr>
        <w:t>$</w:t>
      </w:r>
      <w:r w:rsidR="00D05F21" w:rsidRPr="00DC2CB5">
        <w:rPr>
          <w:szCs w:val="22"/>
        </w:rPr>
        <w:t>5</w:t>
      </w:r>
      <w:r w:rsidRPr="00DC2CB5">
        <w:rPr>
          <w:szCs w:val="22"/>
        </w:rPr>
        <w:t xml:space="preserve"> billion</w:t>
      </w:r>
      <w:r w:rsidRPr="004865C8">
        <w:rPr>
          <w:szCs w:val="22"/>
        </w:rPr>
        <w:t xml:space="preserve"> </w:t>
      </w:r>
      <w:r w:rsidRPr="00DC2CB5">
        <w:rPr>
          <w:szCs w:val="22"/>
        </w:rPr>
        <w:t>over 4</w:t>
      </w:r>
      <w:r w:rsidR="005A3F82" w:rsidRPr="00DC2CB5">
        <w:rPr>
          <w:szCs w:val="22"/>
        </w:rPr>
        <w:t> </w:t>
      </w:r>
      <w:r w:rsidRPr="00DC2CB5">
        <w:rPr>
          <w:szCs w:val="22"/>
        </w:rPr>
        <w:t xml:space="preserve">years from </w:t>
      </w:r>
      <w:r w:rsidR="00FA4088">
        <w:rPr>
          <w:szCs w:val="22"/>
        </w:rPr>
        <w:br/>
      </w:r>
      <w:r w:rsidRPr="00DC2CB5">
        <w:rPr>
          <w:szCs w:val="22"/>
        </w:rPr>
        <w:t>2025–26</w:t>
      </w:r>
      <w:r w:rsidRPr="004865C8">
        <w:rPr>
          <w:szCs w:val="22"/>
        </w:rPr>
        <w:t xml:space="preserve">. This includes a reduction of </w:t>
      </w:r>
      <w:r w:rsidRPr="00DC2CB5">
        <w:rPr>
          <w:szCs w:val="22"/>
        </w:rPr>
        <w:t>more than 2,000 ongoing FTE</w:t>
      </w:r>
      <w:r w:rsidRPr="004865C8">
        <w:rPr>
          <w:szCs w:val="22"/>
        </w:rPr>
        <w:t xml:space="preserve"> in the VPS and public sector. These savings are a</w:t>
      </w:r>
      <w:r>
        <w:rPr>
          <w:szCs w:val="22"/>
        </w:rPr>
        <w:t xml:space="preserve"> cumulative total from </w:t>
      </w:r>
      <w:r w:rsidR="001F2AF5">
        <w:rPr>
          <w:szCs w:val="22"/>
        </w:rPr>
        <w:t xml:space="preserve">the Review’s interim </w:t>
      </w:r>
      <w:r>
        <w:rPr>
          <w:szCs w:val="22"/>
        </w:rPr>
        <w:t>recommendations supported by the government for inclusion in the 2025/26 Victorian State Budget</w:t>
      </w:r>
      <w:r w:rsidR="001F2AF5">
        <w:rPr>
          <w:szCs w:val="22"/>
        </w:rPr>
        <w:t>,</w:t>
      </w:r>
      <w:r>
        <w:rPr>
          <w:szCs w:val="22"/>
        </w:rPr>
        <w:t xml:space="preserve"> and in this </w:t>
      </w:r>
      <w:r w:rsidR="00CA7D65">
        <w:rPr>
          <w:szCs w:val="22"/>
        </w:rPr>
        <w:t>F</w:t>
      </w:r>
      <w:r>
        <w:rPr>
          <w:szCs w:val="22"/>
        </w:rPr>
        <w:t>inal</w:t>
      </w:r>
      <w:r w:rsidR="006D5AB1">
        <w:rPr>
          <w:szCs w:val="22"/>
        </w:rPr>
        <w:t> </w:t>
      </w:r>
      <w:r w:rsidR="00CA7D65">
        <w:rPr>
          <w:szCs w:val="22"/>
        </w:rPr>
        <w:t>R</w:t>
      </w:r>
      <w:r>
        <w:rPr>
          <w:szCs w:val="22"/>
        </w:rPr>
        <w:t xml:space="preserve">eport.  </w:t>
      </w:r>
    </w:p>
    <w:p w14:paraId="5A53D1DC" w14:textId="77B7BB68" w:rsidR="004F0371" w:rsidRPr="00AB0ADC" w:rsidRDefault="00632CEA" w:rsidP="003D175E">
      <w:r w:rsidRPr="00DC2CB5">
        <w:t xml:space="preserve">More significantly, this report provides a </w:t>
      </w:r>
      <w:r w:rsidR="00CA67B7" w:rsidRPr="00DC2CB5">
        <w:t>map</w:t>
      </w:r>
      <w:r w:rsidRPr="00DC2CB5">
        <w:t xml:space="preserve"> for a reset of the machinery of government –</w:t>
      </w:r>
      <w:r w:rsidR="00EA59DF" w:rsidRPr="00DC2CB5">
        <w:t xml:space="preserve"> some of</w:t>
      </w:r>
      <w:r w:rsidRPr="00DC2CB5">
        <w:t xml:space="preserve"> its systems, practices and processes, the role and number of public entities, and the size and </w:t>
      </w:r>
      <w:r w:rsidRPr="00DC2CB5">
        <w:t>structure of the public service.</w:t>
      </w:r>
      <w:r w:rsidR="00AB0ADC" w:rsidRPr="00DC2CB5">
        <w:t xml:space="preserve"> </w:t>
      </w:r>
      <w:r w:rsidR="004F0371" w:rsidRPr="00DC2CB5">
        <w:rPr>
          <w:szCs w:val="22"/>
        </w:rPr>
        <w:t>Doing fewer things and doing them better; making sure that public spending is invested well.</w:t>
      </w:r>
      <w:r w:rsidR="004F0371">
        <w:rPr>
          <w:szCs w:val="22"/>
        </w:rPr>
        <w:t xml:space="preserve"> </w:t>
      </w:r>
    </w:p>
    <w:p w14:paraId="5CA6D84F" w14:textId="14A5E970" w:rsidR="004F0371" w:rsidRPr="00410259" w:rsidRDefault="004F0371" w:rsidP="003D175E">
      <w:pPr>
        <w:rPr>
          <w:szCs w:val="22"/>
        </w:rPr>
      </w:pPr>
      <w:r>
        <w:rPr>
          <w:szCs w:val="22"/>
        </w:rPr>
        <w:t>The intent is to assist the government, VPS</w:t>
      </w:r>
      <w:r w:rsidR="00870DFF">
        <w:rPr>
          <w:szCs w:val="22"/>
        </w:rPr>
        <w:t> </w:t>
      </w:r>
      <w:r>
        <w:rPr>
          <w:szCs w:val="22"/>
        </w:rPr>
        <w:t xml:space="preserve">and public sector to be for fit for purpose and equipped for the future, so that it can continue delivering </w:t>
      </w:r>
      <w:r w:rsidR="007D38A7">
        <w:rPr>
          <w:szCs w:val="22"/>
        </w:rPr>
        <w:t>high-quality</w:t>
      </w:r>
      <w:r>
        <w:rPr>
          <w:szCs w:val="22"/>
        </w:rPr>
        <w:t xml:space="preserve"> core services</w:t>
      </w:r>
      <w:r w:rsidR="007D38A7">
        <w:rPr>
          <w:szCs w:val="22"/>
        </w:rPr>
        <w:t xml:space="preserve"> for all Victorians</w:t>
      </w:r>
      <w:r w:rsidR="00525DEE">
        <w:rPr>
          <w:szCs w:val="22"/>
        </w:rPr>
        <w:t>,</w:t>
      </w:r>
      <w:r w:rsidR="007D38A7">
        <w:rPr>
          <w:szCs w:val="22"/>
        </w:rPr>
        <w:t xml:space="preserve"> at the most efficient price</w:t>
      </w:r>
      <w:r>
        <w:rPr>
          <w:szCs w:val="22"/>
        </w:rPr>
        <w:t xml:space="preserve">. </w:t>
      </w:r>
    </w:p>
    <w:p w14:paraId="07C5446A" w14:textId="4064700B" w:rsidR="004F0371" w:rsidRPr="00993BF3" w:rsidRDefault="004F0371" w:rsidP="00B90283">
      <w:pPr>
        <w:pStyle w:val="Heading3"/>
        <w:rPr>
          <w:rFonts w:asciiTheme="majorHAnsi" w:hAnsiTheme="majorHAnsi"/>
          <w:b w:val="0"/>
          <w:i/>
          <w:szCs w:val="26"/>
        </w:rPr>
      </w:pPr>
      <w:r w:rsidRPr="009B3E74">
        <w:t>Strong financial management</w:t>
      </w:r>
    </w:p>
    <w:p w14:paraId="35DE57B2" w14:textId="407B5A8B" w:rsidR="004F0371" w:rsidRDefault="004F0371" w:rsidP="004F0371">
      <w:pPr>
        <w:rPr>
          <w:szCs w:val="22"/>
        </w:rPr>
      </w:pPr>
      <w:r w:rsidRPr="00543B15">
        <w:rPr>
          <w:szCs w:val="22"/>
        </w:rPr>
        <w:t>Strong financial management enables government to deliver on its objectives while supporting the community, business and the economy. </w:t>
      </w:r>
      <w:r>
        <w:rPr>
          <w:szCs w:val="22"/>
        </w:rPr>
        <w:t xml:space="preserve">The Victorian Government is committed to responsible financial management and has established </w:t>
      </w:r>
      <w:r w:rsidRPr="00543B15">
        <w:rPr>
          <w:szCs w:val="22"/>
        </w:rPr>
        <w:t xml:space="preserve">a </w:t>
      </w:r>
      <w:r>
        <w:rPr>
          <w:szCs w:val="22"/>
        </w:rPr>
        <w:t>5</w:t>
      </w:r>
      <w:r w:rsidRPr="00543B15">
        <w:rPr>
          <w:szCs w:val="22"/>
        </w:rPr>
        <w:t>-step fiscal strategy</w:t>
      </w:r>
      <w:r>
        <w:rPr>
          <w:szCs w:val="22"/>
        </w:rPr>
        <w:t>. Recent budget papers show the government is on track to</w:t>
      </w:r>
      <w:r w:rsidR="002B2012">
        <w:rPr>
          <w:szCs w:val="22"/>
        </w:rPr>
        <w:t> </w:t>
      </w:r>
      <w:r>
        <w:rPr>
          <w:szCs w:val="22"/>
        </w:rPr>
        <w:t>achieve all steps by the end of the forward</w:t>
      </w:r>
      <w:r w:rsidR="002B2012">
        <w:rPr>
          <w:szCs w:val="22"/>
        </w:rPr>
        <w:t> </w:t>
      </w:r>
      <w:r>
        <w:rPr>
          <w:szCs w:val="22"/>
        </w:rPr>
        <w:t xml:space="preserve">estimates. </w:t>
      </w:r>
    </w:p>
    <w:p w14:paraId="2DD7228E" w14:textId="2C347F37" w:rsidR="004F0371" w:rsidRDefault="004F0371" w:rsidP="004F0371">
      <w:r>
        <w:rPr>
          <w:szCs w:val="22"/>
        </w:rPr>
        <w:t xml:space="preserve">The government’s fiscal management and strategy are sound but should be enhanced to help create more operating budget capacity and opportunities to focus on base funding. </w:t>
      </w:r>
      <w:r w:rsidRPr="00543B15">
        <w:rPr>
          <w:szCs w:val="22"/>
        </w:rPr>
        <w:t>S</w:t>
      </w:r>
      <w:r w:rsidR="0067642F">
        <w:rPr>
          <w:szCs w:val="22"/>
        </w:rPr>
        <w:t>ustainable s</w:t>
      </w:r>
      <w:r w:rsidRPr="00543B15">
        <w:rPr>
          <w:szCs w:val="22"/>
        </w:rPr>
        <w:t>avings programs must be linked to overall fiscal management</w:t>
      </w:r>
      <w:r w:rsidR="00932972">
        <w:rPr>
          <w:szCs w:val="22"/>
        </w:rPr>
        <w:t xml:space="preserve"> </w:t>
      </w:r>
      <w:r w:rsidR="00932972" w:rsidRPr="00DC2CB5">
        <w:rPr>
          <w:szCs w:val="22"/>
        </w:rPr>
        <w:t>to create more ongoing operating</w:t>
      </w:r>
      <w:r w:rsidR="00502B1B" w:rsidRPr="00DC2CB5">
        <w:rPr>
          <w:szCs w:val="22"/>
        </w:rPr>
        <w:t xml:space="preserve"> budget capacity</w:t>
      </w:r>
      <w:r w:rsidRPr="00DC2CB5">
        <w:t>.</w:t>
      </w:r>
      <w:r>
        <w:t xml:space="preserve"> </w:t>
      </w:r>
    </w:p>
    <w:p w14:paraId="00B720E4" w14:textId="43E24E1D" w:rsidR="00675BC3" w:rsidRPr="00543B15" w:rsidRDefault="00D064A0" w:rsidP="004F0371">
      <w:pPr>
        <w:rPr>
          <w:szCs w:val="22"/>
        </w:rPr>
      </w:pPr>
      <w:r w:rsidRPr="00DC2CB5">
        <w:t xml:space="preserve">In </w:t>
      </w:r>
      <w:r w:rsidR="00315FC9" w:rsidRPr="00DC2CB5">
        <w:t>Chapter 3</w:t>
      </w:r>
      <w:r w:rsidR="00AA0583">
        <w:t xml:space="preserve"> of this report</w:t>
      </w:r>
      <w:r w:rsidRPr="00DC2CB5">
        <w:t xml:space="preserve">, the Review </w:t>
      </w:r>
      <w:r w:rsidR="00CE6894" w:rsidRPr="00DC2CB5">
        <w:t>proposes a set of</w:t>
      </w:r>
      <w:r w:rsidR="001E429E" w:rsidRPr="00DC2CB5">
        <w:t xml:space="preserve"> financial management operating</w:t>
      </w:r>
      <w:r w:rsidR="00C900E8" w:rsidRPr="00DC2CB5">
        <w:t xml:space="preserve"> principles</w:t>
      </w:r>
      <w:r w:rsidR="007712F1" w:rsidRPr="00DC2CB5">
        <w:t xml:space="preserve"> to</w:t>
      </w:r>
      <w:r w:rsidR="007712F1" w:rsidRPr="00DC2CB5">
        <w:rPr>
          <w:szCs w:val="22"/>
        </w:rPr>
        <w:t xml:space="preserve"> </w:t>
      </w:r>
      <w:r w:rsidR="004F0371" w:rsidRPr="00DC2CB5">
        <w:rPr>
          <w:szCs w:val="22"/>
        </w:rPr>
        <w:t>help improve financial insights and management</w:t>
      </w:r>
      <w:r w:rsidR="004F0371">
        <w:rPr>
          <w:szCs w:val="22"/>
        </w:rPr>
        <w:t xml:space="preserve">. </w:t>
      </w:r>
      <w:r w:rsidR="00BE4043">
        <w:rPr>
          <w:szCs w:val="22"/>
        </w:rPr>
        <w:t>T</w:t>
      </w:r>
      <w:r w:rsidR="004F0371">
        <w:rPr>
          <w:szCs w:val="22"/>
        </w:rPr>
        <w:t>he Review</w:t>
      </w:r>
      <w:r w:rsidR="00BE4043">
        <w:rPr>
          <w:szCs w:val="22"/>
        </w:rPr>
        <w:t xml:space="preserve"> also</w:t>
      </w:r>
      <w:r w:rsidR="004F0371">
        <w:rPr>
          <w:szCs w:val="22"/>
        </w:rPr>
        <w:t xml:space="preserve"> recommends an </w:t>
      </w:r>
      <w:r w:rsidR="00946CCD">
        <w:rPr>
          <w:szCs w:val="22"/>
        </w:rPr>
        <w:t xml:space="preserve">enhanced </w:t>
      </w:r>
      <w:r w:rsidR="004F0371">
        <w:rPr>
          <w:szCs w:val="22"/>
        </w:rPr>
        <w:t xml:space="preserve">annual budget process with tighter </w:t>
      </w:r>
      <w:r w:rsidR="000E74F6">
        <w:rPr>
          <w:szCs w:val="22"/>
        </w:rPr>
        <w:t>guardrails</w:t>
      </w:r>
      <w:r w:rsidR="004F0371">
        <w:rPr>
          <w:szCs w:val="22"/>
        </w:rPr>
        <w:t>,</w:t>
      </w:r>
      <w:r w:rsidR="004F0371" w:rsidRPr="00543B15">
        <w:rPr>
          <w:szCs w:val="22"/>
        </w:rPr>
        <w:t xml:space="preserve"> such as a single</w:t>
      </w:r>
      <w:r w:rsidR="004F0371">
        <w:rPr>
          <w:szCs w:val="22"/>
        </w:rPr>
        <w:t xml:space="preserve"> window</w:t>
      </w:r>
      <w:r w:rsidR="004F0371" w:rsidRPr="00543B15">
        <w:rPr>
          <w:szCs w:val="22"/>
        </w:rPr>
        <w:t xml:space="preserve"> of </w:t>
      </w:r>
      <w:r w:rsidR="004F0371">
        <w:rPr>
          <w:szCs w:val="22"/>
        </w:rPr>
        <w:t>annual budget decision-making</w:t>
      </w:r>
      <w:r w:rsidR="004F0371" w:rsidRPr="00543B15">
        <w:rPr>
          <w:szCs w:val="22"/>
        </w:rPr>
        <w:t xml:space="preserve"> and increased scrutiny of </w:t>
      </w:r>
      <w:r w:rsidR="00924306">
        <w:rPr>
          <w:szCs w:val="22"/>
        </w:rPr>
        <w:t xml:space="preserve">the </w:t>
      </w:r>
      <w:r w:rsidR="004F0371" w:rsidRPr="00543B15">
        <w:rPr>
          <w:szCs w:val="22"/>
        </w:rPr>
        <w:t>existing base spend</w:t>
      </w:r>
      <w:r w:rsidR="004F0371">
        <w:rPr>
          <w:szCs w:val="22"/>
        </w:rPr>
        <w:t xml:space="preserve">. This </w:t>
      </w:r>
      <w:r w:rsidR="004F0371" w:rsidRPr="00543B15">
        <w:rPr>
          <w:szCs w:val="22"/>
        </w:rPr>
        <w:t xml:space="preserve">would support </w:t>
      </w:r>
      <w:r w:rsidR="004F0371">
        <w:rPr>
          <w:szCs w:val="22"/>
        </w:rPr>
        <w:t xml:space="preserve">the </w:t>
      </w:r>
      <w:r w:rsidR="004F0371" w:rsidRPr="00543B15">
        <w:rPr>
          <w:szCs w:val="22"/>
        </w:rPr>
        <w:t xml:space="preserve">government </w:t>
      </w:r>
      <w:r w:rsidR="004F0371" w:rsidRPr="00543B15">
        <w:rPr>
          <w:szCs w:val="22"/>
        </w:rPr>
        <w:lastRenderedPageBreak/>
        <w:t>to achieve its fiscal strategy and improve the operational effectiveness, efficiency and quality of government service delivery.  </w:t>
      </w:r>
    </w:p>
    <w:p w14:paraId="3392E2A1" w14:textId="2F178CAA" w:rsidR="004F0371" w:rsidRPr="009B3E74" w:rsidRDefault="004F0371" w:rsidP="00B90283">
      <w:pPr>
        <w:pStyle w:val="Heading3"/>
        <w:rPr>
          <w:rFonts w:asciiTheme="majorHAnsi" w:hAnsiTheme="majorHAnsi"/>
          <w:b w:val="0"/>
          <w:i/>
          <w:sz w:val="32"/>
          <w:szCs w:val="32"/>
        </w:rPr>
      </w:pPr>
      <w:r w:rsidRPr="009B3E74">
        <w:t>A more strategic approach to Commonwealth-State relations</w:t>
      </w:r>
    </w:p>
    <w:p w14:paraId="250D0DF6" w14:textId="5E335192" w:rsidR="004F0371" w:rsidRDefault="004F0371" w:rsidP="004F0371">
      <w:pPr>
        <w:rPr>
          <w:szCs w:val="22"/>
        </w:rPr>
      </w:pPr>
      <w:r w:rsidRPr="006A0D9F">
        <w:rPr>
          <w:szCs w:val="22"/>
        </w:rPr>
        <w:t xml:space="preserve">Strong Commonwealth-State relations are critically important to the state’s finances and </w:t>
      </w:r>
      <w:r w:rsidR="00B432C4" w:rsidRPr="00DC2CB5">
        <w:rPr>
          <w:szCs w:val="22"/>
        </w:rPr>
        <w:t>ongoing</w:t>
      </w:r>
      <w:r w:rsidR="00B432C4">
        <w:rPr>
          <w:szCs w:val="22"/>
        </w:rPr>
        <w:t xml:space="preserve"> </w:t>
      </w:r>
      <w:r w:rsidRPr="006A0D9F">
        <w:rPr>
          <w:szCs w:val="22"/>
        </w:rPr>
        <w:t>operating budget capacity.</w:t>
      </w:r>
      <w:r>
        <w:rPr>
          <w:szCs w:val="22"/>
        </w:rPr>
        <w:t xml:space="preserve"> </w:t>
      </w:r>
      <w:r w:rsidRPr="003546BB">
        <w:rPr>
          <w:szCs w:val="22"/>
        </w:rPr>
        <w:t>Victoria</w:t>
      </w:r>
      <w:r>
        <w:rPr>
          <w:szCs w:val="22"/>
        </w:rPr>
        <w:t xml:space="preserve">’s share of Commonwealth </w:t>
      </w:r>
      <w:r w:rsidR="003249D2">
        <w:rPr>
          <w:szCs w:val="22"/>
        </w:rPr>
        <w:t xml:space="preserve">government </w:t>
      </w:r>
      <w:r>
        <w:rPr>
          <w:szCs w:val="22"/>
        </w:rPr>
        <w:t xml:space="preserve">funding relative to its population share has been consistently below that of other large states, particularly for health and </w:t>
      </w:r>
      <w:r w:rsidRPr="003546BB">
        <w:rPr>
          <w:szCs w:val="22"/>
        </w:rPr>
        <w:t>infrastructure.</w:t>
      </w:r>
      <w:r>
        <w:rPr>
          <w:szCs w:val="22"/>
        </w:rPr>
        <w:t xml:space="preserve"> Victoria has also made decisions to fund services that are the responsibility of the Commonwealth, for example, in primary health care, to address Commonwealth service failures and gaps.</w:t>
      </w:r>
      <w:r w:rsidRPr="003546BB">
        <w:rPr>
          <w:szCs w:val="22"/>
        </w:rPr>
        <w:t xml:space="preserve"> </w:t>
      </w:r>
    </w:p>
    <w:p w14:paraId="407F5A0C" w14:textId="5FE25DD1" w:rsidR="00A27E93" w:rsidRPr="003546BB" w:rsidRDefault="008D1FE1" w:rsidP="004F0371">
      <w:pPr>
        <w:rPr>
          <w:szCs w:val="22"/>
        </w:rPr>
      </w:pPr>
      <w:r w:rsidRPr="008D1FE1">
        <w:t xml:space="preserve">Chapter 4 discusses </w:t>
      </w:r>
      <w:r w:rsidR="003249D2">
        <w:t>why</w:t>
      </w:r>
      <w:r w:rsidR="00535C93">
        <w:t xml:space="preserve"> strategic engagement </w:t>
      </w:r>
      <w:r w:rsidR="0095580D" w:rsidRPr="003546BB">
        <w:rPr>
          <w:szCs w:val="22"/>
        </w:rPr>
        <w:t xml:space="preserve">with the Commonwealth </w:t>
      </w:r>
      <w:r w:rsidR="003249D2">
        <w:t>g</w:t>
      </w:r>
      <w:r w:rsidR="0095580D">
        <w:t>overnment</w:t>
      </w:r>
      <w:r w:rsidR="0095580D" w:rsidRPr="003546BB">
        <w:rPr>
          <w:szCs w:val="22"/>
        </w:rPr>
        <w:t xml:space="preserve"> </w:t>
      </w:r>
      <w:r w:rsidR="003249D2">
        <w:rPr>
          <w:szCs w:val="22"/>
        </w:rPr>
        <w:t xml:space="preserve">is essential </w:t>
      </w:r>
      <w:r w:rsidR="004F0371" w:rsidRPr="003546BB">
        <w:rPr>
          <w:szCs w:val="22"/>
        </w:rPr>
        <w:t>to address the deep fiscal imbalance and address the inequities of distribution.</w:t>
      </w:r>
      <w:r w:rsidR="004F0371">
        <w:rPr>
          <w:szCs w:val="22"/>
        </w:rPr>
        <w:t xml:space="preserve"> </w:t>
      </w:r>
      <w:r w:rsidR="004F0371" w:rsidRPr="003546BB">
        <w:rPr>
          <w:szCs w:val="22"/>
        </w:rPr>
        <w:t>As part of a more strategic approach</w:t>
      </w:r>
      <w:r w:rsidR="004F0371">
        <w:rPr>
          <w:szCs w:val="22"/>
        </w:rPr>
        <w:t>, the Review recommends a new Commonwealth-State relations strategy, active pursuit of improved data sharing arrangements, and transitioning out of d</w:t>
      </w:r>
      <w:r w:rsidR="004F0371" w:rsidRPr="003546BB">
        <w:rPr>
          <w:szCs w:val="22"/>
        </w:rPr>
        <w:t>uplicati</w:t>
      </w:r>
      <w:r w:rsidR="004F0371">
        <w:rPr>
          <w:szCs w:val="22"/>
        </w:rPr>
        <w:t>ve</w:t>
      </w:r>
      <w:r w:rsidR="004F0371" w:rsidRPr="003546BB">
        <w:rPr>
          <w:szCs w:val="22"/>
        </w:rPr>
        <w:t xml:space="preserve"> service </w:t>
      </w:r>
      <w:r w:rsidR="004F0371">
        <w:rPr>
          <w:szCs w:val="22"/>
        </w:rPr>
        <w:t>provision</w:t>
      </w:r>
      <w:r w:rsidR="004F0371" w:rsidRPr="003546BB">
        <w:rPr>
          <w:szCs w:val="22"/>
        </w:rPr>
        <w:t>.</w:t>
      </w:r>
      <w:r w:rsidR="004F0371">
        <w:rPr>
          <w:szCs w:val="22"/>
        </w:rPr>
        <w:t xml:space="preserve"> Better data will be key to the state being able to consider in the future how it can better target spending to address need in the</w:t>
      </w:r>
      <w:r w:rsidR="00AE7C18">
        <w:rPr>
          <w:szCs w:val="22"/>
        </w:rPr>
        <w:t> </w:t>
      </w:r>
      <w:r w:rsidR="004F0371">
        <w:rPr>
          <w:szCs w:val="22"/>
        </w:rPr>
        <w:t>community</w:t>
      </w:r>
      <w:r w:rsidR="004F0371" w:rsidRPr="003546BB">
        <w:rPr>
          <w:szCs w:val="22"/>
        </w:rPr>
        <w:t>.</w:t>
      </w:r>
    </w:p>
    <w:p w14:paraId="46665E1F" w14:textId="358CD551" w:rsidR="004F0371" w:rsidRPr="009B3E74" w:rsidRDefault="004F0371" w:rsidP="00B90283">
      <w:pPr>
        <w:pStyle w:val="Heading3"/>
        <w:rPr>
          <w:rFonts w:asciiTheme="majorHAnsi" w:hAnsiTheme="majorHAnsi"/>
          <w:b w:val="0"/>
          <w:i/>
          <w:sz w:val="32"/>
          <w:szCs w:val="32"/>
        </w:rPr>
      </w:pPr>
      <w:r w:rsidRPr="009B3E74">
        <w:t xml:space="preserve">Rebalancing the size and structure of the VPS </w:t>
      </w:r>
    </w:p>
    <w:p w14:paraId="6035A001" w14:textId="508EF290" w:rsidR="004F0371" w:rsidRPr="002D1F38" w:rsidRDefault="004F0371" w:rsidP="004F0371">
      <w:pPr>
        <w:rPr>
          <w:b/>
        </w:rPr>
      </w:pPr>
      <w:r>
        <w:t xml:space="preserve">The VPS is employed to deliver on the government’s commitments, and it is a </w:t>
      </w:r>
      <w:r w:rsidR="009109E0">
        <w:t>capable</w:t>
      </w:r>
      <w:r>
        <w:t xml:space="preserve"> and dedicated workforce. While overall VPS growth has stabilised in recent years, the VPS workforce has become top-heavy. This type of structure is costly, decisions are slower, staff are </w:t>
      </w:r>
      <w:r>
        <w:t>disempowered, and innovation is stifled. Better workforce data is needed for improved workforce planning</w:t>
      </w:r>
      <w:r w:rsidR="00D42D5C">
        <w:t xml:space="preserve"> </w:t>
      </w:r>
      <w:r w:rsidR="00D42D5C" w:rsidRPr="00DC2CB5">
        <w:t>and financial</w:t>
      </w:r>
      <w:r w:rsidR="00EF0FE2">
        <w:t> </w:t>
      </w:r>
      <w:r w:rsidR="00D42D5C" w:rsidRPr="00DC2CB5">
        <w:t>control</w:t>
      </w:r>
      <w:r w:rsidRPr="00DC2CB5">
        <w:t>.</w:t>
      </w:r>
      <w:r>
        <w:t xml:space="preserve"> </w:t>
      </w:r>
    </w:p>
    <w:p w14:paraId="04483C61" w14:textId="4F576D8E" w:rsidR="004F0371" w:rsidRPr="00543EB7" w:rsidRDefault="004F0371" w:rsidP="004F0371">
      <w:pPr>
        <w:rPr>
          <w:szCs w:val="22"/>
        </w:rPr>
      </w:pPr>
      <w:r>
        <w:rPr>
          <w:szCs w:val="22"/>
        </w:rPr>
        <w:t>D</w:t>
      </w:r>
      <w:r w:rsidRPr="002267B9">
        <w:rPr>
          <w:szCs w:val="22"/>
        </w:rPr>
        <w:t xml:space="preserve">epartments’ management structures </w:t>
      </w:r>
      <w:r>
        <w:rPr>
          <w:szCs w:val="22"/>
        </w:rPr>
        <w:t xml:space="preserve">need systematic streamlining </w:t>
      </w:r>
      <w:r w:rsidRPr="002267B9">
        <w:rPr>
          <w:szCs w:val="22"/>
        </w:rPr>
        <w:t>to ensure resources are utilised in the most efficient and effective way. </w:t>
      </w:r>
      <w:r w:rsidR="00311359">
        <w:rPr>
          <w:szCs w:val="22"/>
        </w:rPr>
        <w:t>Chapter 5 discusses</w:t>
      </w:r>
      <w:r w:rsidR="007A72AE">
        <w:rPr>
          <w:szCs w:val="22"/>
        </w:rPr>
        <w:t xml:space="preserve"> </w:t>
      </w:r>
      <w:r w:rsidR="007A72AE">
        <w:t>resetting t</w:t>
      </w:r>
      <w:r w:rsidR="007A72AE" w:rsidRPr="007A72AE">
        <w:t>he size and structure of the VPS</w:t>
      </w:r>
      <w:r w:rsidR="007A72AE">
        <w:t xml:space="preserve">. This </w:t>
      </w:r>
      <w:r w:rsidR="00267A2E">
        <w:t>starts</w:t>
      </w:r>
      <w:r w:rsidR="007A72AE">
        <w:t xml:space="preserve"> with</w:t>
      </w:r>
      <w:r w:rsidR="00311359" w:rsidRPr="007A72AE">
        <w:rPr>
          <w:szCs w:val="22"/>
        </w:rPr>
        <w:t xml:space="preserve"> </w:t>
      </w:r>
      <w:r w:rsidR="007A72AE">
        <w:rPr>
          <w:szCs w:val="22"/>
        </w:rPr>
        <w:t>a</w:t>
      </w:r>
      <w:r w:rsidRPr="007A72AE">
        <w:rPr>
          <w:szCs w:val="22"/>
        </w:rPr>
        <w:t xml:space="preserve"> disciplined model of increased spans of control and re</w:t>
      </w:r>
      <w:r w:rsidRPr="002267B9">
        <w:rPr>
          <w:szCs w:val="22"/>
        </w:rPr>
        <w:t>duc</w:t>
      </w:r>
      <w:r>
        <w:rPr>
          <w:szCs w:val="22"/>
        </w:rPr>
        <w:t>ed</w:t>
      </w:r>
      <w:r w:rsidRPr="002267B9">
        <w:rPr>
          <w:szCs w:val="22"/>
        </w:rPr>
        <w:t xml:space="preserve"> layers of hierarchy, </w:t>
      </w:r>
      <w:r w:rsidR="00267A2E">
        <w:rPr>
          <w:szCs w:val="22"/>
        </w:rPr>
        <w:t>using</w:t>
      </w:r>
      <w:r w:rsidRPr="002267B9">
        <w:rPr>
          <w:szCs w:val="22"/>
        </w:rPr>
        <w:t xml:space="preserve"> the management ratios from 2019 and a model structure</w:t>
      </w:r>
      <w:r>
        <w:rPr>
          <w:szCs w:val="22"/>
        </w:rPr>
        <w:t xml:space="preserve"> of spans and layer</w:t>
      </w:r>
      <w:r w:rsidR="00981149">
        <w:rPr>
          <w:szCs w:val="22"/>
        </w:rPr>
        <w:t>s</w:t>
      </w:r>
      <w:r w:rsidRPr="002267B9">
        <w:rPr>
          <w:szCs w:val="22"/>
        </w:rPr>
        <w:t>. </w:t>
      </w:r>
      <w:r>
        <w:rPr>
          <w:szCs w:val="22"/>
        </w:rPr>
        <w:t xml:space="preserve">The Review recommends removing </w:t>
      </w:r>
      <w:r w:rsidR="00225973" w:rsidRPr="00FE16BC">
        <w:rPr>
          <w:szCs w:val="22"/>
        </w:rPr>
        <w:t>33</w:t>
      </w:r>
      <w:r w:rsidR="001D5B61" w:rsidRPr="00FE16BC">
        <w:rPr>
          <w:szCs w:val="22"/>
        </w:rPr>
        <w:t>2</w:t>
      </w:r>
      <w:r w:rsidRPr="002267B9">
        <w:rPr>
          <w:szCs w:val="22"/>
        </w:rPr>
        <w:t xml:space="preserve"> </w:t>
      </w:r>
      <w:r w:rsidR="00201F88">
        <w:rPr>
          <w:szCs w:val="22"/>
        </w:rPr>
        <w:t>Senior Executive Service (SES)</w:t>
      </w:r>
      <w:r w:rsidRPr="002267B9">
        <w:rPr>
          <w:szCs w:val="22"/>
        </w:rPr>
        <w:t xml:space="preserve"> and </w:t>
      </w:r>
      <w:r w:rsidR="00201F88">
        <w:rPr>
          <w:szCs w:val="22"/>
        </w:rPr>
        <w:t>S</w:t>
      </w:r>
      <w:r w:rsidRPr="002267B9">
        <w:rPr>
          <w:szCs w:val="22"/>
        </w:rPr>
        <w:t xml:space="preserve">enior </w:t>
      </w:r>
      <w:r w:rsidR="00201F88">
        <w:rPr>
          <w:szCs w:val="22"/>
        </w:rPr>
        <w:t>T</w:t>
      </w:r>
      <w:r w:rsidRPr="002267B9">
        <w:rPr>
          <w:szCs w:val="22"/>
        </w:rPr>
        <w:t xml:space="preserve">echnical </w:t>
      </w:r>
      <w:r w:rsidR="00201F88">
        <w:rPr>
          <w:szCs w:val="22"/>
        </w:rPr>
        <w:t>S</w:t>
      </w:r>
      <w:r w:rsidRPr="002267B9">
        <w:rPr>
          <w:szCs w:val="22"/>
        </w:rPr>
        <w:t xml:space="preserve">pecialist </w:t>
      </w:r>
      <w:r w:rsidR="00E27C70" w:rsidRPr="00631F3D">
        <w:rPr>
          <w:szCs w:val="22"/>
        </w:rPr>
        <w:t>(STS)</w:t>
      </w:r>
      <w:r w:rsidRPr="002267B9">
        <w:rPr>
          <w:szCs w:val="22"/>
        </w:rPr>
        <w:t xml:space="preserve"> roles </w:t>
      </w:r>
      <w:r>
        <w:rPr>
          <w:szCs w:val="22"/>
        </w:rPr>
        <w:t>from across</w:t>
      </w:r>
      <w:r w:rsidRPr="002267B9">
        <w:rPr>
          <w:szCs w:val="22"/>
        </w:rPr>
        <w:t xml:space="preserve"> departments </w:t>
      </w:r>
      <w:r w:rsidRPr="00FE16BC">
        <w:rPr>
          <w:szCs w:val="22"/>
        </w:rPr>
        <w:t xml:space="preserve">and </w:t>
      </w:r>
      <w:r w:rsidR="00FD3F7B" w:rsidRPr="00FE16BC">
        <w:rPr>
          <w:szCs w:val="22"/>
        </w:rPr>
        <w:t>some large entities</w:t>
      </w:r>
      <w:r w:rsidR="00B168A6">
        <w:rPr>
          <w:szCs w:val="22"/>
        </w:rPr>
        <w:t>. The Review also</w:t>
      </w:r>
      <w:r w:rsidRPr="00D621EF">
        <w:rPr>
          <w:szCs w:val="22"/>
        </w:rPr>
        <w:t xml:space="preserve"> </w:t>
      </w:r>
      <w:r w:rsidR="00B168A6">
        <w:rPr>
          <w:szCs w:val="22"/>
        </w:rPr>
        <w:t>recommends</w:t>
      </w:r>
      <w:r w:rsidRPr="00D621EF">
        <w:rPr>
          <w:szCs w:val="22"/>
        </w:rPr>
        <w:t xml:space="preserve"> </w:t>
      </w:r>
      <w:r w:rsidRPr="00631F3D">
        <w:rPr>
          <w:szCs w:val="22"/>
        </w:rPr>
        <w:t>rebalancing</w:t>
      </w:r>
      <w:r w:rsidRPr="00D621EF">
        <w:rPr>
          <w:szCs w:val="22"/>
        </w:rPr>
        <w:t xml:space="preserve"> </w:t>
      </w:r>
      <w:r w:rsidR="00D9178A" w:rsidRPr="00631F3D">
        <w:rPr>
          <w:szCs w:val="22"/>
        </w:rPr>
        <w:t>VPS</w:t>
      </w:r>
      <w:r w:rsidR="0097308B" w:rsidRPr="00631F3D">
        <w:rPr>
          <w:szCs w:val="22"/>
        </w:rPr>
        <w:t>5</w:t>
      </w:r>
      <w:r w:rsidRPr="00631F3D">
        <w:rPr>
          <w:szCs w:val="22"/>
        </w:rPr>
        <w:t xml:space="preserve"> and </w:t>
      </w:r>
      <w:r w:rsidR="00D9178A" w:rsidRPr="00631F3D">
        <w:rPr>
          <w:szCs w:val="22"/>
        </w:rPr>
        <w:t>6</w:t>
      </w:r>
      <w:r w:rsidRPr="00D621EF">
        <w:rPr>
          <w:szCs w:val="22"/>
        </w:rPr>
        <w:t xml:space="preserve"> </w:t>
      </w:r>
      <w:r w:rsidR="00914948">
        <w:rPr>
          <w:szCs w:val="22"/>
        </w:rPr>
        <w:t>positions</w:t>
      </w:r>
      <w:r w:rsidRPr="00D621EF">
        <w:rPr>
          <w:szCs w:val="22"/>
        </w:rPr>
        <w:t xml:space="preserve"> as a proportion of the VPS workforce towards more junior classifications, over a </w:t>
      </w:r>
      <w:r w:rsidR="006D26EE">
        <w:rPr>
          <w:szCs w:val="22"/>
        </w:rPr>
        <w:br/>
      </w:r>
      <w:r w:rsidR="00B20591">
        <w:rPr>
          <w:szCs w:val="22"/>
        </w:rPr>
        <w:t>4</w:t>
      </w:r>
      <w:r w:rsidRPr="00D621EF">
        <w:rPr>
          <w:szCs w:val="22"/>
        </w:rPr>
        <w:t>-year</w:t>
      </w:r>
      <w:r w:rsidR="006D26EE">
        <w:rPr>
          <w:szCs w:val="22"/>
        </w:rPr>
        <w:t xml:space="preserve"> </w:t>
      </w:r>
      <w:r w:rsidRPr="00D621EF">
        <w:rPr>
          <w:szCs w:val="22"/>
        </w:rPr>
        <w:t>period.</w:t>
      </w:r>
      <w:r w:rsidRPr="002267B9">
        <w:rPr>
          <w:szCs w:val="22"/>
        </w:rPr>
        <w:t xml:space="preserve"> </w:t>
      </w:r>
    </w:p>
    <w:p w14:paraId="62410BEF" w14:textId="76EC0D12" w:rsidR="004F0371" w:rsidRDefault="004F0371" w:rsidP="004F0371">
      <w:pPr>
        <w:rPr>
          <w:szCs w:val="22"/>
        </w:rPr>
      </w:pPr>
      <w:r w:rsidRPr="19C2C04C">
        <w:rPr>
          <w:szCs w:val="22"/>
        </w:rPr>
        <w:t xml:space="preserve">The Review recommends a </w:t>
      </w:r>
      <w:r w:rsidR="00112386">
        <w:rPr>
          <w:szCs w:val="22"/>
        </w:rPr>
        <w:t>renewed</w:t>
      </w:r>
      <w:r w:rsidRPr="19C2C04C">
        <w:rPr>
          <w:szCs w:val="22"/>
        </w:rPr>
        <w:t xml:space="preserve"> approach to </w:t>
      </w:r>
      <w:r>
        <w:rPr>
          <w:szCs w:val="22"/>
        </w:rPr>
        <w:t xml:space="preserve">working between the VPS and the executive arm of government and establishment of </w:t>
      </w:r>
      <w:r w:rsidR="00112386">
        <w:rPr>
          <w:szCs w:val="22"/>
        </w:rPr>
        <w:t xml:space="preserve">forward-looking </w:t>
      </w:r>
      <w:r w:rsidRPr="19C2C04C">
        <w:rPr>
          <w:szCs w:val="22"/>
        </w:rPr>
        <w:t>capability reviews</w:t>
      </w:r>
      <w:r>
        <w:rPr>
          <w:szCs w:val="22"/>
        </w:rPr>
        <w:t xml:space="preserve"> so that departments are equipped to deliver on the government’s priorities</w:t>
      </w:r>
      <w:r w:rsidRPr="19C2C04C">
        <w:rPr>
          <w:szCs w:val="22"/>
        </w:rPr>
        <w:t xml:space="preserve">. </w:t>
      </w:r>
      <w:r>
        <w:rPr>
          <w:szCs w:val="22"/>
        </w:rPr>
        <w:t>An</w:t>
      </w:r>
      <w:r w:rsidR="00F75A00">
        <w:rPr>
          <w:szCs w:val="22"/>
        </w:rPr>
        <w:t> </w:t>
      </w:r>
      <w:r>
        <w:rPr>
          <w:szCs w:val="22"/>
        </w:rPr>
        <w:t xml:space="preserve">enhanced </w:t>
      </w:r>
      <w:r w:rsidR="008B44AC" w:rsidRPr="00AD2286">
        <w:rPr>
          <w:szCs w:val="22"/>
        </w:rPr>
        <w:t xml:space="preserve">Victorian Public </w:t>
      </w:r>
      <w:r w:rsidR="00FC4BB3" w:rsidRPr="00AD2286">
        <w:rPr>
          <w:szCs w:val="22"/>
        </w:rPr>
        <w:t>Sector</w:t>
      </w:r>
      <w:r w:rsidR="008B44AC" w:rsidRPr="00AD2286">
        <w:rPr>
          <w:szCs w:val="22"/>
        </w:rPr>
        <w:t xml:space="preserve"> Commission</w:t>
      </w:r>
      <w:r w:rsidR="008B44AC">
        <w:rPr>
          <w:szCs w:val="22"/>
        </w:rPr>
        <w:t xml:space="preserve"> </w:t>
      </w:r>
      <w:r w:rsidR="00FC4BB3">
        <w:rPr>
          <w:szCs w:val="22"/>
        </w:rPr>
        <w:t>(</w:t>
      </w:r>
      <w:r>
        <w:rPr>
          <w:szCs w:val="22"/>
        </w:rPr>
        <w:t>VPSC</w:t>
      </w:r>
      <w:r w:rsidR="00FC4BB3">
        <w:rPr>
          <w:szCs w:val="22"/>
        </w:rPr>
        <w:t>)</w:t>
      </w:r>
      <w:r>
        <w:rPr>
          <w:szCs w:val="22"/>
        </w:rPr>
        <w:t xml:space="preserve">, supported by </w:t>
      </w:r>
      <w:r w:rsidR="00FC4BB3">
        <w:rPr>
          <w:szCs w:val="22"/>
        </w:rPr>
        <w:t xml:space="preserve">the </w:t>
      </w:r>
      <w:r w:rsidR="00FC4BB3" w:rsidRPr="00AD2286">
        <w:rPr>
          <w:szCs w:val="22"/>
        </w:rPr>
        <w:t>Department of Premier and Cabinet</w:t>
      </w:r>
      <w:r w:rsidR="00FC4BB3">
        <w:rPr>
          <w:szCs w:val="22"/>
        </w:rPr>
        <w:t xml:space="preserve"> (</w:t>
      </w:r>
      <w:r>
        <w:rPr>
          <w:szCs w:val="22"/>
        </w:rPr>
        <w:t>DPC</w:t>
      </w:r>
      <w:r w:rsidR="00FC4BB3">
        <w:rPr>
          <w:szCs w:val="22"/>
        </w:rPr>
        <w:t>)</w:t>
      </w:r>
      <w:r>
        <w:rPr>
          <w:szCs w:val="22"/>
        </w:rPr>
        <w:t>, has an important role to play in this.</w:t>
      </w:r>
    </w:p>
    <w:p w14:paraId="7473C097" w14:textId="1C5AA839" w:rsidR="004F0371" w:rsidRPr="005D5595" w:rsidRDefault="004F0371" w:rsidP="004F0371">
      <w:pPr>
        <w:rPr>
          <w:szCs w:val="22"/>
        </w:rPr>
      </w:pPr>
      <w:r w:rsidRPr="008C12D1">
        <w:rPr>
          <w:szCs w:val="22"/>
        </w:rPr>
        <w:t>Executive</w:t>
      </w:r>
      <w:r>
        <w:rPr>
          <w:szCs w:val="22"/>
        </w:rPr>
        <w:t xml:space="preserve"> and </w:t>
      </w:r>
      <w:r w:rsidRPr="008C12D1">
        <w:rPr>
          <w:szCs w:val="22"/>
        </w:rPr>
        <w:t>STS reductions and VPS</w:t>
      </w:r>
      <w:r>
        <w:rPr>
          <w:szCs w:val="22"/>
        </w:rPr>
        <w:t xml:space="preserve"> </w:t>
      </w:r>
      <w:r w:rsidRPr="008C12D1">
        <w:rPr>
          <w:szCs w:val="22"/>
        </w:rPr>
        <w:t xml:space="preserve">rebalancing would save </w:t>
      </w:r>
      <w:r w:rsidRPr="00AD2286">
        <w:rPr>
          <w:szCs w:val="22"/>
        </w:rPr>
        <w:t>$</w:t>
      </w:r>
      <w:r w:rsidRPr="00FE16BC">
        <w:rPr>
          <w:szCs w:val="22"/>
        </w:rPr>
        <w:t>4</w:t>
      </w:r>
      <w:r w:rsidR="001D5B61" w:rsidRPr="00FE16BC">
        <w:rPr>
          <w:szCs w:val="22"/>
        </w:rPr>
        <w:t>84</w:t>
      </w:r>
      <w:r w:rsidRPr="00AD2286">
        <w:rPr>
          <w:szCs w:val="22"/>
        </w:rPr>
        <w:t xml:space="preserve"> million</w:t>
      </w:r>
      <w:r w:rsidRPr="008C12D1">
        <w:rPr>
          <w:szCs w:val="22"/>
        </w:rPr>
        <w:t xml:space="preserve"> over </w:t>
      </w:r>
      <w:r>
        <w:rPr>
          <w:szCs w:val="22"/>
        </w:rPr>
        <w:t>4</w:t>
      </w:r>
      <w:r w:rsidR="00F75A00">
        <w:rPr>
          <w:szCs w:val="22"/>
        </w:rPr>
        <w:t> </w:t>
      </w:r>
      <w:r w:rsidRPr="008C12D1">
        <w:rPr>
          <w:szCs w:val="22"/>
        </w:rPr>
        <w:t>years</w:t>
      </w:r>
      <w:r>
        <w:rPr>
          <w:szCs w:val="22"/>
        </w:rPr>
        <w:t xml:space="preserve"> </w:t>
      </w:r>
      <w:r w:rsidRPr="008C12D1">
        <w:rPr>
          <w:szCs w:val="22"/>
        </w:rPr>
        <w:t xml:space="preserve">from 2025–26 </w:t>
      </w:r>
      <w:r>
        <w:rPr>
          <w:szCs w:val="22"/>
        </w:rPr>
        <w:t>and</w:t>
      </w:r>
      <w:r w:rsidRPr="008C12D1">
        <w:rPr>
          <w:szCs w:val="22"/>
        </w:rPr>
        <w:t xml:space="preserve"> </w:t>
      </w:r>
      <w:r w:rsidRPr="00AD2286">
        <w:rPr>
          <w:szCs w:val="22"/>
        </w:rPr>
        <w:t xml:space="preserve">reduce </w:t>
      </w:r>
      <w:r w:rsidR="00E26085" w:rsidRPr="00AD2286">
        <w:rPr>
          <w:szCs w:val="22"/>
        </w:rPr>
        <w:t xml:space="preserve">staffing </w:t>
      </w:r>
      <w:r w:rsidR="007D2CCF" w:rsidRPr="00AD2286">
        <w:rPr>
          <w:szCs w:val="22"/>
        </w:rPr>
        <w:t xml:space="preserve">by </w:t>
      </w:r>
      <w:r w:rsidR="001D5B61" w:rsidRPr="00FE16BC">
        <w:rPr>
          <w:szCs w:val="22"/>
        </w:rPr>
        <w:t>332</w:t>
      </w:r>
      <w:r w:rsidRPr="00AD2286">
        <w:rPr>
          <w:szCs w:val="22"/>
        </w:rPr>
        <w:t xml:space="preserve"> </w:t>
      </w:r>
      <w:r w:rsidR="00171B7B" w:rsidRPr="00AD2286">
        <w:rPr>
          <w:szCs w:val="22"/>
        </w:rPr>
        <w:t>full-time equivalent</w:t>
      </w:r>
      <w:r w:rsidR="00F82A0A" w:rsidRPr="00AD2286">
        <w:rPr>
          <w:szCs w:val="22"/>
        </w:rPr>
        <w:t xml:space="preserve"> </w:t>
      </w:r>
      <w:r w:rsidR="007D2CCF" w:rsidRPr="00AD2286">
        <w:rPr>
          <w:szCs w:val="22"/>
        </w:rPr>
        <w:t>positions</w:t>
      </w:r>
      <w:r w:rsidR="00E8074D" w:rsidRPr="00AD2286">
        <w:rPr>
          <w:szCs w:val="22"/>
        </w:rPr>
        <w:t xml:space="preserve"> </w:t>
      </w:r>
      <w:r w:rsidR="00F82A0A" w:rsidRPr="00AD2286">
        <w:rPr>
          <w:szCs w:val="22"/>
        </w:rPr>
        <w:t>(</w:t>
      </w:r>
      <w:r w:rsidRPr="00AD2286">
        <w:rPr>
          <w:szCs w:val="22"/>
        </w:rPr>
        <w:t>FTE</w:t>
      </w:r>
      <w:r w:rsidR="00F82A0A" w:rsidRPr="00AD2286">
        <w:rPr>
          <w:szCs w:val="22"/>
        </w:rPr>
        <w:t>)</w:t>
      </w:r>
      <w:r w:rsidRPr="008C12D1">
        <w:rPr>
          <w:szCs w:val="22"/>
        </w:rPr>
        <w:t>.</w:t>
      </w:r>
      <w:r w:rsidRPr="002267B9">
        <w:rPr>
          <w:szCs w:val="22"/>
        </w:rPr>
        <w:t xml:space="preserve"> </w:t>
      </w:r>
    </w:p>
    <w:p w14:paraId="17B048DC" w14:textId="7FEF4368" w:rsidR="004F0371" w:rsidRPr="009B3E74" w:rsidRDefault="004F0371" w:rsidP="00B90283">
      <w:pPr>
        <w:pStyle w:val="Heading3"/>
        <w:rPr>
          <w:rFonts w:asciiTheme="majorHAnsi" w:hAnsiTheme="majorHAnsi"/>
          <w:b w:val="0"/>
          <w:i/>
          <w:sz w:val="32"/>
          <w:szCs w:val="32"/>
        </w:rPr>
      </w:pPr>
      <w:r w:rsidRPr="009B3E74">
        <w:t>Major reform for public entities</w:t>
      </w:r>
    </w:p>
    <w:p w14:paraId="60E7D7E4" w14:textId="26145F8C" w:rsidR="004F0371" w:rsidRPr="006575A7" w:rsidRDefault="004F0371" w:rsidP="00DB5B23">
      <w:pPr>
        <w:rPr>
          <w:szCs w:val="22"/>
        </w:rPr>
      </w:pPr>
      <w:r>
        <w:rPr>
          <w:szCs w:val="22"/>
        </w:rPr>
        <w:t>Victoria’s more than 500 public entities and 3,400 boards and committees are costly and unwieldy. These arrangements come at a substantial, direct</w:t>
      </w:r>
      <w:r w:rsidR="000D55D9">
        <w:rPr>
          <w:szCs w:val="22"/>
        </w:rPr>
        <w:t xml:space="preserve"> </w:t>
      </w:r>
      <w:r w:rsidR="000D55D9" w:rsidRPr="00AD2286">
        <w:rPr>
          <w:szCs w:val="22"/>
        </w:rPr>
        <w:t>and indirect</w:t>
      </w:r>
      <w:r>
        <w:rPr>
          <w:szCs w:val="22"/>
        </w:rPr>
        <w:t xml:space="preserve"> cost to </w:t>
      </w:r>
      <w:r>
        <w:rPr>
          <w:szCs w:val="22"/>
        </w:rPr>
        <w:lastRenderedPageBreak/>
        <w:t>government. Victorian public</w:t>
      </w:r>
      <w:r w:rsidRPr="00FF228F">
        <w:rPr>
          <w:szCs w:val="22"/>
          <w:lang w:val="en-GB"/>
        </w:rPr>
        <w:t xml:space="preserve"> entities </w:t>
      </w:r>
      <w:r w:rsidR="00251FE2">
        <w:rPr>
          <w:szCs w:val="22"/>
          <w:lang w:val="en-GB"/>
        </w:rPr>
        <w:t>are</w:t>
      </w:r>
      <w:r>
        <w:rPr>
          <w:szCs w:val="22"/>
          <w:lang w:val="en-GB"/>
        </w:rPr>
        <w:t xml:space="preserve"> estimated </w:t>
      </w:r>
      <w:r w:rsidR="00251FE2">
        <w:rPr>
          <w:szCs w:val="22"/>
          <w:lang w:val="en-GB"/>
        </w:rPr>
        <w:t>to have a total</w:t>
      </w:r>
      <w:r>
        <w:rPr>
          <w:szCs w:val="22"/>
          <w:lang w:val="en-GB"/>
        </w:rPr>
        <w:t xml:space="preserve"> of around </w:t>
      </w:r>
      <w:r w:rsidRPr="00AD2286">
        <w:rPr>
          <w:szCs w:val="22"/>
          <w:lang w:val="en-GB"/>
        </w:rPr>
        <w:t>$35</w:t>
      </w:r>
      <w:r w:rsidR="00CD7C86">
        <w:rPr>
          <w:szCs w:val="22"/>
          <w:lang w:val="en-GB"/>
        </w:rPr>
        <w:t> </w:t>
      </w:r>
      <w:r w:rsidRPr="00AD2286">
        <w:rPr>
          <w:szCs w:val="22"/>
          <w:lang w:val="en-GB"/>
        </w:rPr>
        <w:t>billion</w:t>
      </w:r>
      <w:r w:rsidRPr="00FF228F">
        <w:rPr>
          <w:szCs w:val="22"/>
          <w:lang w:val="en-GB"/>
        </w:rPr>
        <w:t xml:space="preserve"> in annual</w:t>
      </w:r>
      <w:r w:rsidRPr="0084513D">
        <w:rPr>
          <w:szCs w:val="22"/>
          <w:lang w:val="en-GB"/>
        </w:rPr>
        <w:t xml:space="preserve"> </w:t>
      </w:r>
      <w:r w:rsidRPr="00FF228F">
        <w:rPr>
          <w:szCs w:val="22"/>
          <w:lang w:val="en-GB"/>
        </w:rPr>
        <w:t>operating expenditure</w:t>
      </w:r>
      <w:r>
        <w:rPr>
          <w:szCs w:val="22"/>
          <w:lang w:val="en-GB"/>
        </w:rPr>
        <w:t xml:space="preserve"> and there has been disproportionate growth in staffing in public sector entities and VPS non-departmental entities over the past 5</w:t>
      </w:r>
      <w:r w:rsidR="00CD7C86">
        <w:rPr>
          <w:szCs w:val="22"/>
          <w:lang w:val="en-GB"/>
        </w:rPr>
        <w:t> </w:t>
      </w:r>
      <w:r>
        <w:rPr>
          <w:szCs w:val="22"/>
          <w:lang w:val="en-GB"/>
        </w:rPr>
        <w:t>years.</w:t>
      </w:r>
      <w:r w:rsidRPr="00FF228F">
        <w:rPr>
          <w:szCs w:val="22"/>
        </w:rPr>
        <w:t> </w:t>
      </w:r>
      <w:r>
        <w:rPr>
          <w:szCs w:val="22"/>
        </w:rPr>
        <w:t xml:space="preserve">These arrangements also make government </w:t>
      </w:r>
      <w:r w:rsidR="00207A17" w:rsidRPr="00AD2286">
        <w:rPr>
          <w:szCs w:val="22"/>
        </w:rPr>
        <w:t>more difficult</w:t>
      </w:r>
      <w:r>
        <w:rPr>
          <w:szCs w:val="22"/>
        </w:rPr>
        <w:t xml:space="preserve"> to deal with for citizens and business.</w:t>
      </w:r>
    </w:p>
    <w:p w14:paraId="395239F8" w14:textId="686A65A4" w:rsidR="004F0371" w:rsidRDefault="004F0371" w:rsidP="00DB5B23">
      <w:pPr>
        <w:rPr>
          <w:szCs w:val="22"/>
        </w:rPr>
      </w:pPr>
      <w:r w:rsidRPr="00C70E42">
        <w:rPr>
          <w:szCs w:val="22"/>
        </w:rPr>
        <w:t>The</w:t>
      </w:r>
      <w:r>
        <w:rPr>
          <w:szCs w:val="22"/>
        </w:rPr>
        <w:t xml:space="preserve"> Review finds there are </w:t>
      </w:r>
      <w:r w:rsidRPr="00C70E42">
        <w:rPr>
          <w:szCs w:val="22"/>
        </w:rPr>
        <w:t xml:space="preserve">substantial opportunities to reduce and streamline entities and their staff numbers through carefully targeted cessation, merging and streamlining. </w:t>
      </w:r>
      <w:r w:rsidR="00301366">
        <w:rPr>
          <w:szCs w:val="22"/>
        </w:rPr>
        <w:t>In Chapter 6, t</w:t>
      </w:r>
      <w:r>
        <w:rPr>
          <w:szCs w:val="22"/>
        </w:rPr>
        <w:t>he Rev</w:t>
      </w:r>
      <w:r w:rsidRPr="00DE6DDF">
        <w:rPr>
          <w:szCs w:val="22"/>
        </w:rPr>
        <w:t>iew recommends</w:t>
      </w:r>
      <w:r>
        <w:rPr>
          <w:szCs w:val="22"/>
        </w:rPr>
        <w:t xml:space="preserve"> a major package of reform that would </w:t>
      </w:r>
      <w:r w:rsidRPr="00DE6DDF">
        <w:rPr>
          <w:szCs w:val="22"/>
        </w:rPr>
        <w:t>reduc</w:t>
      </w:r>
      <w:r>
        <w:rPr>
          <w:szCs w:val="22"/>
        </w:rPr>
        <w:t>e</w:t>
      </w:r>
      <w:r w:rsidRPr="00DE6DDF">
        <w:rPr>
          <w:szCs w:val="22"/>
        </w:rPr>
        <w:t xml:space="preserve"> the number of public entities by </w:t>
      </w:r>
      <w:r w:rsidR="003869B7">
        <w:rPr>
          <w:szCs w:val="22"/>
        </w:rPr>
        <w:t>78</w:t>
      </w:r>
      <w:r w:rsidRPr="00DE6DDF">
        <w:rPr>
          <w:szCs w:val="22"/>
        </w:rPr>
        <w:t xml:space="preserve"> and </w:t>
      </w:r>
      <w:r w:rsidR="00C40039">
        <w:rPr>
          <w:szCs w:val="22"/>
        </w:rPr>
        <w:t xml:space="preserve">cease </w:t>
      </w:r>
      <w:r w:rsidRPr="00DE6DDF">
        <w:rPr>
          <w:szCs w:val="22"/>
        </w:rPr>
        <w:t>up to 90 advisory committees.</w:t>
      </w:r>
      <w:r>
        <w:rPr>
          <w:szCs w:val="22"/>
        </w:rPr>
        <w:t xml:space="preserve"> This includes significant reforms to the regulatory system, water and land management, policy advice and research, and funds management.</w:t>
      </w:r>
    </w:p>
    <w:p w14:paraId="2286A767" w14:textId="2A01CCBA" w:rsidR="004F0371" w:rsidRPr="00DE6DDF" w:rsidRDefault="004F0371" w:rsidP="00DB5B23">
      <w:pPr>
        <w:rPr>
          <w:szCs w:val="22"/>
        </w:rPr>
      </w:pPr>
      <w:r w:rsidRPr="00DE6DDF">
        <w:rPr>
          <w:rFonts w:ascii="Aptos" w:eastAsia="Aptos" w:hAnsi="Aptos" w:cs="Aptos"/>
          <w:color w:val="000000" w:themeColor="text1"/>
          <w:szCs w:val="22"/>
        </w:rPr>
        <w:t xml:space="preserve">Improved administration and oversight of entity establishment and governance </w:t>
      </w:r>
      <w:r>
        <w:rPr>
          <w:rFonts w:ascii="Aptos" w:eastAsia="Aptos" w:hAnsi="Aptos" w:cs="Aptos"/>
          <w:color w:val="000000" w:themeColor="text1"/>
          <w:szCs w:val="22"/>
        </w:rPr>
        <w:t>are</w:t>
      </w:r>
      <w:r w:rsidRPr="00DE6DDF">
        <w:rPr>
          <w:rFonts w:ascii="Aptos" w:eastAsia="Aptos" w:hAnsi="Aptos" w:cs="Aptos"/>
          <w:color w:val="000000" w:themeColor="text1"/>
          <w:szCs w:val="22"/>
        </w:rPr>
        <w:t xml:space="preserve"> also </w:t>
      </w:r>
      <w:r>
        <w:rPr>
          <w:rFonts w:ascii="Aptos" w:eastAsia="Aptos" w:hAnsi="Aptos" w:cs="Aptos"/>
          <w:color w:val="000000" w:themeColor="text1"/>
          <w:szCs w:val="22"/>
        </w:rPr>
        <w:t>needed</w:t>
      </w:r>
      <w:r w:rsidRPr="00DE6DDF">
        <w:rPr>
          <w:rFonts w:ascii="Aptos" w:eastAsia="Aptos" w:hAnsi="Aptos" w:cs="Aptos"/>
          <w:color w:val="000000" w:themeColor="text1"/>
          <w:szCs w:val="22"/>
        </w:rPr>
        <w:t xml:space="preserve">, including default sunset dates </w:t>
      </w:r>
      <w:r>
        <w:rPr>
          <w:rFonts w:ascii="Aptos" w:eastAsia="Aptos" w:hAnsi="Aptos" w:cs="Aptos"/>
          <w:color w:val="000000" w:themeColor="text1"/>
          <w:szCs w:val="22"/>
        </w:rPr>
        <w:t xml:space="preserve">for entities that have fulfilled their purpose, better data collection </w:t>
      </w:r>
      <w:r w:rsidRPr="00DE6DDF">
        <w:rPr>
          <w:rFonts w:ascii="Aptos" w:eastAsia="Aptos" w:hAnsi="Aptos" w:cs="Aptos"/>
          <w:color w:val="000000" w:themeColor="text1"/>
          <w:szCs w:val="22"/>
        </w:rPr>
        <w:t>and regular review</w:t>
      </w:r>
      <w:r w:rsidR="007C39A6">
        <w:rPr>
          <w:rFonts w:ascii="Aptos" w:eastAsia="Aptos" w:hAnsi="Aptos" w:cs="Aptos"/>
          <w:color w:val="000000" w:themeColor="text1"/>
          <w:szCs w:val="22"/>
        </w:rPr>
        <w:t>s</w:t>
      </w:r>
      <w:r w:rsidRPr="00DE6DDF">
        <w:rPr>
          <w:rFonts w:ascii="Aptos" w:eastAsia="Aptos" w:hAnsi="Aptos" w:cs="Aptos"/>
          <w:color w:val="000000" w:themeColor="text1"/>
          <w:szCs w:val="22"/>
        </w:rPr>
        <w:t>.</w:t>
      </w:r>
    </w:p>
    <w:p w14:paraId="22D0D8C3" w14:textId="3535E0AB" w:rsidR="004F0371" w:rsidRPr="003B41AD" w:rsidRDefault="004F0371" w:rsidP="00DB5B23">
      <w:pPr>
        <w:rPr>
          <w:szCs w:val="22"/>
        </w:rPr>
      </w:pPr>
      <w:r w:rsidRPr="19C2C04C">
        <w:rPr>
          <w:szCs w:val="22"/>
        </w:rPr>
        <w:t xml:space="preserve">Entity reform would save </w:t>
      </w:r>
      <w:r w:rsidRPr="00C30268">
        <w:rPr>
          <w:szCs w:val="22"/>
        </w:rPr>
        <w:t>$4</w:t>
      </w:r>
      <w:r w:rsidR="007814F6" w:rsidRPr="00C30268">
        <w:rPr>
          <w:szCs w:val="22"/>
        </w:rPr>
        <w:t>27</w:t>
      </w:r>
      <w:r w:rsidRPr="00C30268">
        <w:rPr>
          <w:szCs w:val="22"/>
        </w:rPr>
        <w:t xml:space="preserve"> million</w:t>
      </w:r>
      <w:r w:rsidRPr="00BA6610">
        <w:rPr>
          <w:szCs w:val="22"/>
        </w:rPr>
        <w:t xml:space="preserve"> over 4</w:t>
      </w:r>
      <w:r w:rsidR="00CC42F7">
        <w:rPr>
          <w:szCs w:val="22"/>
        </w:rPr>
        <w:t> </w:t>
      </w:r>
      <w:r w:rsidRPr="00BA6610">
        <w:rPr>
          <w:szCs w:val="22"/>
        </w:rPr>
        <w:t>years</w:t>
      </w:r>
      <w:r>
        <w:rPr>
          <w:szCs w:val="22"/>
        </w:rPr>
        <w:t xml:space="preserve"> from 2025–26</w:t>
      </w:r>
      <w:r w:rsidRPr="19C2C04C">
        <w:rPr>
          <w:szCs w:val="22"/>
        </w:rPr>
        <w:t xml:space="preserve"> and reduce </w:t>
      </w:r>
      <w:r w:rsidRPr="00C30268">
        <w:rPr>
          <w:szCs w:val="22"/>
        </w:rPr>
        <w:t>5</w:t>
      </w:r>
      <w:r w:rsidR="007814F6" w:rsidRPr="00C30268">
        <w:rPr>
          <w:szCs w:val="22"/>
        </w:rPr>
        <w:t>36</w:t>
      </w:r>
      <w:r w:rsidRPr="00C30268">
        <w:rPr>
          <w:szCs w:val="22"/>
        </w:rPr>
        <w:t xml:space="preserve"> ongoing FTE</w:t>
      </w:r>
      <w:r>
        <w:rPr>
          <w:szCs w:val="22"/>
        </w:rPr>
        <w:t xml:space="preserve"> in the VPS and public sector</w:t>
      </w:r>
      <w:r w:rsidRPr="19C2C04C">
        <w:rPr>
          <w:szCs w:val="22"/>
        </w:rPr>
        <w:t xml:space="preserve">.  </w:t>
      </w:r>
    </w:p>
    <w:p w14:paraId="4118691C" w14:textId="48FC4979" w:rsidR="004F0371" w:rsidRPr="009B3E74" w:rsidRDefault="004F0371" w:rsidP="00B90283">
      <w:pPr>
        <w:pStyle w:val="Heading3"/>
        <w:rPr>
          <w:rFonts w:asciiTheme="majorHAnsi" w:hAnsiTheme="majorHAnsi"/>
          <w:b w:val="0"/>
          <w:i/>
          <w:sz w:val="32"/>
          <w:szCs w:val="32"/>
        </w:rPr>
      </w:pPr>
      <w:r w:rsidRPr="009B3E74">
        <w:t>Accelerat</w:t>
      </w:r>
      <w:r w:rsidR="004A2FCE">
        <w:t>ing</w:t>
      </w:r>
      <w:r w:rsidRPr="009B3E74">
        <w:t xml:space="preserve"> digitisation and </w:t>
      </w:r>
      <w:r w:rsidR="00E85E56">
        <w:t xml:space="preserve">the </w:t>
      </w:r>
      <w:r w:rsidRPr="009B3E74">
        <w:t xml:space="preserve">adoption of </w:t>
      </w:r>
      <w:r w:rsidR="00B90830" w:rsidRPr="00C30268">
        <w:t>Artificial Intelligence</w:t>
      </w:r>
      <w:r w:rsidRPr="009B3E74">
        <w:t xml:space="preserve"> </w:t>
      </w:r>
      <w:r w:rsidR="00B90830">
        <w:t>(</w:t>
      </w:r>
      <w:r w:rsidRPr="009B3E74">
        <w:t>AI</w:t>
      </w:r>
      <w:r w:rsidR="00B90830">
        <w:t>)</w:t>
      </w:r>
    </w:p>
    <w:p w14:paraId="608540D2" w14:textId="77777777" w:rsidR="004F0371" w:rsidRDefault="004F0371" w:rsidP="004F0371">
      <w:pPr>
        <w:rPr>
          <w:rStyle w:val="normaltextrun"/>
          <w:rFonts w:ascii="Aptos" w:hAnsi="Aptos" w:cs="Segoe UI"/>
          <w:szCs w:val="22"/>
        </w:rPr>
      </w:pPr>
      <w:r>
        <w:rPr>
          <w:rFonts w:eastAsiaTheme="majorEastAsia"/>
          <w:szCs w:val="22"/>
        </w:rPr>
        <w:t xml:space="preserve">Victorians expect government services to be easy to interact with. </w:t>
      </w:r>
      <w:r w:rsidRPr="00806F21">
        <w:rPr>
          <w:rFonts w:eastAsiaTheme="majorEastAsia"/>
          <w:szCs w:val="22"/>
        </w:rPr>
        <w:t>T</w:t>
      </w:r>
      <w:r w:rsidRPr="00806F21">
        <w:rPr>
          <w:szCs w:val="22"/>
        </w:rPr>
        <w:t>oo often</w:t>
      </w:r>
      <w:r>
        <w:rPr>
          <w:szCs w:val="22"/>
        </w:rPr>
        <w:t xml:space="preserve"> though</w:t>
      </w:r>
      <w:r w:rsidRPr="00806F21">
        <w:rPr>
          <w:szCs w:val="22"/>
        </w:rPr>
        <w:t>, they must repeat information, navigate complex systems, or wait for manual approvals</w:t>
      </w:r>
      <w:r>
        <w:rPr>
          <w:rFonts w:eastAsiaTheme="majorEastAsia"/>
          <w:szCs w:val="22"/>
        </w:rPr>
        <w:t xml:space="preserve">. </w:t>
      </w:r>
      <w:r w:rsidRPr="00806F21">
        <w:rPr>
          <w:rStyle w:val="normaltextrun"/>
          <w:rFonts w:ascii="Aptos" w:hAnsi="Aptos" w:cs="Segoe UI"/>
          <w:szCs w:val="22"/>
        </w:rPr>
        <w:t xml:space="preserve">Public servants also lose </w:t>
      </w:r>
      <w:r w:rsidRPr="009955E4">
        <w:rPr>
          <w:rStyle w:val="normaltextrun"/>
          <w:rFonts w:ascii="Aptos" w:hAnsi="Aptos" w:cs="Segoe UI"/>
          <w:szCs w:val="22"/>
        </w:rPr>
        <w:t xml:space="preserve">time navigating bespoke and fragmented systems. More than 40 per cent of </w:t>
      </w:r>
      <w:r w:rsidRPr="009955E4">
        <w:rPr>
          <w:rStyle w:val="normaltextrun"/>
          <w:rFonts w:ascii="Aptos" w:hAnsi="Aptos" w:cs="Segoe UI"/>
          <w:szCs w:val="22"/>
        </w:rPr>
        <w:t>departments’ core systems and platforms are approaching their end of life.</w:t>
      </w:r>
    </w:p>
    <w:p w14:paraId="73149679" w14:textId="5F1173E5" w:rsidR="004F0371" w:rsidRPr="009955E4" w:rsidRDefault="00DE6D83" w:rsidP="004F0371">
      <w:pPr>
        <w:rPr>
          <w:rFonts w:ascii="Aptos" w:eastAsiaTheme="majorEastAsia" w:hAnsi="Aptos" w:cs="Segoe UI"/>
          <w:szCs w:val="22"/>
        </w:rPr>
      </w:pPr>
      <w:r>
        <w:rPr>
          <w:szCs w:val="22"/>
        </w:rPr>
        <w:t xml:space="preserve">Chapter </w:t>
      </w:r>
      <w:r w:rsidR="006E790E">
        <w:rPr>
          <w:szCs w:val="22"/>
        </w:rPr>
        <w:t>7 discusses the</w:t>
      </w:r>
      <w:r w:rsidR="004F0371" w:rsidRPr="009955E4">
        <w:rPr>
          <w:szCs w:val="22"/>
        </w:rPr>
        <w:t xml:space="preserve"> major opportunit</w:t>
      </w:r>
      <w:r w:rsidR="008A4F7D">
        <w:rPr>
          <w:szCs w:val="22"/>
        </w:rPr>
        <w:t>y</w:t>
      </w:r>
      <w:r w:rsidR="004F0371" w:rsidRPr="009955E4">
        <w:rPr>
          <w:szCs w:val="22"/>
        </w:rPr>
        <w:t xml:space="preserve"> for the government to modernise </w:t>
      </w:r>
      <w:r w:rsidR="004F0371">
        <w:rPr>
          <w:szCs w:val="22"/>
        </w:rPr>
        <w:t>its</w:t>
      </w:r>
      <w:r w:rsidR="004F0371" w:rsidRPr="009955E4">
        <w:rPr>
          <w:szCs w:val="22"/>
        </w:rPr>
        <w:t xml:space="preserve"> delivery of services. </w:t>
      </w:r>
      <w:r w:rsidR="00040F3E" w:rsidRPr="00C30268">
        <w:rPr>
          <w:szCs w:val="22"/>
        </w:rPr>
        <w:t>This is system reform, not a technology project</w:t>
      </w:r>
      <w:r w:rsidR="00040F3E">
        <w:rPr>
          <w:szCs w:val="22"/>
        </w:rPr>
        <w:t>.</w:t>
      </w:r>
      <w:r w:rsidR="00040F3E">
        <w:rPr>
          <w:rFonts w:ascii="Aptos" w:eastAsiaTheme="majorEastAsia" w:hAnsi="Aptos" w:cs="Segoe UI"/>
          <w:szCs w:val="22"/>
        </w:rPr>
        <w:t xml:space="preserve"> </w:t>
      </w:r>
      <w:r w:rsidR="004F0371" w:rsidRPr="009955E4">
        <w:rPr>
          <w:szCs w:val="22"/>
        </w:rPr>
        <w:t xml:space="preserve">The Review recommends a staged, platform-enabled shared service reform model, led by </w:t>
      </w:r>
      <w:r w:rsidR="009317E5" w:rsidRPr="00C30268">
        <w:rPr>
          <w:szCs w:val="22"/>
        </w:rPr>
        <w:t>a refocused</w:t>
      </w:r>
      <w:r w:rsidR="009317E5">
        <w:rPr>
          <w:szCs w:val="22"/>
        </w:rPr>
        <w:t xml:space="preserve"> </w:t>
      </w:r>
      <w:r w:rsidR="0047449A" w:rsidRPr="00C30268">
        <w:rPr>
          <w:szCs w:val="22"/>
        </w:rPr>
        <w:t>Department of Government Services</w:t>
      </w:r>
      <w:r w:rsidR="0047449A">
        <w:rPr>
          <w:szCs w:val="22"/>
        </w:rPr>
        <w:t xml:space="preserve"> (</w:t>
      </w:r>
      <w:r w:rsidR="004F0371" w:rsidRPr="009955E4">
        <w:rPr>
          <w:szCs w:val="22"/>
        </w:rPr>
        <w:t>DGS</w:t>
      </w:r>
      <w:r w:rsidR="0047449A">
        <w:rPr>
          <w:szCs w:val="22"/>
        </w:rPr>
        <w:t>)</w:t>
      </w:r>
      <w:r w:rsidR="004F0371">
        <w:rPr>
          <w:szCs w:val="22"/>
        </w:rPr>
        <w:t>,</w:t>
      </w:r>
      <w:r w:rsidR="004F0371" w:rsidRPr="009955E4">
        <w:rPr>
          <w:szCs w:val="22"/>
        </w:rPr>
        <w:t xml:space="preserve"> to digitise repeatable transactional services across customer services, regulatory functions, corporate services and enabling infrastructure. </w:t>
      </w:r>
      <w:r w:rsidR="004F0371">
        <w:rPr>
          <w:rFonts w:ascii="Aptos" w:eastAsiaTheme="majorEastAsia" w:hAnsi="Aptos" w:cs="Segoe UI"/>
          <w:szCs w:val="22"/>
        </w:rPr>
        <w:t xml:space="preserve">These changes could </w:t>
      </w:r>
      <w:r w:rsidR="004F0371" w:rsidRPr="0092157D">
        <w:rPr>
          <w:szCs w:val="22"/>
        </w:rPr>
        <w:t xml:space="preserve">better meet </w:t>
      </w:r>
      <w:r w:rsidR="00D725F1" w:rsidRPr="00C30268">
        <w:rPr>
          <w:szCs w:val="22"/>
        </w:rPr>
        <w:t>service</w:t>
      </w:r>
      <w:r w:rsidR="00D725F1">
        <w:rPr>
          <w:szCs w:val="22"/>
        </w:rPr>
        <w:t xml:space="preserve"> </w:t>
      </w:r>
      <w:r w:rsidR="004F0371" w:rsidRPr="0092157D">
        <w:rPr>
          <w:szCs w:val="22"/>
        </w:rPr>
        <w:t>demand, save money, address public sector workload issues, and improve</w:t>
      </w:r>
      <w:r w:rsidR="004F0371">
        <w:rPr>
          <w:szCs w:val="22"/>
        </w:rPr>
        <w:t xml:space="preserve"> the</w:t>
      </w:r>
      <w:r w:rsidR="004F0371" w:rsidRPr="0092157D">
        <w:rPr>
          <w:szCs w:val="22"/>
        </w:rPr>
        <w:t xml:space="preserve"> quality of services to the </w:t>
      </w:r>
      <w:r w:rsidR="004F0371">
        <w:rPr>
          <w:szCs w:val="22"/>
        </w:rPr>
        <w:t>community</w:t>
      </w:r>
      <w:r w:rsidR="004F0371" w:rsidRPr="0092157D">
        <w:rPr>
          <w:szCs w:val="22"/>
        </w:rPr>
        <w:t xml:space="preserve">. </w:t>
      </w:r>
    </w:p>
    <w:p w14:paraId="77DD8628" w14:textId="0809C737" w:rsidR="004F0371" w:rsidRPr="00694EB0" w:rsidRDefault="004F0371" w:rsidP="004F0371">
      <w:pPr>
        <w:rPr>
          <w:szCs w:val="22"/>
        </w:rPr>
      </w:pPr>
      <w:r w:rsidRPr="00694EB0">
        <w:rPr>
          <w:szCs w:val="22"/>
        </w:rPr>
        <w:t>Safe and effective use of AI can lift public sector productivity by automating routine tasks, supporting better decisions, and freeing up time for high</w:t>
      </w:r>
      <w:r>
        <w:rPr>
          <w:szCs w:val="22"/>
        </w:rPr>
        <w:t>er</w:t>
      </w:r>
      <w:r w:rsidRPr="00694EB0">
        <w:rPr>
          <w:szCs w:val="22"/>
        </w:rPr>
        <w:t xml:space="preserve">-value work. </w:t>
      </w:r>
      <w:r>
        <w:rPr>
          <w:szCs w:val="22"/>
        </w:rPr>
        <w:t xml:space="preserve">The Review recommends establishing an </w:t>
      </w:r>
      <w:r w:rsidRPr="00022960">
        <w:rPr>
          <w:szCs w:val="22"/>
        </w:rPr>
        <w:t>AI Centre of Excellence</w:t>
      </w:r>
      <w:r w:rsidRPr="00694EB0">
        <w:rPr>
          <w:szCs w:val="22"/>
        </w:rPr>
        <w:t xml:space="preserve"> </w:t>
      </w:r>
      <w:r w:rsidR="009263D3">
        <w:rPr>
          <w:szCs w:val="22"/>
        </w:rPr>
        <w:t>in DGS</w:t>
      </w:r>
      <w:r w:rsidR="0081529D">
        <w:rPr>
          <w:szCs w:val="22"/>
        </w:rPr>
        <w:t>,</w:t>
      </w:r>
      <w:r w:rsidRPr="00694EB0">
        <w:rPr>
          <w:szCs w:val="22"/>
        </w:rPr>
        <w:t xml:space="preserve"> </w:t>
      </w:r>
      <w:r>
        <w:rPr>
          <w:szCs w:val="22"/>
        </w:rPr>
        <w:t xml:space="preserve">with a mandate to harness safely </w:t>
      </w:r>
      <w:r w:rsidR="009263D3">
        <w:rPr>
          <w:szCs w:val="22"/>
        </w:rPr>
        <w:t>the</w:t>
      </w:r>
      <w:r>
        <w:rPr>
          <w:szCs w:val="22"/>
        </w:rPr>
        <w:t xml:space="preserve"> benefits </w:t>
      </w:r>
      <w:r w:rsidR="009263D3">
        <w:rPr>
          <w:szCs w:val="22"/>
        </w:rPr>
        <w:t>of AI</w:t>
      </w:r>
      <w:r>
        <w:rPr>
          <w:szCs w:val="22"/>
        </w:rPr>
        <w:t xml:space="preserve"> for the VPS and public sector workforce</w:t>
      </w:r>
      <w:r w:rsidR="0081529D">
        <w:rPr>
          <w:szCs w:val="22"/>
        </w:rPr>
        <w:t>,</w:t>
      </w:r>
      <w:r>
        <w:rPr>
          <w:szCs w:val="22"/>
        </w:rPr>
        <w:t xml:space="preserve"> and the community.</w:t>
      </w:r>
    </w:p>
    <w:p w14:paraId="0870A372" w14:textId="1FB4C7AD" w:rsidR="004F0371" w:rsidRPr="0092157D" w:rsidRDefault="004F0371" w:rsidP="004F0371">
      <w:pPr>
        <w:rPr>
          <w:szCs w:val="22"/>
        </w:rPr>
      </w:pPr>
      <w:r>
        <w:rPr>
          <w:szCs w:val="22"/>
        </w:rPr>
        <w:t>These reforms</w:t>
      </w:r>
      <w:r w:rsidRPr="0092157D">
        <w:rPr>
          <w:szCs w:val="22"/>
        </w:rPr>
        <w:t xml:space="preserve"> would save </w:t>
      </w:r>
      <w:r w:rsidRPr="00C30268">
        <w:rPr>
          <w:szCs w:val="22"/>
        </w:rPr>
        <w:t>$</w:t>
      </w:r>
      <w:r w:rsidR="00F8608D" w:rsidRPr="00C30268">
        <w:rPr>
          <w:szCs w:val="22"/>
        </w:rPr>
        <w:t>94</w:t>
      </w:r>
      <w:r w:rsidRPr="00C30268">
        <w:rPr>
          <w:szCs w:val="22"/>
        </w:rPr>
        <w:t xml:space="preserve"> million </w:t>
      </w:r>
      <w:r w:rsidRPr="0092157D">
        <w:rPr>
          <w:szCs w:val="22"/>
        </w:rPr>
        <w:t>over</w:t>
      </w:r>
      <w:r w:rsidR="006F3D1F">
        <w:rPr>
          <w:szCs w:val="22"/>
        </w:rPr>
        <w:t> </w:t>
      </w:r>
      <w:r w:rsidRPr="00CA59E8">
        <w:rPr>
          <w:szCs w:val="22"/>
        </w:rPr>
        <w:t>4</w:t>
      </w:r>
      <w:r w:rsidR="006F3D1F">
        <w:rPr>
          <w:szCs w:val="22"/>
        </w:rPr>
        <w:t> </w:t>
      </w:r>
      <w:r w:rsidRPr="0092157D">
        <w:rPr>
          <w:szCs w:val="22"/>
        </w:rPr>
        <w:t xml:space="preserve">years </w:t>
      </w:r>
      <w:r w:rsidRPr="00CA59E8">
        <w:rPr>
          <w:szCs w:val="22"/>
        </w:rPr>
        <w:t xml:space="preserve">from 2025–26 </w:t>
      </w:r>
      <w:r w:rsidRPr="0092157D">
        <w:rPr>
          <w:szCs w:val="22"/>
        </w:rPr>
        <w:t xml:space="preserve">and reduce </w:t>
      </w:r>
      <w:r w:rsidRPr="00C30268">
        <w:rPr>
          <w:szCs w:val="22"/>
        </w:rPr>
        <w:t>197</w:t>
      </w:r>
      <w:r w:rsidR="006F3D1F">
        <w:rPr>
          <w:szCs w:val="22"/>
        </w:rPr>
        <w:t> </w:t>
      </w:r>
      <w:r w:rsidRPr="00C30268">
        <w:rPr>
          <w:szCs w:val="22"/>
        </w:rPr>
        <w:t>ongoing FTE</w:t>
      </w:r>
      <w:r w:rsidRPr="0092157D">
        <w:rPr>
          <w:szCs w:val="22"/>
        </w:rPr>
        <w:t xml:space="preserve">.  </w:t>
      </w:r>
    </w:p>
    <w:p w14:paraId="643B0A14" w14:textId="5843344A" w:rsidR="004F0371" w:rsidRPr="009B3E74" w:rsidRDefault="004F0371" w:rsidP="00B90283">
      <w:pPr>
        <w:pStyle w:val="Heading3"/>
        <w:rPr>
          <w:rFonts w:asciiTheme="majorHAnsi" w:hAnsiTheme="majorHAnsi"/>
          <w:b w:val="0"/>
          <w:i/>
          <w:sz w:val="32"/>
          <w:szCs w:val="32"/>
        </w:rPr>
      </w:pPr>
      <w:r w:rsidRPr="009B3E74">
        <w:t xml:space="preserve">Further opportunities for reform and savings </w:t>
      </w:r>
    </w:p>
    <w:p w14:paraId="7989E64E" w14:textId="423493E0" w:rsidR="000F07F5" w:rsidRDefault="004F0371" w:rsidP="004F0371">
      <w:pPr>
        <w:rPr>
          <w:szCs w:val="22"/>
        </w:rPr>
      </w:pPr>
      <w:r>
        <w:rPr>
          <w:szCs w:val="22"/>
        </w:rPr>
        <w:t xml:space="preserve">The </w:t>
      </w:r>
      <w:r w:rsidR="00BB7084">
        <w:rPr>
          <w:szCs w:val="22"/>
        </w:rPr>
        <w:t xml:space="preserve">Review provided interim recommendations to the government </w:t>
      </w:r>
      <w:r w:rsidR="00BB7084" w:rsidRPr="525B2E01">
        <w:t xml:space="preserve">ahead of </w:t>
      </w:r>
      <w:r w:rsidR="00BB7084">
        <w:rPr>
          <w:szCs w:val="22"/>
        </w:rPr>
        <w:t>the 2025/26 Budget</w:t>
      </w:r>
      <w:r w:rsidR="00BB7084">
        <w:t>. These contributed</w:t>
      </w:r>
      <w:r w:rsidR="00BB7084">
        <w:rPr>
          <w:szCs w:val="22"/>
        </w:rPr>
        <w:t xml:space="preserve"> </w:t>
      </w:r>
      <w:r w:rsidR="00BB7084" w:rsidRPr="00C30268">
        <w:rPr>
          <w:szCs w:val="22"/>
        </w:rPr>
        <w:t>$2.</w:t>
      </w:r>
      <w:r w:rsidR="002F3A87" w:rsidRPr="00C30268">
        <w:rPr>
          <w:szCs w:val="22"/>
        </w:rPr>
        <w:t>8</w:t>
      </w:r>
      <w:r w:rsidR="00BB7084" w:rsidRPr="00C30268">
        <w:rPr>
          <w:szCs w:val="22"/>
        </w:rPr>
        <w:t xml:space="preserve"> billion of savings over 4 years from 2025-26 and 619 ongoing FTE reductions</w:t>
      </w:r>
      <w:r w:rsidR="00BB7084">
        <w:rPr>
          <w:szCs w:val="22"/>
        </w:rPr>
        <w:t xml:space="preserve"> to the government’s overall savings and efficiencies in the Budget. </w:t>
      </w:r>
    </w:p>
    <w:p w14:paraId="0B970C06" w14:textId="0ECC8A16" w:rsidR="004F0371" w:rsidRDefault="003519FE" w:rsidP="004F0371">
      <w:pPr>
        <w:rPr>
          <w:szCs w:val="22"/>
        </w:rPr>
      </w:pPr>
      <w:r>
        <w:rPr>
          <w:szCs w:val="22"/>
        </w:rPr>
        <w:br w:type="column"/>
      </w:r>
      <w:r w:rsidR="004F0371">
        <w:rPr>
          <w:szCs w:val="22"/>
        </w:rPr>
        <w:lastRenderedPageBreak/>
        <w:t>In the time available, the Review considered some high expenditure program areas and has identified additional refor</w:t>
      </w:r>
      <w:r w:rsidR="004F0371" w:rsidRPr="00731843">
        <w:rPr>
          <w:szCs w:val="22"/>
        </w:rPr>
        <w:t xml:space="preserve">ms and savings where functions are </w:t>
      </w:r>
      <w:r w:rsidR="004F0371">
        <w:rPr>
          <w:szCs w:val="22"/>
        </w:rPr>
        <w:t xml:space="preserve">currently </w:t>
      </w:r>
      <w:r w:rsidR="004F0371" w:rsidRPr="00731843">
        <w:rPr>
          <w:szCs w:val="22"/>
        </w:rPr>
        <w:t>duplicated across government, the</w:t>
      </w:r>
      <w:r w:rsidR="004F0371">
        <w:rPr>
          <w:szCs w:val="22"/>
        </w:rPr>
        <w:t xml:space="preserve"> state</w:t>
      </w:r>
      <w:r w:rsidR="004F0371" w:rsidRPr="00731843">
        <w:rPr>
          <w:szCs w:val="22"/>
        </w:rPr>
        <w:t xml:space="preserve"> has</w:t>
      </w:r>
      <w:r w:rsidR="004F0371">
        <w:rPr>
          <w:szCs w:val="22"/>
        </w:rPr>
        <w:t xml:space="preserve"> expanded its role into areas of others’ responsibility</w:t>
      </w:r>
      <w:r w:rsidR="004F0371" w:rsidRPr="00731843">
        <w:rPr>
          <w:szCs w:val="22"/>
        </w:rPr>
        <w:t xml:space="preserve">, or spending can be managed more efficiently. </w:t>
      </w:r>
      <w:r w:rsidR="003D7265">
        <w:rPr>
          <w:szCs w:val="22"/>
        </w:rPr>
        <w:t>Chapter 8 describes</w:t>
      </w:r>
      <w:r w:rsidR="004F0371">
        <w:rPr>
          <w:szCs w:val="22"/>
        </w:rPr>
        <w:t xml:space="preserve"> opportunities for reforms </w:t>
      </w:r>
      <w:r w:rsidR="004F0371" w:rsidRPr="00731843">
        <w:rPr>
          <w:szCs w:val="22"/>
        </w:rPr>
        <w:t xml:space="preserve">to Early Learning and Childcare Centres, industry support, </w:t>
      </w:r>
      <w:r w:rsidR="000F73E0">
        <w:rPr>
          <w:szCs w:val="22"/>
        </w:rPr>
        <w:t>Technical and Further Education (</w:t>
      </w:r>
      <w:r w:rsidR="004F0371" w:rsidRPr="00731843">
        <w:rPr>
          <w:szCs w:val="22"/>
        </w:rPr>
        <w:t>TAFE</w:t>
      </w:r>
      <w:r w:rsidR="000F73E0">
        <w:rPr>
          <w:szCs w:val="22"/>
        </w:rPr>
        <w:t>)</w:t>
      </w:r>
      <w:r w:rsidR="004F0371" w:rsidRPr="00731843">
        <w:rPr>
          <w:szCs w:val="22"/>
        </w:rPr>
        <w:t xml:space="preserve"> shared services and VPS accommodation</w:t>
      </w:r>
      <w:r w:rsidR="00270DD0">
        <w:rPr>
          <w:szCs w:val="22"/>
        </w:rPr>
        <w:t>, among others</w:t>
      </w:r>
      <w:r w:rsidR="004F0371" w:rsidRPr="00731843">
        <w:rPr>
          <w:szCs w:val="22"/>
        </w:rPr>
        <w:t>.</w:t>
      </w:r>
      <w:r w:rsidR="004F0371">
        <w:rPr>
          <w:szCs w:val="22"/>
        </w:rPr>
        <w:t xml:space="preserve"> These reforms </w:t>
      </w:r>
      <w:r w:rsidR="004F0371" w:rsidRPr="00895390">
        <w:rPr>
          <w:szCs w:val="22"/>
        </w:rPr>
        <w:t>result in</w:t>
      </w:r>
      <w:r w:rsidR="004F0371">
        <w:rPr>
          <w:szCs w:val="22"/>
        </w:rPr>
        <w:t xml:space="preserve"> a further</w:t>
      </w:r>
      <w:r w:rsidR="004F0371" w:rsidRPr="00895390">
        <w:rPr>
          <w:szCs w:val="22"/>
        </w:rPr>
        <w:t xml:space="preserve"> </w:t>
      </w:r>
      <w:r w:rsidR="004F0371" w:rsidRPr="00AF6FAF">
        <w:rPr>
          <w:szCs w:val="22"/>
        </w:rPr>
        <w:t>$1.2 billion in savings over 4</w:t>
      </w:r>
      <w:r w:rsidR="00ED398D">
        <w:rPr>
          <w:szCs w:val="22"/>
        </w:rPr>
        <w:t> </w:t>
      </w:r>
      <w:r w:rsidR="004F0371" w:rsidRPr="00AF6FAF">
        <w:rPr>
          <w:szCs w:val="22"/>
        </w:rPr>
        <w:t>years from 2025–26</w:t>
      </w:r>
      <w:r w:rsidR="004F0371">
        <w:rPr>
          <w:szCs w:val="22"/>
        </w:rPr>
        <w:t xml:space="preserve"> and a </w:t>
      </w:r>
      <w:r w:rsidR="004F0371" w:rsidRPr="00AF6FAF">
        <w:rPr>
          <w:szCs w:val="22"/>
        </w:rPr>
        <w:t>reduction of 384 ongoing FTE</w:t>
      </w:r>
      <w:r w:rsidR="004F0371" w:rsidRPr="00895390">
        <w:rPr>
          <w:szCs w:val="22"/>
        </w:rPr>
        <w:t xml:space="preserve">. </w:t>
      </w:r>
    </w:p>
    <w:p w14:paraId="3CB4F6A1" w14:textId="77777777" w:rsidR="004F0371" w:rsidRPr="00895390" w:rsidRDefault="004F0371" w:rsidP="004F0371">
      <w:pPr>
        <w:rPr>
          <w:szCs w:val="22"/>
        </w:rPr>
      </w:pPr>
      <w:r>
        <w:rPr>
          <w:szCs w:val="22"/>
        </w:rPr>
        <w:t xml:space="preserve">The recommended reforms also demonstrate the importance and feasibility of regular review of recurrent </w:t>
      </w:r>
      <w:r w:rsidRPr="00895390">
        <w:rPr>
          <w:szCs w:val="22"/>
        </w:rPr>
        <w:t>expenditure, as part of</w:t>
      </w:r>
      <w:r>
        <w:rPr>
          <w:szCs w:val="22"/>
        </w:rPr>
        <w:t xml:space="preserve"> enhanced </w:t>
      </w:r>
      <w:r w:rsidRPr="00895390">
        <w:rPr>
          <w:szCs w:val="22"/>
        </w:rPr>
        <w:t>financial management through the annual budget cycle.</w:t>
      </w:r>
    </w:p>
    <w:p w14:paraId="05665E07" w14:textId="66B91C44" w:rsidR="004F0371" w:rsidRPr="009B3E74" w:rsidRDefault="004F0371" w:rsidP="00B90283">
      <w:pPr>
        <w:pStyle w:val="Heading3"/>
        <w:rPr>
          <w:rFonts w:asciiTheme="majorHAnsi" w:hAnsiTheme="majorHAnsi"/>
          <w:b w:val="0"/>
          <w:i/>
          <w:sz w:val="32"/>
          <w:szCs w:val="32"/>
        </w:rPr>
      </w:pPr>
      <w:r w:rsidRPr="009B3E74">
        <w:t>Implementation must be focused and prioritised</w:t>
      </w:r>
    </w:p>
    <w:p w14:paraId="4331D65C" w14:textId="77777777" w:rsidR="004F0371" w:rsidRDefault="004F0371" w:rsidP="004F0371">
      <w:pPr>
        <w:rPr>
          <w:szCs w:val="22"/>
        </w:rPr>
      </w:pPr>
      <w:r>
        <w:rPr>
          <w:szCs w:val="22"/>
        </w:rPr>
        <w:t xml:space="preserve">The hard work of implementing recommended changes will need to begin immediately to realise the benefits of increased budget capacity and a more streamlined and effective public sector. Implementation will need to proceed thoughtfully and respectfully. </w:t>
      </w:r>
    </w:p>
    <w:p w14:paraId="69F95A84" w14:textId="5A995931" w:rsidR="004F0371" w:rsidRPr="00895390" w:rsidRDefault="00DA5785" w:rsidP="004F0371">
      <w:pPr>
        <w:rPr>
          <w:szCs w:val="22"/>
        </w:rPr>
      </w:pPr>
      <w:r>
        <w:rPr>
          <w:szCs w:val="22"/>
        </w:rPr>
        <w:t>Chapter 9</w:t>
      </w:r>
      <w:r w:rsidR="00D24752">
        <w:rPr>
          <w:szCs w:val="22"/>
        </w:rPr>
        <w:t xml:space="preserve"> </w:t>
      </w:r>
      <w:r w:rsidR="00BD00FD">
        <w:rPr>
          <w:szCs w:val="22"/>
        </w:rPr>
        <w:t>outlines</w:t>
      </w:r>
      <w:r w:rsidR="00D24752">
        <w:rPr>
          <w:szCs w:val="22"/>
        </w:rPr>
        <w:t xml:space="preserve"> </w:t>
      </w:r>
      <w:r w:rsidR="00BD00FD">
        <w:rPr>
          <w:szCs w:val="22"/>
        </w:rPr>
        <w:t>t</w:t>
      </w:r>
      <w:r w:rsidR="00837B5A">
        <w:rPr>
          <w:szCs w:val="22"/>
        </w:rPr>
        <w:t>he importance of</w:t>
      </w:r>
      <w:r w:rsidR="00BD00FD">
        <w:rPr>
          <w:szCs w:val="22"/>
        </w:rPr>
        <w:t xml:space="preserve"> </w:t>
      </w:r>
      <w:r w:rsidR="00D24752">
        <w:rPr>
          <w:szCs w:val="22"/>
        </w:rPr>
        <w:t>a</w:t>
      </w:r>
      <w:r w:rsidR="004F0371">
        <w:rPr>
          <w:szCs w:val="22"/>
        </w:rPr>
        <w:t xml:space="preserve"> </w:t>
      </w:r>
      <w:r w:rsidR="004F0371" w:rsidRPr="00895390">
        <w:rPr>
          <w:szCs w:val="22"/>
        </w:rPr>
        <w:t>dedicated approach to implementation</w:t>
      </w:r>
      <w:r w:rsidR="004F0371">
        <w:rPr>
          <w:szCs w:val="22"/>
        </w:rPr>
        <w:t xml:space="preserve"> </w:t>
      </w:r>
      <w:r w:rsidR="00BD00FD">
        <w:rPr>
          <w:szCs w:val="22"/>
        </w:rPr>
        <w:t xml:space="preserve">to </w:t>
      </w:r>
      <w:r w:rsidR="004F0371">
        <w:rPr>
          <w:szCs w:val="22"/>
        </w:rPr>
        <w:t>bring the required focus, clarity and priority to recommended changes.</w:t>
      </w:r>
      <w:r w:rsidR="004F0371" w:rsidRPr="00895390">
        <w:rPr>
          <w:szCs w:val="22"/>
        </w:rPr>
        <w:t> </w:t>
      </w:r>
      <w:r w:rsidR="004F0371">
        <w:rPr>
          <w:szCs w:val="22"/>
        </w:rPr>
        <w:t xml:space="preserve">Dedicated resources will be needed in central agencies and in each department, and </w:t>
      </w:r>
      <w:r w:rsidR="001647DB">
        <w:rPr>
          <w:szCs w:val="22"/>
        </w:rPr>
        <w:br w:type="column"/>
      </w:r>
      <w:r w:rsidR="004F0371">
        <w:rPr>
          <w:szCs w:val="22"/>
        </w:rPr>
        <w:t>u</w:t>
      </w:r>
      <w:r w:rsidR="004F0371" w:rsidRPr="00895390">
        <w:rPr>
          <w:szCs w:val="22"/>
        </w:rPr>
        <w:t xml:space="preserve">nnecessary or lower-priority demands will need to be removed – or put on hold – </w:t>
      </w:r>
      <w:r w:rsidR="004F0371">
        <w:rPr>
          <w:szCs w:val="22"/>
        </w:rPr>
        <w:t>for</w:t>
      </w:r>
      <w:r w:rsidR="004F0371" w:rsidRPr="00895390">
        <w:rPr>
          <w:szCs w:val="22"/>
        </w:rPr>
        <w:t xml:space="preserve"> </w:t>
      </w:r>
      <w:r w:rsidR="004F0371">
        <w:rPr>
          <w:szCs w:val="22"/>
        </w:rPr>
        <w:t>sufficient</w:t>
      </w:r>
      <w:r w:rsidR="004F0371" w:rsidRPr="00895390">
        <w:rPr>
          <w:szCs w:val="22"/>
        </w:rPr>
        <w:t xml:space="preserve"> organisational bandwidth to focus on the reforms. </w:t>
      </w:r>
      <w:r w:rsidR="004F0371">
        <w:rPr>
          <w:szCs w:val="22"/>
        </w:rPr>
        <w:t xml:space="preserve">The leadership of Secretaries and VPS leaders will be critical.  </w:t>
      </w:r>
    </w:p>
    <w:p w14:paraId="1E1264A7" w14:textId="60B2FA2C" w:rsidR="004F0371" w:rsidRDefault="004F0371" w:rsidP="004F0371">
      <w:pPr>
        <w:rPr>
          <w:szCs w:val="22"/>
        </w:rPr>
      </w:pPr>
      <w:r>
        <w:rPr>
          <w:szCs w:val="22"/>
        </w:rPr>
        <w:t xml:space="preserve">The Review recommends establishing a reform delivery unit in </w:t>
      </w:r>
      <w:r w:rsidR="004D2EAA">
        <w:rPr>
          <w:szCs w:val="22"/>
        </w:rPr>
        <w:t xml:space="preserve">the </w:t>
      </w:r>
      <w:r w:rsidR="004D2EAA" w:rsidRPr="00AF6FAF">
        <w:rPr>
          <w:szCs w:val="22"/>
        </w:rPr>
        <w:t>Department of Treasury and Finance</w:t>
      </w:r>
      <w:r>
        <w:rPr>
          <w:szCs w:val="22"/>
        </w:rPr>
        <w:t xml:space="preserve"> </w:t>
      </w:r>
      <w:r w:rsidR="004D2EAA">
        <w:rPr>
          <w:szCs w:val="22"/>
        </w:rPr>
        <w:t>(</w:t>
      </w:r>
      <w:r>
        <w:rPr>
          <w:szCs w:val="22"/>
        </w:rPr>
        <w:t>DTF</w:t>
      </w:r>
      <w:r w:rsidR="004D2EAA">
        <w:rPr>
          <w:szCs w:val="22"/>
        </w:rPr>
        <w:t>)</w:t>
      </w:r>
      <w:r>
        <w:rPr>
          <w:szCs w:val="22"/>
        </w:rPr>
        <w:t xml:space="preserve"> to plan and monitor implementation, and </w:t>
      </w:r>
      <w:r w:rsidR="00C62B24">
        <w:rPr>
          <w:szCs w:val="22"/>
        </w:rPr>
        <w:t xml:space="preserve">to </w:t>
      </w:r>
      <w:r>
        <w:rPr>
          <w:szCs w:val="22"/>
        </w:rPr>
        <w:t>coordinate efforts across government. Strong oversight will be needed through the Victorian Secretaries</w:t>
      </w:r>
      <w:r w:rsidR="002378C7">
        <w:rPr>
          <w:szCs w:val="22"/>
        </w:rPr>
        <w:t>’</w:t>
      </w:r>
      <w:r>
        <w:rPr>
          <w:szCs w:val="22"/>
        </w:rPr>
        <w:t xml:space="preserve"> Board </w:t>
      </w:r>
      <w:r w:rsidR="002378C7">
        <w:rPr>
          <w:szCs w:val="22"/>
        </w:rPr>
        <w:t>(VSB)</w:t>
      </w:r>
      <w:r>
        <w:rPr>
          <w:szCs w:val="22"/>
        </w:rPr>
        <w:t xml:space="preserve"> and the government’s </w:t>
      </w:r>
      <w:r w:rsidR="00E5175F">
        <w:rPr>
          <w:szCs w:val="22"/>
        </w:rPr>
        <w:t>b</w:t>
      </w:r>
      <w:r>
        <w:rPr>
          <w:szCs w:val="22"/>
        </w:rPr>
        <w:t xml:space="preserve">udget </w:t>
      </w:r>
      <w:r w:rsidR="009F10AE">
        <w:rPr>
          <w:szCs w:val="22"/>
        </w:rPr>
        <w:t>committee</w:t>
      </w:r>
      <w:r>
        <w:rPr>
          <w:szCs w:val="22"/>
        </w:rPr>
        <w:t xml:space="preserve">. </w:t>
      </w:r>
      <w:r w:rsidR="00BB6C2B" w:rsidRPr="00AF6FAF">
        <w:rPr>
          <w:szCs w:val="22"/>
        </w:rPr>
        <w:t>T</w:t>
      </w:r>
      <w:r w:rsidR="007E2E52" w:rsidRPr="00AF6FAF">
        <w:rPr>
          <w:szCs w:val="22"/>
        </w:rPr>
        <w:t>ransparent rep</w:t>
      </w:r>
      <w:r w:rsidR="006C2B65" w:rsidRPr="00AF6FAF">
        <w:rPr>
          <w:szCs w:val="22"/>
        </w:rPr>
        <w:t>orting of progress</w:t>
      </w:r>
      <w:r w:rsidR="00BB6C2B" w:rsidRPr="00AF6FAF">
        <w:rPr>
          <w:szCs w:val="22"/>
        </w:rPr>
        <w:t xml:space="preserve"> against</w:t>
      </w:r>
      <w:r w:rsidR="006C2B65" w:rsidRPr="00AF6FAF">
        <w:rPr>
          <w:szCs w:val="22"/>
        </w:rPr>
        <w:t xml:space="preserve"> </w:t>
      </w:r>
      <w:r w:rsidR="00CE25FD" w:rsidRPr="00AF6FAF">
        <w:rPr>
          <w:szCs w:val="22"/>
        </w:rPr>
        <w:t>mileston</w:t>
      </w:r>
      <w:r w:rsidR="00AC5060" w:rsidRPr="00AF6FAF">
        <w:rPr>
          <w:szCs w:val="22"/>
        </w:rPr>
        <w:t>e</w:t>
      </w:r>
      <w:r w:rsidR="00CE25FD" w:rsidRPr="00AF6FAF">
        <w:rPr>
          <w:szCs w:val="22"/>
        </w:rPr>
        <w:t>s will be critical to maintain mo</w:t>
      </w:r>
      <w:r w:rsidR="00DA5785" w:rsidRPr="00AF6FAF">
        <w:rPr>
          <w:szCs w:val="22"/>
        </w:rPr>
        <w:t>mentum and ongoing success.</w:t>
      </w:r>
      <w:r w:rsidR="00DA5785">
        <w:rPr>
          <w:szCs w:val="22"/>
        </w:rPr>
        <w:t xml:space="preserve"> </w:t>
      </w:r>
      <w:r>
        <w:rPr>
          <w:szCs w:val="22"/>
        </w:rPr>
        <w:t>The</w:t>
      </w:r>
      <w:r w:rsidR="00C8018C">
        <w:rPr>
          <w:szCs w:val="22"/>
        </w:rPr>
        <w:t> </w:t>
      </w:r>
      <w:r>
        <w:rPr>
          <w:szCs w:val="22"/>
        </w:rPr>
        <w:t>Review also sets out some of its recommended early priorities</w:t>
      </w:r>
      <w:r w:rsidR="00C62B24">
        <w:rPr>
          <w:szCs w:val="22"/>
        </w:rPr>
        <w:t xml:space="preserve"> for 2025</w:t>
      </w:r>
      <w:r w:rsidR="00101BA9">
        <w:rPr>
          <w:szCs w:val="22"/>
        </w:rPr>
        <w:t>–</w:t>
      </w:r>
      <w:r w:rsidR="00C62B24">
        <w:rPr>
          <w:szCs w:val="22"/>
        </w:rPr>
        <w:t>26</w:t>
      </w:r>
      <w:r>
        <w:rPr>
          <w:szCs w:val="22"/>
        </w:rPr>
        <w:t>, including the new Commonwealth-State relations strategy, first stage entity reform, and detailed planning for shared services</w:t>
      </w:r>
      <w:r w:rsidR="00C8018C">
        <w:rPr>
          <w:szCs w:val="22"/>
        </w:rPr>
        <w:t> </w:t>
      </w:r>
      <w:r>
        <w:rPr>
          <w:szCs w:val="22"/>
        </w:rPr>
        <w:t>reform.</w:t>
      </w:r>
    </w:p>
    <w:p w14:paraId="1A78F53C" w14:textId="2FC8F693" w:rsidR="001D4D41" w:rsidRDefault="004F0371" w:rsidP="005C67CD">
      <w:pPr>
        <w:rPr>
          <w:szCs w:val="22"/>
        </w:rPr>
      </w:pPr>
      <w:r w:rsidRPr="009C2673">
        <w:rPr>
          <w:szCs w:val="22"/>
        </w:rPr>
        <w:t xml:space="preserve">Getting started on implementation and moving at pace will be important for early gains and to build momentum and confidence for reform. </w:t>
      </w:r>
    </w:p>
    <w:p w14:paraId="051C07AD" w14:textId="77777777" w:rsidR="00EF7234" w:rsidRDefault="00EF7234">
      <w:pPr>
        <w:rPr>
          <w:rFonts w:asciiTheme="majorHAnsi" w:hAnsiTheme="majorHAnsi"/>
          <w:b/>
          <w:color w:val="0F4761" w:themeColor="accent1" w:themeShade="BF"/>
          <w:sz w:val="32"/>
          <w:szCs w:val="32"/>
        </w:rPr>
        <w:sectPr w:rsidR="00EF7234" w:rsidSect="00037A47">
          <w:type w:val="continuous"/>
          <w:pgSz w:w="11906" w:h="16838"/>
          <w:pgMar w:top="1440" w:right="1440" w:bottom="1440" w:left="1440" w:header="708" w:footer="708" w:gutter="0"/>
          <w:cols w:num="2" w:space="708"/>
          <w:docGrid w:linePitch="360"/>
          <w15:footnoteColumns w:val="1"/>
        </w:sectPr>
      </w:pPr>
    </w:p>
    <w:p w14:paraId="42955688" w14:textId="77777777" w:rsidR="004F1745" w:rsidRDefault="004F1745">
      <w:pPr>
        <w:rPr>
          <w:rFonts w:asciiTheme="majorHAnsi" w:hAnsiTheme="majorHAnsi"/>
          <w:b/>
          <w:color w:val="0F4761" w:themeColor="accent1" w:themeShade="BF"/>
          <w:sz w:val="32"/>
          <w:szCs w:val="32"/>
        </w:rPr>
      </w:pPr>
      <w:r>
        <w:rPr>
          <w:rFonts w:asciiTheme="majorHAnsi" w:hAnsiTheme="majorHAnsi"/>
          <w:b/>
          <w:color w:val="0F4761" w:themeColor="accent1" w:themeShade="BF"/>
          <w:sz w:val="32"/>
          <w:szCs w:val="32"/>
        </w:rPr>
        <w:br w:type="page"/>
      </w:r>
    </w:p>
    <w:p w14:paraId="2EEE4FDB" w14:textId="77777777" w:rsidR="00865302" w:rsidRDefault="002F71E5" w:rsidP="00DF741F">
      <w:pPr>
        <w:pStyle w:val="Heading2"/>
      </w:pPr>
      <w:bookmarkStart w:id="8" w:name="_Toc202523960"/>
      <w:bookmarkStart w:id="9" w:name="_Toc214911980"/>
      <w:r>
        <w:lastRenderedPageBreak/>
        <w:t>1.1</w:t>
      </w:r>
      <w:r w:rsidR="00B90283">
        <w:t xml:space="preserve"> </w:t>
      </w:r>
      <w:r w:rsidR="000568EF">
        <w:t xml:space="preserve">  </w:t>
      </w:r>
      <w:r w:rsidR="004F0371" w:rsidRPr="002F71E5">
        <w:t>Summary</w:t>
      </w:r>
      <w:r w:rsidR="004F0371" w:rsidRPr="00291179">
        <w:t xml:space="preserve"> of </w:t>
      </w:r>
      <w:r w:rsidR="004E05D7" w:rsidRPr="00291179">
        <w:t xml:space="preserve">Review </w:t>
      </w:r>
      <w:r w:rsidR="004F0371" w:rsidRPr="00291179">
        <w:t xml:space="preserve">recommendations </w:t>
      </w:r>
      <w:r w:rsidR="7E63229F" w:rsidRPr="00291179">
        <w:t>and savings</w:t>
      </w:r>
      <w:bookmarkEnd w:id="8"/>
      <w:bookmarkEnd w:id="9"/>
    </w:p>
    <w:p w14:paraId="47590A0E" w14:textId="77777777" w:rsidR="00DA4633" w:rsidRDefault="00DA4633" w:rsidP="005035CF">
      <w:pPr>
        <w:rPr>
          <w:szCs w:val="22"/>
        </w:rPr>
        <w:sectPr w:rsidR="00DA4633" w:rsidSect="00AE6104">
          <w:type w:val="continuous"/>
          <w:pgSz w:w="11906" w:h="16838"/>
          <w:pgMar w:top="1440" w:right="1440" w:bottom="1440" w:left="1440" w:header="708" w:footer="708" w:gutter="0"/>
          <w:cols w:space="708"/>
          <w:docGrid w:linePitch="360"/>
          <w15:footnoteColumns w:val="1"/>
        </w:sectPr>
      </w:pPr>
    </w:p>
    <w:p w14:paraId="1B8C0C21" w14:textId="1E2C921E" w:rsidR="007F4A75" w:rsidRDefault="0049084A" w:rsidP="005035CF">
      <w:pPr>
        <w:rPr>
          <w:szCs w:val="22"/>
        </w:rPr>
      </w:pPr>
      <w:r w:rsidRPr="008215CB">
        <w:rPr>
          <w:szCs w:val="22"/>
        </w:rPr>
        <w:t xml:space="preserve">The Review </w:t>
      </w:r>
      <w:r w:rsidR="0003703C">
        <w:rPr>
          <w:szCs w:val="22"/>
        </w:rPr>
        <w:t>makes</w:t>
      </w:r>
      <w:r w:rsidRPr="008215CB">
        <w:rPr>
          <w:szCs w:val="22"/>
        </w:rPr>
        <w:t xml:space="preserve"> </w:t>
      </w:r>
      <w:r w:rsidR="00383580" w:rsidRPr="00347164">
        <w:rPr>
          <w:szCs w:val="22"/>
        </w:rPr>
        <w:t>5</w:t>
      </w:r>
      <w:r w:rsidR="009A23D6" w:rsidRPr="00347164">
        <w:rPr>
          <w:szCs w:val="22"/>
        </w:rPr>
        <w:t>2</w:t>
      </w:r>
      <w:r w:rsidRPr="008215CB">
        <w:rPr>
          <w:szCs w:val="22"/>
        </w:rPr>
        <w:t xml:space="preserve"> recommendations</w:t>
      </w:r>
      <w:r w:rsidR="00C01A3A">
        <w:rPr>
          <w:szCs w:val="22"/>
        </w:rPr>
        <w:t xml:space="preserve"> in this Final Report</w:t>
      </w:r>
      <w:r w:rsidRPr="008215CB">
        <w:rPr>
          <w:szCs w:val="22"/>
        </w:rPr>
        <w:t xml:space="preserve"> to achieve improved </w:t>
      </w:r>
      <w:r w:rsidR="00165FA4">
        <w:rPr>
          <w:szCs w:val="22"/>
        </w:rPr>
        <w:t xml:space="preserve">operating budget </w:t>
      </w:r>
      <w:r w:rsidRPr="008215CB">
        <w:rPr>
          <w:szCs w:val="22"/>
        </w:rPr>
        <w:t xml:space="preserve">outcomes through program savings, VPS restructuring, entity reform, </w:t>
      </w:r>
      <w:r w:rsidR="008E12F5">
        <w:rPr>
          <w:szCs w:val="22"/>
        </w:rPr>
        <w:t>enhanced</w:t>
      </w:r>
      <w:r w:rsidRPr="008215CB">
        <w:rPr>
          <w:szCs w:val="22"/>
        </w:rPr>
        <w:t xml:space="preserve"> </w:t>
      </w:r>
      <w:r w:rsidR="00B87AC3">
        <w:rPr>
          <w:szCs w:val="22"/>
        </w:rPr>
        <w:t>budget</w:t>
      </w:r>
      <w:r w:rsidRPr="008215CB">
        <w:rPr>
          <w:szCs w:val="22"/>
        </w:rPr>
        <w:t xml:space="preserve"> </w:t>
      </w:r>
      <w:r w:rsidR="00E9179F">
        <w:rPr>
          <w:szCs w:val="22"/>
        </w:rPr>
        <w:t>processes</w:t>
      </w:r>
      <w:r w:rsidRPr="008215CB">
        <w:rPr>
          <w:szCs w:val="22"/>
        </w:rPr>
        <w:t xml:space="preserve">, </w:t>
      </w:r>
      <w:r w:rsidRPr="2B54236E">
        <w:rPr>
          <w:szCs w:val="22"/>
        </w:rPr>
        <w:t>digitisation</w:t>
      </w:r>
      <w:r w:rsidRPr="008215CB">
        <w:rPr>
          <w:szCs w:val="22"/>
        </w:rPr>
        <w:t xml:space="preserve"> and </w:t>
      </w:r>
      <w:r w:rsidRPr="2B54236E">
        <w:rPr>
          <w:szCs w:val="22"/>
        </w:rPr>
        <w:t>service reform.</w:t>
      </w:r>
      <w:r>
        <w:rPr>
          <w:szCs w:val="22"/>
        </w:rPr>
        <w:t xml:space="preserve"> In total, the</w:t>
      </w:r>
      <w:r w:rsidR="00C01A3A">
        <w:rPr>
          <w:szCs w:val="22"/>
        </w:rPr>
        <w:t xml:space="preserve"> Review’s</w:t>
      </w:r>
      <w:r>
        <w:rPr>
          <w:szCs w:val="22"/>
        </w:rPr>
        <w:t xml:space="preserve"> recommendations wo</w:t>
      </w:r>
      <w:r w:rsidRPr="00783028">
        <w:rPr>
          <w:szCs w:val="22"/>
        </w:rPr>
        <w:t xml:space="preserve">uld achieve </w:t>
      </w:r>
      <w:r w:rsidR="002F3A87">
        <w:rPr>
          <w:szCs w:val="22"/>
        </w:rPr>
        <w:t>around</w:t>
      </w:r>
      <w:r w:rsidRPr="00783028">
        <w:rPr>
          <w:szCs w:val="22"/>
        </w:rPr>
        <w:t xml:space="preserve"> $</w:t>
      </w:r>
      <w:r w:rsidR="002F3A87">
        <w:rPr>
          <w:szCs w:val="22"/>
        </w:rPr>
        <w:t>5</w:t>
      </w:r>
      <w:r w:rsidRPr="00783028">
        <w:rPr>
          <w:szCs w:val="22"/>
        </w:rPr>
        <w:t xml:space="preserve"> billion in savings and a reduction of </w:t>
      </w:r>
      <w:r w:rsidR="00A32006">
        <w:rPr>
          <w:szCs w:val="22"/>
        </w:rPr>
        <w:t>more than</w:t>
      </w:r>
      <w:r w:rsidRPr="00783028">
        <w:rPr>
          <w:szCs w:val="22"/>
        </w:rPr>
        <w:t xml:space="preserve"> </w:t>
      </w:r>
      <w:r w:rsidRPr="00E44990">
        <w:rPr>
          <w:szCs w:val="22"/>
        </w:rPr>
        <w:t>2,0</w:t>
      </w:r>
      <w:r w:rsidR="00A32006">
        <w:rPr>
          <w:szCs w:val="22"/>
        </w:rPr>
        <w:t>00</w:t>
      </w:r>
      <w:r w:rsidRPr="00783028">
        <w:rPr>
          <w:szCs w:val="22"/>
        </w:rPr>
        <w:t xml:space="preserve"> ongoing FTE</w:t>
      </w:r>
      <w:r w:rsidR="00FC1184">
        <w:rPr>
          <w:szCs w:val="22"/>
        </w:rPr>
        <w:t xml:space="preserve"> (</w:t>
      </w:r>
      <w:r w:rsidR="007E4CED">
        <w:rPr>
          <w:szCs w:val="22"/>
        </w:rPr>
        <w:t>Figure</w:t>
      </w:r>
      <w:r w:rsidR="00FC1184">
        <w:rPr>
          <w:szCs w:val="22"/>
        </w:rPr>
        <w:t xml:space="preserve"> </w:t>
      </w:r>
      <w:r w:rsidR="007E4CED">
        <w:rPr>
          <w:szCs w:val="22"/>
        </w:rPr>
        <w:t>1</w:t>
      </w:r>
      <w:r w:rsidR="00014AE3">
        <w:rPr>
          <w:szCs w:val="22"/>
        </w:rPr>
        <w:t>.1)</w:t>
      </w:r>
      <w:r w:rsidRPr="00783028">
        <w:rPr>
          <w:szCs w:val="22"/>
        </w:rPr>
        <w:t>.</w:t>
      </w:r>
    </w:p>
    <w:p w14:paraId="17825295" w14:textId="12A8A0BA" w:rsidR="005035CF" w:rsidRPr="00BA52CC" w:rsidRDefault="00E37B8B" w:rsidP="004A7967">
      <w:pPr>
        <w:rPr>
          <w:szCs w:val="22"/>
        </w:rPr>
      </w:pPr>
      <w:r>
        <w:rPr>
          <w:szCs w:val="22"/>
        </w:rPr>
        <w:t>The Review’s Final Report recommendations are outlined, by chapter, in Figure 1.2. This includes recommended accountability of departments for implementation, following government decision-making.</w:t>
      </w:r>
    </w:p>
    <w:p w14:paraId="3DE3A76F" w14:textId="77777777" w:rsidR="00DA4633" w:rsidRDefault="00DA4633" w:rsidP="004A7967">
      <w:pPr>
        <w:pStyle w:val="Figureheading"/>
        <w:sectPr w:rsidR="00DA4633" w:rsidSect="00DA4633">
          <w:type w:val="continuous"/>
          <w:pgSz w:w="11906" w:h="16838"/>
          <w:pgMar w:top="1440" w:right="1440" w:bottom="1440" w:left="1440" w:header="708" w:footer="708" w:gutter="0"/>
          <w:pgNumType w:fmt="lowerRoman"/>
          <w:cols w:num="2" w:space="708"/>
          <w:docGrid w:linePitch="360"/>
          <w15:footnoteColumns w:val="1"/>
        </w:sectPr>
      </w:pPr>
    </w:p>
    <w:p w14:paraId="24EE4574" w14:textId="3F55F59C" w:rsidR="0090632E" w:rsidRPr="004B3F38" w:rsidRDefault="001F2350" w:rsidP="00DA4633">
      <w:pPr>
        <w:pStyle w:val="Figureheading"/>
      </w:pPr>
      <w:r w:rsidRPr="004B3F38">
        <w:t xml:space="preserve">Figure </w:t>
      </w:r>
      <w:r w:rsidRPr="004B3F38">
        <w:fldChar w:fldCharType="begin"/>
      </w:r>
      <w:r w:rsidRPr="003214B3">
        <w:rPr>
          <w:color w:val="auto"/>
          <w:szCs w:val="22"/>
        </w:rPr>
        <w:instrText xml:space="preserve"> SEQ Figure \* ARABIC </w:instrText>
      </w:r>
      <w:r w:rsidRPr="004B3F38">
        <w:fldChar w:fldCharType="separate"/>
      </w:r>
      <w:r w:rsidRPr="004B3F38">
        <w:rPr>
          <w:noProof/>
        </w:rPr>
        <w:t>1</w:t>
      </w:r>
      <w:r w:rsidRPr="004B3F38">
        <w:fldChar w:fldCharType="end"/>
      </w:r>
      <w:r w:rsidRPr="004B3F38">
        <w:t>.1: Total recommended savings and FTE reductions</w:t>
      </w:r>
    </w:p>
    <w:tbl>
      <w:tblPr>
        <w:tblStyle w:val="TableGrid"/>
        <w:tblW w:w="9351" w:type="dxa"/>
        <w:tblLook w:val="04A0" w:firstRow="1" w:lastRow="0" w:firstColumn="1" w:lastColumn="0" w:noHBand="0" w:noVBand="1"/>
      </w:tblPr>
      <w:tblGrid>
        <w:gridCol w:w="3225"/>
        <w:gridCol w:w="3007"/>
        <w:gridCol w:w="3119"/>
      </w:tblGrid>
      <w:tr w:rsidR="00FB2CA7" w:rsidRPr="006144E4" w14:paraId="3A3607AD" w14:textId="77777777" w:rsidTr="00575C75">
        <w:trPr>
          <w:trHeight w:val="438"/>
        </w:trPr>
        <w:tc>
          <w:tcPr>
            <w:tcW w:w="3225" w:type="dxa"/>
            <w:tcBorders>
              <w:left w:val="nil"/>
              <w:bottom w:val="single" w:sz="4" w:space="0" w:color="auto"/>
              <w:right w:val="single" w:sz="12" w:space="0" w:color="FFFFFF" w:themeColor="background1"/>
            </w:tcBorders>
          </w:tcPr>
          <w:p w14:paraId="304E9E8C" w14:textId="77777777" w:rsidR="00FB2CA7" w:rsidRPr="006144E4" w:rsidRDefault="00FB2CA7">
            <w:pPr>
              <w:rPr>
                <w:szCs w:val="22"/>
              </w:rPr>
            </w:pPr>
          </w:p>
        </w:tc>
        <w:tc>
          <w:tcPr>
            <w:tcW w:w="3007" w:type="dxa"/>
            <w:tcBorders>
              <w:left w:val="single" w:sz="12" w:space="0" w:color="FFFFFF" w:themeColor="background1"/>
              <w:bottom w:val="single" w:sz="4" w:space="0" w:color="auto"/>
              <w:right w:val="single" w:sz="12" w:space="0" w:color="FFFFFF" w:themeColor="background1"/>
            </w:tcBorders>
          </w:tcPr>
          <w:p w14:paraId="64C96FE6" w14:textId="6CAA8381" w:rsidR="001C5F29" w:rsidRDefault="006E38BA" w:rsidP="004E4D70">
            <w:pPr>
              <w:spacing w:before="60"/>
              <w:jc w:val="right"/>
              <w:rPr>
                <w:b/>
                <w:szCs w:val="22"/>
              </w:rPr>
            </w:pPr>
            <w:r>
              <w:rPr>
                <w:b/>
                <w:szCs w:val="22"/>
              </w:rPr>
              <w:t>S</w:t>
            </w:r>
            <w:r w:rsidR="00FB2CA7" w:rsidRPr="006144E4">
              <w:rPr>
                <w:b/>
                <w:szCs w:val="22"/>
              </w:rPr>
              <w:t xml:space="preserve">avings </w:t>
            </w:r>
          </w:p>
          <w:p w14:paraId="53253A2C" w14:textId="09536A71" w:rsidR="00FB2CA7" w:rsidRPr="006144E4" w:rsidRDefault="00FB2CA7">
            <w:pPr>
              <w:jc w:val="right"/>
              <w:rPr>
                <w:b/>
                <w:szCs w:val="22"/>
              </w:rPr>
            </w:pPr>
            <w:r w:rsidRPr="006144E4">
              <w:rPr>
                <w:b/>
                <w:szCs w:val="22"/>
              </w:rPr>
              <w:t xml:space="preserve">2025–26 to 2028–29 </w:t>
            </w:r>
          </w:p>
          <w:p w14:paraId="5635979A" w14:textId="77777777" w:rsidR="00FB2CA7" w:rsidRPr="006144E4" w:rsidRDefault="00FB2CA7">
            <w:pPr>
              <w:jc w:val="right"/>
              <w:rPr>
                <w:b/>
                <w:szCs w:val="22"/>
              </w:rPr>
            </w:pPr>
            <w:r w:rsidRPr="006144E4">
              <w:rPr>
                <w:b/>
                <w:szCs w:val="22"/>
              </w:rPr>
              <w:t>($</w:t>
            </w:r>
            <w:r w:rsidRPr="006144E4">
              <w:rPr>
                <w:b/>
                <w:bCs/>
                <w:szCs w:val="22"/>
              </w:rPr>
              <w:t xml:space="preserve"> millions)</w:t>
            </w:r>
          </w:p>
        </w:tc>
        <w:tc>
          <w:tcPr>
            <w:tcW w:w="3119" w:type="dxa"/>
            <w:tcBorders>
              <w:left w:val="single" w:sz="12" w:space="0" w:color="FFFFFF" w:themeColor="background1"/>
              <w:bottom w:val="single" w:sz="4" w:space="0" w:color="auto"/>
              <w:right w:val="nil"/>
            </w:tcBorders>
          </w:tcPr>
          <w:p w14:paraId="16B13380" w14:textId="77777777" w:rsidR="001C5F29" w:rsidRDefault="00FB2CA7" w:rsidP="004E4D70">
            <w:pPr>
              <w:spacing w:before="60"/>
              <w:jc w:val="right"/>
              <w:rPr>
                <w:b/>
                <w:szCs w:val="22"/>
              </w:rPr>
            </w:pPr>
            <w:r w:rsidRPr="006144E4">
              <w:rPr>
                <w:b/>
                <w:szCs w:val="22"/>
              </w:rPr>
              <w:t>Ongoing FTE</w:t>
            </w:r>
            <w:r>
              <w:rPr>
                <w:b/>
                <w:szCs w:val="22"/>
              </w:rPr>
              <w:t xml:space="preserve"> </w:t>
            </w:r>
          </w:p>
          <w:p w14:paraId="47841674" w14:textId="77777777" w:rsidR="00B73198" w:rsidRDefault="00B73198">
            <w:pPr>
              <w:jc w:val="right"/>
              <w:rPr>
                <w:b/>
                <w:szCs w:val="22"/>
              </w:rPr>
            </w:pPr>
          </w:p>
          <w:p w14:paraId="6105E52E" w14:textId="6D52A5D8" w:rsidR="00FB2CA7" w:rsidRPr="006144E4" w:rsidRDefault="00FB2CA7">
            <w:pPr>
              <w:jc w:val="right"/>
              <w:rPr>
                <w:b/>
                <w:szCs w:val="22"/>
              </w:rPr>
            </w:pPr>
            <w:r>
              <w:rPr>
                <w:b/>
                <w:szCs w:val="22"/>
              </w:rPr>
              <w:t>(VPS and public sector)</w:t>
            </w:r>
          </w:p>
        </w:tc>
      </w:tr>
      <w:tr w:rsidR="00FB2CA7" w:rsidRPr="006144E4" w14:paraId="202D80A1" w14:textId="77777777" w:rsidTr="0097352F">
        <w:tc>
          <w:tcPr>
            <w:tcW w:w="3225" w:type="dxa"/>
            <w:tcBorders>
              <w:left w:val="nil"/>
              <w:bottom w:val="nil"/>
              <w:right w:val="nil"/>
            </w:tcBorders>
          </w:tcPr>
          <w:p w14:paraId="45D15C40" w14:textId="77777777" w:rsidR="00FB2CA7" w:rsidRPr="00281407" w:rsidRDefault="00FB2CA7">
            <w:pPr>
              <w:spacing w:before="80" w:after="80"/>
              <w:rPr>
                <w:szCs w:val="22"/>
              </w:rPr>
            </w:pPr>
            <w:r w:rsidRPr="00281407">
              <w:rPr>
                <w:szCs w:val="22"/>
              </w:rPr>
              <w:t>Supported in 2025/26 Budget</w:t>
            </w:r>
          </w:p>
        </w:tc>
        <w:tc>
          <w:tcPr>
            <w:tcW w:w="3007" w:type="dxa"/>
            <w:tcBorders>
              <w:left w:val="nil"/>
              <w:bottom w:val="nil"/>
              <w:right w:val="nil"/>
            </w:tcBorders>
          </w:tcPr>
          <w:p w14:paraId="0BCCEC61" w14:textId="4AD2659E" w:rsidR="00FB2CA7" w:rsidRPr="006144E4" w:rsidRDefault="00FB2CA7">
            <w:pPr>
              <w:spacing w:before="80" w:after="80"/>
              <w:jc w:val="right"/>
              <w:rPr>
                <w:szCs w:val="22"/>
              </w:rPr>
            </w:pPr>
            <w:r w:rsidRPr="006144E4">
              <w:rPr>
                <w:szCs w:val="22"/>
              </w:rPr>
              <w:t>2,</w:t>
            </w:r>
            <w:r w:rsidR="000306BF">
              <w:rPr>
                <w:szCs w:val="22"/>
              </w:rPr>
              <w:t>762</w:t>
            </w:r>
          </w:p>
        </w:tc>
        <w:tc>
          <w:tcPr>
            <w:tcW w:w="3119" w:type="dxa"/>
            <w:tcBorders>
              <w:left w:val="nil"/>
              <w:bottom w:val="nil"/>
              <w:right w:val="nil"/>
            </w:tcBorders>
          </w:tcPr>
          <w:p w14:paraId="4F94F2A5" w14:textId="77777777" w:rsidR="00FB2CA7" w:rsidRPr="006144E4" w:rsidRDefault="00FB2CA7">
            <w:pPr>
              <w:spacing w:before="80" w:after="80"/>
              <w:jc w:val="right"/>
              <w:rPr>
                <w:szCs w:val="22"/>
              </w:rPr>
            </w:pPr>
            <w:r w:rsidRPr="006144E4">
              <w:rPr>
                <w:szCs w:val="22"/>
              </w:rPr>
              <w:t>619</w:t>
            </w:r>
          </w:p>
        </w:tc>
      </w:tr>
      <w:tr w:rsidR="00FB2CA7" w:rsidRPr="007946C0" w14:paraId="0BF36F01" w14:textId="77777777" w:rsidTr="0097352F">
        <w:tc>
          <w:tcPr>
            <w:tcW w:w="3225" w:type="dxa"/>
            <w:tcBorders>
              <w:top w:val="nil"/>
              <w:left w:val="nil"/>
              <w:bottom w:val="nil"/>
              <w:right w:val="nil"/>
            </w:tcBorders>
          </w:tcPr>
          <w:p w14:paraId="0CAC6E6B" w14:textId="77777777" w:rsidR="00FB2CA7" w:rsidRPr="00281407" w:rsidRDefault="00FB2CA7">
            <w:pPr>
              <w:spacing w:before="80" w:after="80"/>
              <w:rPr>
                <w:szCs w:val="22"/>
              </w:rPr>
            </w:pPr>
            <w:r w:rsidRPr="00281407">
              <w:rPr>
                <w:szCs w:val="22"/>
              </w:rPr>
              <w:t>VPS size and structure</w:t>
            </w:r>
          </w:p>
        </w:tc>
        <w:tc>
          <w:tcPr>
            <w:tcW w:w="3007" w:type="dxa"/>
            <w:tcBorders>
              <w:top w:val="nil"/>
              <w:left w:val="nil"/>
              <w:bottom w:val="nil"/>
              <w:right w:val="nil"/>
            </w:tcBorders>
          </w:tcPr>
          <w:p w14:paraId="4E14AEC0" w14:textId="5D7380CC" w:rsidR="00FB2CA7" w:rsidRPr="00347164" w:rsidRDefault="00E37045">
            <w:pPr>
              <w:spacing w:before="80" w:after="80"/>
              <w:jc w:val="right"/>
              <w:rPr>
                <w:szCs w:val="22"/>
              </w:rPr>
            </w:pPr>
            <w:r w:rsidRPr="00347164">
              <w:rPr>
                <w:szCs w:val="22"/>
              </w:rPr>
              <w:t>484</w:t>
            </w:r>
          </w:p>
        </w:tc>
        <w:tc>
          <w:tcPr>
            <w:tcW w:w="3119" w:type="dxa"/>
            <w:tcBorders>
              <w:top w:val="nil"/>
              <w:left w:val="nil"/>
              <w:bottom w:val="nil"/>
              <w:right w:val="nil"/>
            </w:tcBorders>
          </w:tcPr>
          <w:p w14:paraId="0A80D837" w14:textId="42460BC5" w:rsidR="00FB2CA7" w:rsidRPr="00347164" w:rsidRDefault="00E37045">
            <w:pPr>
              <w:spacing w:before="80" w:after="80"/>
              <w:jc w:val="right"/>
              <w:rPr>
                <w:szCs w:val="22"/>
              </w:rPr>
            </w:pPr>
            <w:r w:rsidRPr="00347164">
              <w:rPr>
                <w:szCs w:val="22"/>
              </w:rPr>
              <w:t>332</w:t>
            </w:r>
          </w:p>
        </w:tc>
      </w:tr>
      <w:tr w:rsidR="00FB2CA7" w:rsidRPr="006144E4" w14:paraId="1D19BB87" w14:textId="77777777" w:rsidTr="0097352F">
        <w:tc>
          <w:tcPr>
            <w:tcW w:w="3225" w:type="dxa"/>
            <w:tcBorders>
              <w:top w:val="nil"/>
              <w:left w:val="nil"/>
              <w:bottom w:val="nil"/>
              <w:right w:val="nil"/>
            </w:tcBorders>
          </w:tcPr>
          <w:p w14:paraId="14F6359C" w14:textId="6F0ADDBE" w:rsidR="00FB2CA7" w:rsidRPr="00281407" w:rsidRDefault="00C57DA2">
            <w:pPr>
              <w:spacing w:before="80" w:after="80"/>
              <w:rPr>
                <w:szCs w:val="22"/>
              </w:rPr>
            </w:pPr>
            <w:r>
              <w:rPr>
                <w:szCs w:val="22"/>
              </w:rPr>
              <w:t>Public e</w:t>
            </w:r>
            <w:r w:rsidR="00FB2CA7" w:rsidRPr="00281407">
              <w:rPr>
                <w:szCs w:val="22"/>
              </w:rPr>
              <w:t>ntity reform</w:t>
            </w:r>
          </w:p>
        </w:tc>
        <w:tc>
          <w:tcPr>
            <w:tcW w:w="3007" w:type="dxa"/>
            <w:tcBorders>
              <w:top w:val="nil"/>
              <w:left w:val="nil"/>
              <w:bottom w:val="nil"/>
              <w:right w:val="nil"/>
            </w:tcBorders>
          </w:tcPr>
          <w:p w14:paraId="447356A5" w14:textId="73612665" w:rsidR="00FB2CA7" w:rsidRPr="0021381B" w:rsidRDefault="00FB2CA7">
            <w:pPr>
              <w:spacing w:before="80" w:after="80"/>
              <w:jc w:val="right"/>
              <w:rPr>
                <w:szCs w:val="22"/>
              </w:rPr>
            </w:pPr>
            <w:r w:rsidRPr="0021381B">
              <w:rPr>
                <w:szCs w:val="22"/>
              </w:rPr>
              <w:t>4</w:t>
            </w:r>
            <w:r w:rsidR="006F181E" w:rsidRPr="0021381B">
              <w:rPr>
                <w:szCs w:val="22"/>
              </w:rPr>
              <w:t>27</w:t>
            </w:r>
          </w:p>
        </w:tc>
        <w:tc>
          <w:tcPr>
            <w:tcW w:w="3119" w:type="dxa"/>
            <w:tcBorders>
              <w:top w:val="nil"/>
              <w:left w:val="nil"/>
              <w:bottom w:val="nil"/>
              <w:right w:val="nil"/>
            </w:tcBorders>
          </w:tcPr>
          <w:p w14:paraId="17CFE1E5" w14:textId="5624EFFB" w:rsidR="00FB2CA7" w:rsidRPr="00347164" w:rsidRDefault="00FB2CA7">
            <w:pPr>
              <w:spacing w:before="80" w:after="80"/>
              <w:jc w:val="right"/>
              <w:rPr>
                <w:szCs w:val="22"/>
              </w:rPr>
            </w:pPr>
            <w:r w:rsidRPr="00A46477">
              <w:rPr>
                <w:szCs w:val="22"/>
              </w:rPr>
              <w:t>5</w:t>
            </w:r>
            <w:r w:rsidR="00F6085B" w:rsidRPr="00A46477">
              <w:rPr>
                <w:szCs w:val="22"/>
              </w:rPr>
              <w:t>36</w:t>
            </w:r>
          </w:p>
        </w:tc>
      </w:tr>
      <w:tr w:rsidR="00FB2CA7" w:rsidRPr="006144E4" w14:paraId="32A51BEB" w14:textId="77777777" w:rsidTr="0097352F">
        <w:tc>
          <w:tcPr>
            <w:tcW w:w="3225" w:type="dxa"/>
            <w:tcBorders>
              <w:top w:val="nil"/>
              <w:left w:val="nil"/>
              <w:bottom w:val="nil"/>
              <w:right w:val="nil"/>
            </w:tcBorders>
          </w:tcPr>
          <w:p w14:paraId="7F3BD965" w14:textId="77777777" w:rsidR="00FB2CA7" w:rsidRPr="00281407" w:rsidRDefault="00FB2CA7">
            <w:pPr>
              <w:spacing w:before="80" w:after="80"/>
              <w:rPr>
                <w:szCs w:val="22"/>
              </w:rPr>
            </w:pPr>
            <w:r w:rsidRPr="00281407">
              <w:rPr>
                <w:szCs w:val="22"/>
              </w:rPr>
              <w:t xml:space="preserve">Accelerating digital capability </w:t>
            </w:r>
          </w:p>
        </w:tc>
        <w:tc>
          <w:tcPr>
            <w:tcW w:w="3007" w:type="dxa"/>
            <w:tcBorders>
              <w:top w:val="nil"/>
              <w:left w:val="nil"/>
              <w:bottom w:val="nil"/>
              <w:right w:val="nil"/>
            </w:tcBorders>
          </w:tcPr>
          <w:p w14:paraId="360FF01A" w14:textId="77777777" w:rsidR="00FB2CA7" w:rsidRPr="006144E4" w:rsidRDefault="00FB2CA7">
            <w:pPr>
              <w:spacing w:before="80" w:after="80"/>
              <w:jc w:val="right"/>
              <w:rPr>
                <w:szCs w:val="22"/>
              </w:rPr>
            </w:pPr>
            <w:r>
              <w:rPr>
                <w:szCs w:val="22"/>
              </w:rPr>
              <w:t>94</w:t>
            </w:r>
          </w:p>
        </w:tc>
        <w:tc>
          <w:tcPr>
            <w:tcW w:w="3119" w:type="dxa"/>
            <w:tcBorders>
              <w:top w:val="nil"/>
              <w:left w:val="nil"/>
              <w:bottom w:val="nil"/>
              <w:right w:val="nil"/>
            </w:tcBorders>
          </w:tcPr>
          <w:p w14:paraId="1C7AEB64" w14:textId="77777777" w:rsidR="00FB2CA7" w:rsidRPr="006144E4" w:rsidRDefault="00FB2CA7">
            <w:pPr>
              <w:spacing w:before="80" w:after="80"/>
              <w:jc w:val="right"/>
              <w:rPr>
                <w:szCs w:val="22"/>
              </w:rPr>
            </w:pPr>
            <w:r>
              <w:rPr>
                <w:szCs w:val="22"/>
              </w:rPr>
              <w:t>197</w:t>
            </w:r>
          </w:p>
        </w:tc>
      </w:tr>
      <w:tr w:rsidR="00FB2CA7" w:rsidRPr="007946C0" w14:paraId="7ABD9774" w14:textId="77777777" w:rsidTr="0097352F">
        <w:tc>
          <w:tcPr>
            <w:tcW w:w="3225" w:type="dxa"/>
            <w:tcBorders>
              <w:top w:val="nil"/>
              <w:left w:val="nil"/>
              <w:bottom w:val="double" w:sz="4" w:space="0" w:color="auto"/>
              <w:right w:val="nil"/>
            </w:tcBorders>
          </w:tcPr>
          <w:p w14:paraId="032CCFE1" w14:textId="77777777" w:rsidR="00FB2CA7" w:rsidRPr="00281407" w:rsidRDefault="00FB2CA7">
            <w:pPr>
              <w:spacing w:before="80" w:after="80"/>
              <w:rPr>
                <w:szCs w:val="22"/>
              </w:rPr>
            </w:pPr>
            <w:r w:rsidRPr="00281407">
              <w:rPr>
                <w:szCs w:val="22"/>
              </w:rPr>
              <w:t>Portfolio and other reforms</w:t>
            </w:r>
          </w:p>
        </w:tc>
        <w:tc>
          <w:tcPr>
            <w:tcW w:w="3007" w:type="dxa"/>
            <w:tcBorders>
              <w:top w:val="nil"/>
              <w:left w:val="nil"/>
              <w:bottom w:val="double" w:sz="4" w:space="0" w:color="auto"/>
              <w:right w:val="nil"/>
            </w:tcBorders>
          </w:tcPr>
          <w:p w14:paraId="692FA57B" w14:textId="16F161E3" w:rsidR="00FB2CA7" w:rsidRPr="00347164" w:rsidRDefault="00FB2CA7">
            <w:pPr>
              <w:spacing w:before="80" w:after="80"/>
              <w:jc w:val="right"/>
              <w:rPr>
                <w:szCs w:val="22"/>
              </w:rPr>
            </w:pPr>
            <w:r w:rsidRPr="00347164">
              <w:rPr>
                <w:szCs w:val="22"/>
              </w:rPr>
              <w:t>1,2</w:t>
            </w:r>
            <w:r w:rsidR="000306BF" w:rsidRPr="00347164">
              <w:rPr>
                <w:szCs w:val="22"/>
              </w:rPr>
              <w:t>1</w:t>
            </w:r>
            <w:r w:rsidR="00AC376A" w:rsidRPr="00347164">
              <w:rPr>
                <w:szCs w:val="22"/>
              </w:rPr>
              <w:t>4</w:t>
            </w:r>
          </w:p>
        </w:tc>
        <w:tc>
          <w:tcPr>
            <w:tcW w:w="3119" w:type="dxa"/>
            <w:tcBorders>
              <w:top w:val="nil"/>
              <w:left w:val="nil"/>
              <w:bottom w:val="double" w:sz="4" w:space="0" w:color="auto"/>
              <w:right w:val="nil"/>
            </w:tcBorders>
          </w:tcPr>
          <w:p w14:paraId="63EC491C" w14:textId="77777777" w:rsidR="00FB2CA7" w:rsidRPr="0097352F" w:rsidRDefault="00FB2CA7">
            <w:pPr>
              <w:spacing w:before="80" w:after="80"/>
              <w:jc w:val="right"/>
              <w:rPr>
                <w:szCs w:val="22"/>
              </w:rPr>
            </w:pPr>
            <w:r w:rsidRPr="0097352F">
              <w:rPr>
                <w:szCs w:val="22"/>
              </w:rPr>
              <w:t>384</w:t>
            </w:r>
          </w:p>
        </w:tc>
      </w:tr>
      <w:tr w:rsidR="00FB2CA7" w:rsidRPr="007946C0" w14:paraId="3E584108" w14:textId="77777777" w:rsidTr="0097352F">
        <w:tc>
          <w:tcPr>
            <w:tcW w:w="3225" w:type="dxa"/>
            <w:tcBorders>
              <w:top w:val="double" w:sz="4" w:space="0" w:color="auto"/>
              <w:left w:val="nil"/>
              <w:right w:val="nil"/>
            </w:tcBorders>
          </w:tcPr>
          <w:p w14:paraId="566826A3" w14:textId="77777777" w:rsidR="00FB2CA7" w:rsidRPr="007D487A" w:rsidRDefault="00FB2CA7">
            <w:pPr>
              <w:spacing w:before="80" w:after="80"/>
              <w:rPr>
                <w:szCs w:val="22"/>
              </w:rPr>
            </w:pPr>
            <w:r w:rsidRPr="007D487A">
              <w:rPr>
                <w:b/>
                <w:bCs/>
                <w:szCs w:val="22"/>
              </w:rPr>
              <w:t>Total</w:t>
            </w:r>
          </w:p>
        </w:tc>
        <w:tc>
          <w:tcPr>
            <w:tcW w:w="3007" w:type="dxa"/>
            <w:tcBorders>
              <w:top w:val="double" w:sz="4" w:space="0" w:color="auto"/>
              <w:left w:val="nil"/>
              <w:right w:val="nil"/>
            </w:tcBorders>
          </w:tcPr>
          <w:p w14:paraId="749F31D3" w14:textId="6AB4E394" w:rsidR="00FB2CA7" w:rsidRPr="00347164" w:rsidRDefault="00FB2CA7">
            <w:pPr>
              <w:spacing w:before="80" w:after="80"/>
              <w:jc w:val="right"/>
              <w:rPr>
                <w:b/>
                <w:szCs w:val="22"/>
              </w:rPr>
            </w:pPr>
            <w:r w:rsidRPr="00347164">
              <w:rPr>
                <w:b/>
                <w:szCs w:val="22"/>
              </w:rPr>
              <w:t>4,</w:t>
            </w:r>
            <w:r w:rsidR="001F6A78" w:rsidRPr="00347164">
              <w:rPr>
                <w:b/>
                <w:szCs w:val="22"/>
              </w:rPr>
              <w:t>9</w:t>
            </w:r>
            <w:r w:rsidR="004401EB" w:rsidRPr="00347164">
              <w:rPr>
                <w:b/>
                <w:szCs w:val="22"/>
              </w:rPr>
              <w:t>81</w:t>
            </w:r>
          </w:p>
        </w:tc>
        <w:tc>
          <w:tcPr>
            <w:tcW w:w="3119" w:type="dxa"/>
            <w:tcBorders>
              <w:top w:val="double" w:sz="4" w:space="0" w:color="auto"/>
              <w:left w:val="nil"/>
              <w:right w:val="nil"/>
            </w:tcBorders>
          </w:tcPr>
          <w:p w14:paraId="1A475A19" w14:textId="672A021E" w:rsidR="00FB2CA7" w:rsidRPr="00347164" w:rsidRDefault="00FB2CA7">
            <w:pPr>
              <w:spacing w:before="80" w:after="80"/>
              <w:jc w:val="right"/>
              <w:rPr>
                <w:b/>
                <w:szCs w:val="22"/>
              </w:rPr>
            </w:pPr>
            <w:r w:rsidRPr="00347164">
              <w:rPr>
                <w:b/>
                <w:szCs w:val="22"/>
              </w:rPr>
              <w:t>2,0</w:t>
            </w:r>
            <w:r w:rsidR="004401EB" w:rsidRPr="00347164">
              <w:rPr>
                <w:b/>
                <w:szCs w:val="22"/>
              </w:rPr>
              <w:t>68</w:t>
            </w:r>
          </w:p>
        </w:tc>
      </w:tr>
    </w:tbl>
    <w:p w14:paraId="2701597C" w14:textId="77777777" w:rsidR="00FE500D" w:rsidRDefault="00FE500D" w:rsidP="00847570">
      <w:pPr>
        <w:spacing w:before="240"/>
        <w:rPr>
          <w:szCs w:val="22"/>
        </w:rPr>
      </w:pPr>
    </w:p>
    <w:p w14:paraId="08166B5F" w14:textId="0491D6A3" w:rsidR="005B43CD" w:rsidRDefault="005B43CD">
      <w:pPr>
        <w:rPr>
          <w:szCs w:val="22"/>
        </w:rPr>
      </w:pPr>
      <w:r>
        <w:rPr>
          <w:szCs w:val="22"/>
        </w:rPr>
        <w:br w:type="page"/>
      </w:r>
    </w:p>
    <w:p w14:paraId="5324A6E8" w14:textId="7EC574A1" w:rsidR="00C02862" w:rsidRPr="00C02862" w:rsidRDefault="00C02862" w:rsidP="00AC5966">
      <w:pPr>
        <w:pStyle w:val="Figureheading"/>
      </w:pPr>
      <w:r w:rsidRPr="003214B3">
        <w:lastRenderedPageBreak/>
        <w:t xml:space="preserve">Figure </w:t>
      </w:r>
      <w:r w:rsidR="00F80EB6">
        <w:t xml:space="preserve">1.2: </w:t>
      </w:r>
      <w:r w:rsidR="007A1693">
        <w:t xml:space="preserve">Recommendations and </w:t>
      </w:r>
      <w:r w:rsidR="00432F65">
        <w:t>implementation accountability</w:t>
      </w:r>
      <w:r>
        <w:t>, by chapter</w:t>
      </w:r>
      <w:r w:rsidRPr="003214B3">
        <w:t xml:space="preserve">  </w:t>
      </w:r>
    </w:p>
    <w:tbl>
      <w:tblPr>
        <w:tblStyle w:val="TableGrid"/>
        <w:tblW w:w="9351" w:type="dxa"/>
        <w:tblLayout w:type="fixed"/>
        <w:tblLook w:val="04A0" w:firstRow="1" w:lastRow="0" w:firstColumn="1" w:lastColumn="0" w:noHBand="0" w:noVBand="1"/>
      </w:tblPr>
      <w:tblGrid>
        <w:gridCol w:w="704"/>
        <w:gridCol w:w="6804"/>
        <w:gridCol w:w="1843"/>
      </w:tblGrid>
      <w:tr w:rsidR="0049084A" w:rsidRPr="008215CB" w14:paraId="49486985" w14:textId="77777777" w:rsidTr="00E122E6">
        <w:trPr>
          <w:trHeight w:val="454"/>
        </w:trPr>
        <w:tc>
          <w:tcPr>
            <w:tcW w:w="9351" w:type="dxa"/>
            <w:gridSpan w:val="3"/>
            <w:tcBorders>
              <w:top w:val="single" w:sz="2" w:space="0" w:color="auto"/>
              <w:left w:val="single" w:sz="4" w:space="0" w:color="FFFFFF" w:themeColor="background1"/>
              <w:right w:val="single" w:sz="4" w:space="0" w:color="FFFFFF" w:themeColor="background1"/>
            </w:tcBorders>
            <w:shd w:val="clear" w:color="auto" w:fill="E7E6E6"/>
          </w:tcPr>
          <w:p w14:paraId="0BE0C73F" w14:textId="77777777" w:rsidR="0049084A" w:rsidRPr="00D2340F" w:rsidRDefault="0049084A" w:rsidP="004E4D70">
            <w:pPr>
              <w:spacing w:before="60"/>
              <w:rPr>
                <w:b/>
                <w:bCs/>
                <w:szCs w:val="22"/>
              </w:rPr>
            </w:pPr>
            <w:r>
              <w:rPr>
                <w:b/>
                <w:bCs/>
                <w:szCs w:val="22"/>
              </w:rPr>
              <w:t>Chapter 3: Fiscal management and strategy</w:t>
            </w:r>
          </w:p>
        </w:tc>
      </w:tr>
      <w:tr w:rsidR="0049084A" w:rsidRPr="008215CB" w14:paraId="7FFEA0AC" w14:textId="77777777" w:rsidTr="00F56D19">
        <w:trPr>
          <w:trHeight w:val="454"/>
          <w:tblHeader/>
        </w:trPr>
        <w:tc>
          <w:tcPr>
            <w:tcW w:w="7508" w:type="dxa"/>
            <w:gridSpan w:val="2"/>
            <w:tcBorders>
              <w:left w:val="single" w:sz="4" w:space="0" w:color="FFFFFF" w:themeColor="background1"/>
              <w:bottom w:val="single" w:sz="4" w:space="0" w:color="auto"/>
              <w:right w:val="single" w:sz="12" w:space="0" w:color="FFFFFF" w:themeColor="background1"/>
            </w:tcBorders>
          </w:tcPr>
          <w:p w14:paraId="7A04DE8B" w14:textId="77777777" w:rsidR="0049084A" w:rsidRPr="00D2340F" w:rsidRDefault="0049084A" w:rsidP="004E4D70">
            <w:pPr>
              <w:spacing w:before="60"/>
              <w:rPr>
                <w:b/>
                <w:bCs/>
                <w:szCs w:val="22"/>
              </w:rPr>
            </w:pPr>
            <w:r w:rsidRPr="00D2340F">
              <w:rPr>
                <w:b/>
                <w:bCs/>
                <w:szCs w:val="22"/>
              </w:rPr>
              <w:t>Recommendation</w:t>
            </w:r>
          </w:p>
        </w:tc>
        <w:tc>
          <w:tcPr>
            <w:tcW w:w="1843" w:type="dxa"/>
            <w:tcBorders>
              <w:left w:val="single" w:sz="12" w:space="0" w:color="FFFFFF" w:themeColor="background1"/>
              <w:bottom w:val="single" w:sz="4" w:space="0" w:color="auto"/>
              <w:right w:val="single" w:sz="4" w:space="0" w:color="FFFFFF" w:themeColor="background1"/>
            </w:tcBorders>
          </w:tcPr>
          <w:p w14:paraId="27DA626C" w14:textId="7C1E0801" w:rsidR="0049084A" w:rsidRPr="00D2340F" w:rsidRDefault="0049084A" w:rsidP="004E4D70">
            <w:pPr>
              <w:spacing w:before="60"/>
              <w:jc w:val="right"/>
              <w:rPr>
                <w:b/>
                <w:bCs/>
                <w:szCs w:val="22"/>
              </w:rPr>
            </w:pPr>
            <w:r w:rsidRPr="00D2340F">
              <w:rPr>
                <w:b/>
                <w:bCs/>
                <w:szCs w:val="22"/>
              </w:rPr>
              <w:t>Accountability</w:t>
            </w:r>
          </w:p>
        </w:tc>
      </w:tr>
      <w:tr w:rsidR="0049084A" w:rsidRPr="008215CB" w14:paraId="7F9524FE" w14:textId="77777777" w:rsidTr="00F56D19">
        <w:tc>
          <w:tcPr>
            <w:tcW w:w="704" w:type="dxa"/>
            <w:tcBorders>
              <w:left w:val="single" w:sz="4" w:space="0" w:color="FFFFFF" w:themeColor="background1"/>
              <w:bottom w:val="nil"/>
              <w:right w:val="nil"/>
            </w:tcBorders>
          </w:tcPr>
          <w:p w14:paraId="6666E5B6" w14:textId="77777777" w:rsidR="0049084A" w:rsidRPr="00682FD6" w:rsidRDefault="0049084A" w:rsidP="004E4D70">
            <w:pPr>
              <w:spacing w:before="60"/>
              <w:rPr>
                <w:b/>
                <w:bCs/>
                <w:szCs w:val="22"/>
              </w:rPr>
            </w:pPr>
            <w:r w:rsidRPr="00682FD6">
              <w:rPr>
                <w:b/>
                <w:bCs/>
                <w:szCs w:val="22"/>
              </w:rPr>
              <w:t>3.1</w:t>
            </w:r>
          </w:p>
        </w:tc>
        <w:tc>
          <w:tcPr>
            <w:tcW w:w="6804" w:type="dxa"/>
            <w:tcBorders>
              <w:left w:val="nil"/>
              <w:bottom w:val="nil"/>
              <w:right w:val="single" w:sz="4" w:space="0" w:color="F2F2F2" w:themeColor="background1" w:themeShade="F2"/>
            </w:tcBorders>
          </w:tcPr>
          <w:p w14:paraId="14876172" w14:textId="77777777" w:rsidR="0049084A" w:rsidRPr="008215CB" w:rsidRDefault="0049084A" w:rsidP="004E4D70">
            <w:pPr>
              <w:spacing w:before="60"/>
              <w:rPr>
                <w:rFonts w:eastAsia="Aptos" w:cs="Aptos"/>
                <w:color w:val="000000" w:themeColor="text1"/>
                <w:szCs w:val="22"/>
              </w:rPr>
            </w:pPr>
            <w:r w:rsidRPr="008215CB">
              <w:rPr>
                <w:rFonts w:eastAsia="Aptos" w:cs="Aptos"/>
                <w:color w:val="000000" w:themeColor="text1"/>
                <w:szCs w:val="22"/>
              </w:rPr>
              <w:t>Actively apply enhanced financial management operating principles to support strong fiscal management.</w:t>
            </w:r>
          </w:p>
          <w:p w14:paraId="28B1FC3A" w14:textId="77777777" w:rsidR="0049084A" w:rsidRPr="008215CB" w:rsidRDefault="0049084A" w:rsidP="004E4D70">
            <w:pPr>
              <w:spacing w:before="60"/>
              <w:rPr>
                <w:szCs w:val="22"/>
              </w:rPr>
            </w:pPr>
          </w:p>
        </w:tc>
        <w:tc>
          <w:tcPr>
            <w:tcW w:w="1843" w:type="dxa"/>
            <w:tcBorders>
              <w:left w:val="single" w:sz="4" w:space="0" w:color="F2F2F2" w:themeColor="background1" w:themeShade="F2"/>
              <w:bottom w:val="nil"/>
              <w:right w:val="single" w:sz="4" w:space="0" w:color="FFFFFF" w:themeColor="background1"/>
            </w:tcBorders>
          </w:tcPr>
          <w:p w14:paraId="4F25FE2F" w14:textId="77777777" w:rsidR="0049084A" w:rsidRPr="00E41E72" w:rsidRDefault="0049084A" w:rsidP="004E4D70">
            <w:pPr>
              <w:spacing w:before="60"/>
              <w:jc w:val="right"/>
              <w:rPr>
                <w:b/>
                <w:bCs/>
                <w:szCs w:val="22"/>
              </w:rPr>
            </w:pPr>
            <w:r w:rsidRPr="00E41E72">
              <w:rPr>
                <w:b/>
                <w:bCs/>
                <w:szCs w:val="22"/>
              </w:rPr>
              <w:t>DTF</w:t>
            </w:r>
          </w:p>
        </w:tc>
      </w:tr>
      <w:tr w:rsidR="0049084A" w:rsidRPr="008215CB" w14:paraId="4BA67330" w14:textId="77777777" w:rsidTr="00F56D19">
        <w:tc>
          <w:tcPr>
            <w:tcW w:w="704" w:type="dxa"/>
            <w:tcBorders>
              <w:top w:val="nil"/>
              <w:left w:val="single" w:sz="4" w:space="0" w:color="FFFFFF" w:themeColor="background1"/>
              <w:bottom w:val="single" w:sz="4" w:space="0" w:color="auto"/>
              <w:right w:val="nil"/>
            </w:tcBorders>
          </w:tcPr>
          <w:p w14:paraId="17B90EE6" w14:textId="77777777" w:rsidR="0049084A" w:rsidRPr="00682FD6" w:rsidRDefault="0049084A" w:rsidP="00352512">
            <w:pPr>
              <w:rPr>
                <w:b/>
                <w:bCs/>
                <w:szCs w:val="22"/>
              </w:rPr>
            </w:pPr>
            <w:r w:rsidRPr="00682FD6">
              <w:rPr>
                <w:b/>
                <w:bCs/>
                <w:szCs w:val="22"/>
              </w:rPr>
              <w:t>3.2</w:t>
            </w:r>
          </w:p>
        </w:tc>
        <w:tc>
          <w:tcPr>
            <w:tcW w:w="6804" w:type="dxa"/>
            <w:tcBorders>
              <w:top w:val="nil"/>
              <w:left w:val="nil"/>
              <w:bottom w:val="single" w:sz="4" w:space="0" w:color="auto"/>
              <w:right w:val="single" w:sz="4" w:space="0" w:color="F2F2F2" w:themeColor="background1" w:themeShade="F2"/>
            </w:tcBorders>
          </w:tcPr>
          <w:p w14:paraId="317D5350" w14:textId="33B490A8" w:rsidR="0049084A" w:rsidRPr="008215CB" w:rsidRDefault="0049084A" w:rsidP="00AE0D5B">
            <w:pPr>
              <w:spacing w:afterLines="60" w:after="144"/>
              <w:rPr>
                <w:rFonts w:eastAsia="Aptos" w:cs="Aptos"/>
                <w:color w:val="000000" w:themeColor="text1"/>
                <w:szCs w:val="22"/>
              </w:rPr>
            </w:pPr>
            <w:r w:rsidRPr="008215CB">
              <w:rPr>
                <w:rFonts w:eastAsia="Aptos" w:cs="Aptos"/>
                <w:color w:val="000000" w:themeColor="text1"/>
                <w:szCs w:val="22"/>
              </w:rPr>
              <w:t>Commit to consistently applying 10 enhanced financial management</w:t>
            </w:r>
            <w:r w:rsidR="00813868">
              <w:rPr>
                <w:rFonts w:eastAsia="Aptos" w:cs="Aptos"/>
                <w:color w:val="000000" w:themeColor="text1"/>
                <w:szCs w:val="22"/>
              </w:rPr>
              <w:t> </w:t>
            </w:r>
            <w:r w:rsidRPr="008215CB">
              <w:rPr>
                <w:rFonts w:eastAsia="Aptos" w:cs="Aptos"/>
                <w:color w:val="000000" w:themeColor="text1"/>
                <w:szCs w:val="22"/>
              </w:rPr>
              <w:t>rules, across 4 distinct phases each year, to deliver on</w:t>
            </w:r>
            <w:r w:rsidR="00813868">
              <w:rPr>
                <w:rFonts w:eastAsia="Aptos" w:cs="Aptos"/>
                <w:color w:val="000000" w:themeColor="text1"/>
                <w:szCs w:val="22"/>
              </w:rPr>
              <w:t> </w:t>
            </w:r>
            <w:r w:rsidRPr="008215CB">
              <w:rPr>
                <w:rFonts w:eastAsia="Aptos" w:cs="Aptos"/>
                <w:color w:val="000000" w:themeColor="text1"/>
                <w:szCs w:val="22"/>
              </w:rPr>
              <w:t>the fiscal strategy:</w:t>
            </w:r>
          </w:p>
          <w:p w14:paraId="2FF20206" w14:textId="308AFCB8" w:rsidR="0049084A" w:rsidRPr="008215CB" w:rsidRDefault="00AE22BC" w:rsidP="00AE0D5B">
            <w:pPr>
              <w:pStyle w:val="ListParagraph"/>
              <w:numPr>
                <w:ilvl w:val="0"/>
                <w:numId w:val="62"/>
              </w:numPr>
              <w:spacing w:before="240" w:afterLines="60" w:after="144" w:line="278" w:lineRule="auto"/>
              <w:ind w:left="357" w:hanging="357"/>
              <w:contextualSpacing w:val="0"/>
              <w:rPr>
                <w:rFonts w:eastAsia="Aptos" w:cs="Aptos"/>
                <w:color w:val="000000" w:themeColor="text1"/>
                <w:szCs w:val="22"/>
              </w:rPr>
            </w:pPr>
            <w:r>
              <w:rPr>
                <w:rFonts w:eastAsia="Aptos" w:cs="Aptos"/>
                <w:color w:val="000000" w:themeColor="text1"/>
                <w:szCs w:val="22"/>
              </w:rPr>
              <w:t>Strengthen</w:t>
            </w:r>
            <w:r w:rsidR="0049084A" w:rsidRPr="008215CB">
              <w:rPr>
                <w:rFonts w:eastAsia="Aptos" w:cs="Aptos"/>
                <w:color w:val="000000" w:themeColor="text1"/>
                <w:szCs w:val="22"/>
              </w:rPr>
              <w:t xml:space="preserve"> and embed an annual budget plan that aligns with longer-term planning at the start of the annual budget cycle.</w:t>
            </w:r>
          </w:p>
          <w:p w14:paraId="72447179" w14:textId="77777777" w:rsidR="0049084A" w:rsidRPr="008215CB" w:rsidRDefault="0049084A" w:rsidP="00AE0D5B">
            <w:pPr>
              <w:pStyle w:val="ListParagraph"/>
              <w:numPr>
                <w:ilvl w:val="0"/>
                <w:numId w:val="62"/>
              </w:numPr>
              <w:spacing w:afterLines="60" w:after="144" w:line="278" w:lineRule="auto"/>
              <w:ind w:left="357" w:hanging="357"/>
              <w:contextualSpacing w:val="0"/>
              <w:rPr>
                <w:rFonts w:eastAsia="Aptos" w:cs="Aptos"/>
                <w:color w:val="000000" w:themeColor="text1"/>
                <w:szCs w:val="22"/>
              </w:rPr>
            </w:pPr>
            <w:r w:rsidRPr="008215CB">
              <w:rPr>
                <w:rFonts w:eastAsia="Aptos" w:cs="Aptos"/>
                <w:color w:val="000000" w:themeColor="text1"/>
                <w:szCs w:val="22"/>
              </w:rPr>
              <w:t>Limit all new resource allocation decisions to the annual budget decision window.</w:t>
            </w:r>
          </w:p>
          <w:p w14:paraId="46C2323B" w14:textId="1690852E" w:rsidR="0049084A" w:rsidRPr="008215CB" w:rsidRDefault="00BE625B" w:rsidP="00AE0D5B">
            <w:pPr>
              <w:pStyle w:val="ListParagraph"/>
              <w:numPr>
                <w:ilvl w:val="0"/>
                <w:numId w:val="62"/>
              </w:numPr>
              <w:spacing w:afterLines="60" w:after="144" w:line="278" w:lineRule="auto"/>
              <w:ind w:left="357" w:hanging="357"/>
              <w:contextualSpacing w:val="0"/>
              <w:rPr>
                <w:rFonts w:eastAsia="Aptos" w:cs="Aptos"/>
                <w:color w:val="000000" w:themeColor="text1"/>
                <w:szCs w:val="22"/>
              </w:rPr>
            </w:pPr>
            <w:r>
              <w:rPr>
                <w:rFonts w:eastAsia="Aptos" w:cs="Aptos"/>
                <w:color w:val="000000" w:themeColor="text1"/>
                <w:szCs w:val="22"/>
              </w:rPr>
              <w:t>Reinforce</w:t>
            </w:r>
            <w:r w:rsidR="00AE22BC">
              <w:rPr>
                <w:rFonts w:eastAsia="Aptos" w:cs="Aptos"/>
                <w:color w:val="000000" w:themeColor="text1"/>
                <w:szCs w:val="22"/>
              </w:rPr>
              <w:t xml:space="preserve"> current </w:t>
            </w:r>
            <w:proofErr w:type="gramStart"/>
            <w:r w:rsidR="00AE22BC">
              <w:rPr>
                <w:rFonts w:eastAsia="Aptos" w:cs="Aptos"/>
                <w:color w:val="000000" w:themeColor="text1"/>
                <w:szCs w:val="22"/>
              </w:rPr>
              <w:t>practice</w:t>
            </w:r>
            <w:proofErr w:type="gramEnd"/>
            <w:r w:rsidR="00AE22BC">
              <w:rPr>
                <w:rFonts w:eastAsia="Aptos" w:cs="Aptos"/>
                <w:color w:val="000000" w:themeColor="text1"/>
                <w:szCs w:val="22"/>
              </w:rPr>
              <w:t xml:space="preserve"> that </w:t>
            </w:r>
            <w:r>
              <w:rPr>
                <w:rFonts w:eastAsia="Aptos" w:cs="Aptos"/>
                <w:color w:val="000000" w:themeColor="text1"/>
                <w:szCs w:val="22"/>
              </w:rPr>
              <w:t>decisions</w:t>
            </w:r>
            <w:r w:rsidR="0049084A" w:rsidRPr="008215CB">
              <w:rPr>
                <w:rFonts w:eastAsia="Aptos" w:cs="Aptos"/>
                <w:color w:val="000000" w:themeColor="text1"/>
                <w:szCs w:val="22"/>
              </w:rPr>
              <w:t xml:space="preserve"> on funding must be supported by robust information and business cases that meet DTF’s Investment Life Cycle guidelines.</w:t>
            </w:r>
          </w:p>
          <w:p w14:paraId="230DE444" w14:textId="4F9233C0" w:rsidR="0049084A" w:rsidRPr="008215CB" w:rsidRDefault="0049084A" w:rsidP="00AE0D5B">
            <w:pPr>
              <w:pStyle w:val="ListParagraph"/>
              <w:numPr>
                <w:ilvl w:val="0"/>
                <w:numId w:val="62"/>
              </w:numPr>
              <w:spacing w:afterLines="60" w:after="144" w:line="278" w:lineRule="auto"/>
              <w:ind w:left="357" w:hanging="357"/>
              <w:contextualSpacing w:val="0"/>
              <w:rPr>
                <w:rFonts w:eastAsia="Aptos" w:cs="Aptos"/>
                <w:color w:val="000000" w:themeColor="text1"/>
                <w:szCs w:val="22"/>
              </w:rPr>
            </w:pPr>
            <w:r w:rsidRPr="008215CB">
              <w:rPr>
                <w:rFonts w:eastAsia="Aptos" w:cs="Aptos"/>
                <w:color w:val="000000" w:themeColor="text1"/>
                <w:szCs w:val="22"/>
              </w:rPr>
              <w:t xml:space="preserve">Embed a planning and review window </w:t>
            </w:r>
            <w:r w:rsidR="00C14BEB">
              <w:rPr>
                <w:rFonts w:eastAsia="Aptos" w:cs="Aptos"/>
                <w:color w:val="000000" w:themeColor="text1"/>
                <w:szCs w:val="22"/>
              </w:rPr>
              <w:t>in</w:t>
            </w:r>
            <w:r w:rsidRPr="008215CB">
              <w:rPr>
                <w:rFonts w:eastAsia="Aptos" w:cs="Aptos"/>
                <w:color w:val="000000" w:themeColor="text1"/>
                <w:szCs w:val="22"/>
              </w:rPr>
              <w:t xml:space="preserve"> the annual budget cycle.</w:t>
            </w:r>
          </w:p>
          <w:p w14:paraId="66FACE95" w14:textId="4EBA6377" w:rsidR="0049084A" w:rsidRPr="008215CB" w:rsidRDefault="0049084A" w:rsidP="00AE0D5B">
            <w:pPr>
              <w:pStyle w:val="ListParagraph"/>
              <w:numPr>
                <w:ilvl w:val="0"/>
                <w:numId w:val="62"/>
              </w:numPr>
              <w:spacing w:afterLines="60" w:after="144" w:line="278" w:lineRule="auto"/>
              <w:ind w:left="357" w:hanging="357"/>
              <w:contextualSpacing w:val="0"/>
              <w:rPr>
                <w:rFonts w:eastAsia="Aptos" w:cs="Aptos"/>
                <w:color w:val="000000" w:themeColor="text1"/>
                <w:szCs w:val="22"/>
              </w:rPr>
            </w:pPr>
            <w:r w:rsidRPr="008215CB">
              <w:rPr>
                <w:rFonts w:eastAsia="Aptos" w:cs="Aptos"/>
                <w:color w:val="000000" w:themeColor="text1"/>
                <w:szCs w:val="22"/>
              </w:rPr>
              <w:t>Expand systematic expenditure evaluations in the annual budget</w:t>
            </w:r>
            <w:r w:rsidR="00752161">
              <w:rPr>
                <w:rFonts w:eastAsia="Aptos" w:cs="Aptos"/>
                <w:color w:val="000000" w:themeColor="text1"/>
                <w:szCs w:val="22"/>
              </w:rPr>
              <w:t> </w:t>
            </w:r>
            <w:r w:rsidRPr="008215CB">
              <w:rPr>
                <w:rFonts w:eastAsia="Aptos" w:cs="Aptos"/>
                <w:color w:val="000000" w:themeColor="text1"/>
                <w:szCs w:val="22"/>
              </w:rPr>
              <w:t>cycle.</w:t>
            </w:r>
          </w:p>
          <w:p w14:paraId="3ED407B7" w14:textId="77777777" w:rsidR="0049084A" w:rsidRPr="008215CB" w:rsidRDefault="0049084A" w:rsidP="00AE0D5B">
            <w:pPr>
              <w:pStyle w:val="ListParagraph"/>
              <w:numPr>
                <w:ilvl w:val="0"/>
                <w:numId w:val="62"/>
              </w:numPr>
              <w:spacing w:afterLines="60" w:after="144" w:line="278" w:lineRule="auto"/>
              <w:ind w:left="357" w:hanging="357"/>
              <w:contextualSpacing w:val="0"/>
              <w:rPr>
                <w:rFonts w:eastAsia="Aptos" w:cs="Aptos"/>
                <w:color w:val="000000" w:themeColor="text1"/>
                <w:szCs w:val="22"/>
              </w:rPr>
            </w:pPr>
            <w:r w:rsidRPr="008215CB">
              <w:rPr>
                <w:rFonts w:eastAsia="Aptos" w:cs="Aptos"/>
                <w:color w:val="000000" w:themeColor="text1"/>
                <w:szCs w:val="22"/>
              </w:rPr>
              <w:t>Hold Secretaries and CEOs to account for their departmental and entity financial performance as part of the annual budget cycle.</w:t>
            </w:r>
          </w:p>
          <w:p w14:paraId="6738CC4C" w14:textId="0EE813D6" w:rsidR="0049084A" w:rsidRPr="008215CB" w:rsidRDefault="0049084A" w:rsidP="00AE0D5B">
            <w:pPr>
              <w:pStyle w:val="ListParagraph"/>
              <w:numPr>
                <w:ilvl w:val="0"/>
                <w:numId w:val="62"/>
              </w:numPr>
              <w:spacing w:afterLines="60" w:after="144" w:line="278" w:lineRule="auto"/>
              <w:ind w:left="357" w:hanging="357"/>
              <w:contextualSpacing w:val="0"/>
              <w:rPr>
                <w:rFonts w:eastAsia="Aptos" w:cs="Aptos"/>
                <w:color w:val="000000" w:themeColor="text1"/>
                <w:szCs w:val="22"/>
              </w:rPr>
            </w:pPr>
            <w:r w:rsidRPr="008215CB">
              <w:rPr>
                <w:rFonts w:eastAsia="Aptos" w:cs="Aptos"/>
                <w:color w:val="000000" w:themeColor="text1"/>
                <w:szCs w:val="22"/>
              </w:rPr>
              <w:t xml:space="preserve">Replace </w:t>
            </w:r>
            <w:r w:rsidR="0013507D" w:rsidRPr="00E44990">
              <w:rPr>
                <w:rFonts w:eastAsia="Aptos" w:cs="Aptos"/>
                <w:color w:val="000000" w:themeColor="text1"/>
                <w:szCs w:val="22"/>
              </w:rPr>
              <w:t xml:space="preserve">the </w:t>
            </w:r>
            <w:r w:rsidR="008A31C8" w:rsidRPr="00E44990">
              <w:rPr>
                <w:rFonts w:eastAsia="Aptos" w:cs="Aptos"/>
                <w:color w:val="000000" w:themeColor="text1"/>
                <w:szCs w:val="22"/>
              </w:rPr>
              <w:t>General Efficiency Dividend</w:t>
            </w:r>
            <w:r w:rsidRPr="008215CB">
              <w:rPr>
                <w:rFonts w:eastAsia="Aptos" w:cs="Aptos"/>
                <w:color w:val="000000" w:themeColor="text1"/>
                <w:szCs w:val="22"/>
              </w:rPr>
              <w:t xml:space="preserve"> </w:t>
            </w:r>
            <w:r w:rsidR="008A31C8">
              <w:rPr>
                <w:rFonts w:eastAsia="Aptos" w:cs="Aptos"/>
                <w:color w:val="000000" w:themeColor="text1"/>
                <w:szCs w:val="22"/>
              </w:rPr>
              <w:t>(</w:t>
            </w:r>
            <w:r w:rsidRPr="008215CB">
              <w:rPr>
                <w:rFonts w:eastAsia="Aptos" w:cs="Aptos"/>
                <w:color w:val="000000" w:themeColor="text1"/>
                <w:szCs w:val="22"/>
              </w:rPr>
              <w:t>GED</w:t>
            </w:r>
            <w:r w:rsidR="008A31C8">
              <w:rPr>
                <w:rFonts w:eastAsia="Aptos" w:cs="Aptos"/>
                <w:color w:val="000000" w:themeColor="text1"/>
                <w:szCs w:val="22"/>
              </w:rPr>
              <w:t>)</w:t>
            </w:r>
            <w:r w:rsidRPr="008215CB">
              <w:rPr>
                <w:rFonts w:eastAsia="Aptos" w:cs="Aptos"/>
                <w:color w:val="000000" w:themeColor="text1"/>
                <w:szCs w:val="22"/>
              </w:rPr>
              <w:t xml:space="preserve"> in the savings framework by embedding more system</w:t>
            </w:r>
            <w:r w:rsidR="00633DE8">
              <w:rPr>
                <w:rFonts w:eastAsia="Aptos" w:cs="Aptos"/>
                <w:color w:val="000000" w:themeColor="text1"/>
                <w:szCs w:val="22"/>
              </w:rPr>
              <w:t>at</w:t>
            </w:r>
            <w:r w:rsidRPr="008215CB">
              <w:rPr>
                <w:rFonts w:eastAsia="Aptos" w:cs="Aptos"/>
                <w:color w:val="000000" w:themeColor="text1"/>
                <w:szCs w:val="22"/>
              </w:rPr>
              <w:t>ic evaluation and discrete savings targets in each budget</w:t>
            </w:r>
            <w:r w:rsidR="002B00B3">
              <w:rPr>
                <w:rFonts w:eastAsia="Aptos" w:cs="Aptos"/>
                <w:color w:val="000000" w:themeColor="text1"/>
                <w:szCs w:val="22"/>
              </w:rPr>
              <w:t>.</w:t>
            </w:r>
          </w:p>
          <w:p w14:paraId="09027121" w14:textId="46E00B57" w:rsidR="0049084A" w:rsidRPr="008215CB" w:rsidRDefault="0049084A" w:rsidP="00AE0D5B">
            <w:pPr>
              <w:pStyle w:val="ListParagraph"/>
              <w:numPr>
                <w:ilvl w:val="0"/>
                <w:numId w:val="62"/>
              </w:numPr>
              <w:spacing w:afterLines="60" w:after="144" w:line="278" w:lineRule="auto"/>
              <w:ind w:left="357" w:hanging="357"/>
              <w:contextualSpacing w:val="0"/>
              <w:rPr>
                <w:rFonts w:eastAsia="Aptos" w:cs="Aptos"/>
                <w:color w:val="000000" w:themeColor="text1"/>
                <w:szCs w:val="22"/>
              </w:rPr>
            </w:pPr>
            <w:r w:rsidRPr="008215CB">
              <w:rPr>
                <w:rFonts w:eastAsia="Aptos" w:cs="Aptos"/>
                <w:color w:val="000000" w:themeColor="text1"/>
                <w:szCs w:val="22"/>
              </w:rPr>
              <w:t xml:space="preserve">Reduce the number of </w:t>
            </w:r>
            <w:proofErr w:type="gramStart"/>
            <w:r w:rsidRPr="008215CB">
              <w:rPr>
                <w:rFonts w:eastAsia="Aptos" w:cs="Aptos"/>
                <w:color w:val="000000" w:themeColor="text1"/>
                <w:szCs w:val="22"/>
              </w:rPr>
              <w:t>fixed-term</w:t>
            </w:r>
            <w:proofErr w:type="gramEnd"/>
            <w:r w:rsidRPr="008215CB">
              <w:rPr>
                <w:rFonts w:eastAsia="Aptos" w:cs="Aptos"/>
                <w:color w:val="000000" w:themeColor="text1"/>
                <w:szCs w:val="22"/>
              </w:rPr>
              <w:t xml:space="preserve"> funded programs.</w:t>
            </w:r>
          </w:p>
          <w:p w14:paraId="3DBAB995" w14:textId="77777777" w:rsidR="0049084A" w:rsidRPr="008215CB" w:rsidRDefault="0049084A" w:rsidP="00AE0D5B">
            <w:pPr>
              <w:pStyle w:val="ListParagraph"/>
              <w:numPr>
                <w:ilvl w:val="0"/>
                <w:numId w:val="62"/>
              </w:numPr>
              <w:spacing w:afterLines="60" w:after="144" w:line="278" w:lineRule="auto"/>
              <w:ind w:left="357" w:hanging="357"/>
              <w:contextualSpacing w:val="0"/>
              <w:rPr>
                <w:rFonts w:eastAsia="Aptos" w:cs="Aptos"/>
                <w:color w:val="000000" w:themeColor="text1"/>
                <w:szCs w:val="22"/>
              </w:rPr>
            </w:pPr>
            <w:r w:rsidRPr="008215CB">
              <w:rPr>
                <w:rFonts w:eastAsia="Aptos" w:cs="Aptos"/>
                <w:color w:val="000000" w:themeColor="text1"/>
                <w:szCs w:val="22"/>
              </w:rPr>
              <w:t>Mandate and deliver public sector financial training for executives.</w:t>
            </w:r>
          </w:p>
          <w:p w14:paraId="3F6E649E" w14:textId="4F401B64" w:rsidR="0049084A" w:rsidRPr="008215CB" w:rsidRDefault="0049084A" w:rsidP="00AE0D5B">
            <w:pPr>
              <w:pStyle w:val="ListParagraph"/>
              <w:numPr>
                <w:ilvl w:val="0"/>
                <w:numId w:val="62"/>
              </w:numPr>
              <w:spacing w:afterLines="60" w:after="144" w:line="278" w:lineRule="auto"/>
              <w:ind w:left="357" w:hanging="357"/>
              <w:contextualSpacing w:val="0"/>
              <w:rPr>
                <w:szCs w:val="22"/>
              </w:rPr>
            </w:pPr>
            <w:r w:rsidRPr="008215CB">
              <w:rPr>
                <w:rFonts w:eastAsia="Aptos" w:cs="Aptos"/>
                <w:color w:val="000000" w:themeColor="text1"/>
                <w:szCs w:val="22"/>
              </w:rPr>
              <w:t xml:space="preserve">Embed systematic job rotation for financial officers between DTF and </w:t>
            </w:r>
            <w:r w:rsidR="00376078">
              <w:rPr>
                <w:rFonts w:eastAsia="Aptos" w:cs="Aptos"/>
                <w:color w:val="000000" w:themeColor="text1"/>
                <w:szCs w:val="22"/>
              </w:rPr>
              <w:t xml:space="preserve">other </w:t>
            </w:r>
            <w:r w:rsidRPr="008215CB">
              <w:rPr>
                <w:rFonts w:eastAsia="Aptos" w:cs="Aptos"/>
                <w:color w:val="000000" w:themeColor="text1"/>
                <w:szCs w:val="22"/>
              </w:rPr>
              <w:t>departments.</w:t>
            </w:r>
          </w:p>
        </w:tc>
        <w:tc>
          <w:tcPr>
            <w:tcW w:w="1843" w:type="dxa"/>
            <w:tcBorders>
              <w:top w:val="nil"/>
              <w:left w:val="single" w:sz="4" w:space="0" w:color="F2F2F2" w:themeColor="background1" w:themeShade="F2"/>
              <w:bottom w:val="single" w:sz="4" w:space="0" w:color="auto"/>
              <w:right w:val="single" w:sz="4" w:space="0" w:color="FFFFFF" w:themeColor="background1"/>
            </w:tcBorders>
          </w:tcPr>
          <w:p w14:paraId="0916D2ED" w14:textId="77777777" w:rsidR="0049084A" w:rsidRPr="00E41E72" w:rsidRDefault="0049084A" w:rsidP="006B359A">
            <w:pPr>
              <w:jc w:val="right"/>
              <w:rPr>
                <w:b/>
                <w:bCs/>
                <w:szCs w:val="22"/>
              </w:rPr>
            </w:pPr>
            <w:r>
              <w:rPr>
                <w:b/>
                <w:bCs/>
                <w:szCs w:val="22"/>
              </w:rPr>
              <w:t>DTF</w:t>
            </w:r>
          </w:p>
        </w:tc>
      </w:tr>
    </w:tbl>
    <w:p w14:paraId="2B26B479" w14:textId="77777777" w:rsidR="00B41356" w:rsidRDefault="00B41356"/>
    <w:p w14:paraId="156D4DEC" w14:textId="5633E136" w:rsidR="00682697" w:rsidRDefault="00682697">
      <w:r>
        <w:br w:type="page"/>
      </w:r>
    </w:p>
    <w:tbl>
      <w:tblPr>
        <w:tblStyle w:val="TableGrid"/>
        <w:tblW w:w="9351" w:type="dxa"/>
        <w:tblLayout w:type="fixed"/>
        <w:tblLook w:val="04A0" w:firstRow="1" w:lastRow="0" w:firstColumn="1" w:lastColumn="0" w:noHBand="0" w:noVBand="1"/>
      </w:tblPr>
      <w:tblGrid>
        <w:gridCol w:w="704"/>
        <w:gridCol w:w="6804"/>
        <w:gridCol w:w="1843"/>
      </w:tblGrid>
      <w:tr w:rsidR="0049084A" w:rsidRPr="008215CB" w14:paraId="1BA950CD" w14:textId="77777777" w:rsidTr="00E122E6">
        <w:trPr>
          <w:trHeight w:val="454"/>
        </w:trPr>
        <w:tc>
          <w:tcPr>
            <w:tcW w:w="9351" w:type="dxa"/>
            <w:gridSpan w:val="3"/>
            <w:tcBorders>
              <w:top w:val="single" w:sz="2" w:space="0" w:color="auto"/>
              <w:left w:val="single" w:sz="4" w:space="0" w:color="FFFFFF" w:themeColor="background1"/>
              <w:bottom w:val="single" w:sz="2" w:space="0" w:color="auto"/>
              <w:right w:val="single" w:sz="4" w:space="0" w:color="FFFFFF" w:themeColor="background1"/>
            </w:tcBorders>
            <w:shd w:val="clear" w:color="auto" w:fill="E7E6E6"/>
          </w:tcPr>
          <w:p w14:paraId="098DB018" w14:textId="77777777" w:rsidR="0049084A" w:rsidRPr="00043A1D" w:rsidRDefault="0049084A" w:rsidP="004E4D70">
            <w:pPr>
              <w:spacing w:before="60"/>
              <w:rPr>
                <w:b/>
                <w:bCs/>
                <w:szCs w:val="22"/>
              </w:rPr>
            </w:pPr>
            <w:r>
              <w:rPr>
                <w:b/>
                <w:bCs/>
                <w:szCs w:val="22"/>
              </w:rPr>
              <w:lastRenderedPageBreak/>
              <w:t xml:space="preserve">Chapter 4: </w:t>
            </w:r>
            <w:r w:rsidRPr="00043A1D">
              <w:rPr>
                <w:b/>
                <w:bCs/>
                <w:szCs w:val="22"/>
              </w:rPr>
              <w:t>Commonwealth-State relations</w:t>
            </w:r>
          </w:p>
        </w:tc>
      </w:tr>
      <w:tr w:rsidR="0049084A" w:rsidRPr="008215CB" w14:paraId="17B2A057" w14:textId="77777777" w:rsidTr="00F56D19">
        <w:trPr>
          <w:trHeight w:val="454"/>
        </w:trPr>
        <w:tc>
          <w:tcPr>
            <w:tcW w:w="7508" w:type="dxa"/>
            <w:gridSpan w:val="2"/>
            <w:tcBorders>
              <w:top w:val="single" w:sz="2" w:space="0" w:color="auto"/>
              <w:left w:val="single" w:sz="4" w:space="0" w:color="FFFFFF" w:themeColor="background1"/>
              <w:bottom w:val="single" w:sz="4" w:space="0" w:color="auto"/>
              <w:right w:val="single" w:sz="12" w:space="0" w:color="FFFFFF" w:themeColor="background1"/>
            </w:tcBorders>
          </w:tcPr>
          <w:p w14:paraId="498D9845" w14:textId="77777777" w:rsidR="0049084A" w:rsidRPr="008215CB" w:rsidRDefault="0049084A" w:rsidP="004E4D70">
            <w:pPr>
              <w:spacing w:before="60"/>
              <w:rPr>
                <w:rFonts w:eastAsia="Aptos" w:cs="Aptos"/>
                <w:szCs w:val="22"/>
              </w:rPr>
            </w:pPr>
            <w:r w:rsidRPr="00D2340F">
              <w:rPr>
                <w:b/>
                <w:bCs/>
                <w:szCs w:val="22"/>
              </w:rPr>
              <w:t>Recommendation</w:t>
            </w:r>
          </w:p>
        </w:tc>
        <w:tc>
          <w:tcPr>
            <w:tcW w:w="1843" w:type="dxa"/>
            <w:tcBorders>
              <w:top w:val="single" w:sz="2" w:space="0" w:color="auto"/>
              <w:left w:val="single" w:sz="12" w:space="0" w:color="FFFFFF" w:themeColor="background1"/>
              <w:bottom w:val="single" w:sz="4" w:space="0" w:color="auto"/>
              <w:right w:val="single" w:sz="4" w:space="0" w:color="FFFFFF" w:themeColor="background1"/>
            </w:tcBorders>
          </w:tcPr>
          <w:p w14:paraId="58177A10" w14:textId="27260846" w:rsidR="0049084A" w:rsidRPr="008215CB" w:rsidRDefault="0049084A" w:rsidP="004E4D70">
            <w:pPr>
              <w:spacing w:before="60"/>
              <w:jc w:val="right"/>
              <w:rPr>
                <w:szCs w:val="22"/>
              </w:rPr>
            </w:pPr>
            <w:r w:rsidRPr="00D2340F">
              <w:rPr>
                <w:b/>
                <w:bCs/>
                <w:szCs w:val="22"/>
              </w:rPr>
              <w:t>Accountability</w:t>
            </w:r>
          </w:p>
        </w:tc>
      </w:tr>
      <w:tr w:rsidR="0049084A" w:rsidRPr="008215CB" w14:paraId="4570AA46" w14:textId="77777777" w:rsidTr="00F56D19">
        <w:tc>
          <w:tcPr>
            <w:tcW w:w="704" w:type="dxa"/>
            <w:tcBorders>
              <w:left w:val="single" w:sz="4" w:space="0" w:color="FFFFFF" w:themeColor="background1"/>
              <w:bottom w:val="nil"/>
              <w:right w:val="nil"/>
            </w:tcBorders>
          </w:tcPr>
          <w:p w14:paraId="3ABDEBFE" w14:textId="77777777" w:rsidR="0049084A" w:rsidRPr="00D151D5" w:rsidRDefault="0049084A" w:rsidP="004E4D70">
            <w:pPr>
              <w:spacing w:before="60"/>
              <w:rPr>
                <w:b/>
                <w:bCs/>
                <w:szCs w:val="22"/>
              </w:rPr>
            </w:pPr>
            <w:r w:rsidRPr="00D151D5">
              <w:rPr>
                <w:b/>
                <w:bCs/>
                <w:szCs w:val="22"/>
              </w:rPr>
              <w:t>4.1</w:t>
            </w:r>
          </w:p>
        </w:tc>
        <w:tc>
          <w:tcPr>
            <w:tcW w:w="6804" w:type="dxa"/>
            <w:tcBorders>
              <w:left w:val="nil"/>
              <w:bottom w:val="nil"/>
              <w:right w:val="single" w:sz="4" w:space="0" w:color="F2F2F2" w:themeColor="background1" w:themeShade="F2"/>
            </w:tcBorders>
          </w:tcPr>
          <w:p w14:paraId="291F0BCA" w14:textId="2664B06E" w:rsidR="00E45159" w:rsidRPr="00B20DF8" w:rsidRDefault="00E45159" w:rsidP="004E4D70">
            <w:pPr>
              <w:spacing w:before="60"/>
              <w:rPr>
                <w:rFonts w:eastAsia="Aptos" w:cs="Aptos"/>
                <w:b/>
                <w:szCs w:val="22"/>
              </w:rPr>
            </w:pPr>
            <w:r w:rsidRPr="00B20DF8">
              <w:rPr>
                <w:rFonts w:eastAsia="Aptos" w:cs="Aptos"/>
                <w:szCs w:val="22"/>
              </w:rPr>
              <w:t>Develop an overarching Commonwealth-State relations strategy for more effective strategic engagement, to unlock funding and savings, and to have a more proactive role in national reform.</w:t>
            </w:r>
          </w:p>
          <w:p w14:paraId="3586F39B" w14:textId="77777777" w:rsidR="0049084A" w:rsidRPr="00A8272F" w:rsidRDefault="0049084A" w:rsidP="004E4D70">
            <w:pPr>
              <w:spacing w:before="60"/>
              <w:rPr>
                <w:szCs w:val="22"/>
                <w:highlight w:val="cyan"/>
              </w:rPr>
            </w:pPr>
          </w:p>
        </w:tc>
        <w:tc>
          <w:tcPr>
            <w:tcW w:w="1843" w:type="dxa"/>
            <w:tcBorders>
              <w:left w:val="single" w:sz="4" w:space="0" w:color="F2F2F2" w:themeColor="background1" w:themeShade="F2"/>
              <w:bottom w:val="nil"/>
              <w:right w:val="single" w:sz="4" w:space="0" w:color="FFFFFF" w:themeColor="background1"/>
            </w:tcBorders>
          </w:tcPr>
          <w:p w14:paraId="153C4D5D" w14:textId="77777777" w:rsidR="0049084A" w:rsidRPr="00B11A23" w:rsidRDefault="0049084A" w:rsidP="004E4D70">
            <w:pPr>
              <w:spacing w:before="60"/>
              <w:jc w:val="right"/>
              <w:rPr>
                <w:b/>
                <w:bCs/>
                <w:szCs w:val="22"/>
              </w:rPr>
            </w:pPr>
            <w:r w:rsidRPr="2B54236E">
              <w:rPr>
                <w:b/>
                <w:bCs/>
                <w:szCs w:val="22"/>
              </w:rPr>
              <w:t>DPC</w:t>
            </w:r>
          </w:p>
        </w:tc>
      </w:tr>
      <w:tr w:rsidR="0049084A" w:rsidRPr="008215CB" w14:paraId="749D9267" w14:textId="77777777" w:rsidTr="00F56D19">
        <w:tc>
          <w:tcPr>
            <w:tcW w:w="704" w:type="dxa"/>
            <w:tcBorders>
              <w:top w:val="nil"/>
              <w:left w:val="single" w:sz="4" w:space="0" w:color="FFFFFF" w:themeColor="background1"/>
              <w:bottom w:val="nil"/>
              <w:right w:val="nil"/>
            </w:tcBorders>
          </w:tcPr>
          <w:p w14:paraId="0E410FD5" w14:textId="77777777" w:rsidR="0049084A" w:rsidRPr="00D151D5" w:rsidRDefault="0049084A" w:rsidP="00352512">
            <w:pPr>
              <w:rPr>
                <w:b/>
                <w:bCs/>
                <w:szCs w:val="22"/>
              </w:rPr>
            </w:pPr>
            <w:r w:rsidRPr="00D151D5">
              <w:rPr>
                <w:b/>
                <w:bCs/>
                <w:szCs w:val="22"/>
              </w:rPr>
              <w:t>4.2</w:t>
            </w:r>
          </w:p>
        </w:tc>
        <w:tc>
          <w:tcPr>
            <w:tcW w:w="6804" w:type="dxa"/>
            <w:tcBorders>
              <w:top w:val="nil"/>
              <w:left w:val="nil"/>
              <w:bottom w:val="nil"/>
              <w:right w:val="single" w:sz="4" w:space="0" w:color="F2F2F2" w:themeColor="background1" w:themeShade="F2"/>
            </w:tcBorders>
          </w:tcPr>
          <w:p w14:paraId="71090E08" w14:textId="649EE017" w:rsidR="0049084A" w:rsidRPr="008215CB" w:rsidRDefault="0049084A" w:rsidP="00352512">
            <w:pPr>
              <w:rPr>
                <w:rFonts w:eastAsia="Aptos" w:cs="Aptos"/>
                <w:szCs w:val="22"/>
              </w:rPr>
            </w:pPr>
            <w:r w:rsidRPr="008215CB">
              <w:rPr>
                <w:szCs w:val="22"/>
                <w:lang w:val="en-GB"/>
              </w:rPr>
              <w:t xml:space="preserve">Continue to highlight the major consequences for Victoria and other states and territories of the </w:t>
            </w:r>
            <w:r w:rsidR="00085185" w:rsidRPr="00085185">
              <w:rPr>
                <w:lang w:val="en-GB"/>
              </w:rPr>
              <w:t>Commonwealth’s</w:t>
            </w:r>
            <w:r w:rsidR="00085185" w:rsidRPr="001C0A9D">
              <w:rPr>
                <w:lang w:val="en-GB"/>
              </w:rPr>
              <w:t xml:space="preserve"> </w:t>
            </w:r>
            <w:r w:rsidRPr="008215CB">
              <w:rPr>
                <w:szCs w:val="22"/>
                <w:lang w:val="en-GB"/>
              </w:rPr>
              <w:t>W</w:t>
            </w:r>
            <w:r w:rsidR="003E22A2">
              <w:rPr>
                <w:szCs w:val="22"/>
                <w:lang w:val="en-GB"/>
              </w:rPr>
              <w:t xml:space="preserve">estern Australia </w:t>
            </w:r>
            <w:r w:rsidRPr="008215CB">
              <w:rPr>
                <w:szCs w:val="22"/>
                <w:lang w:val="en-GB"/>
              </w:rPr>
              <w:t>G</w:t>
            </w:r>
            <w:r w:rsidR="00127AFB">
              <w:rPr>
                <w:szCs w:val="22"/>
                <w:lang w:val="en-GB"/>
              </w:rPr>
              <w:t xml:space="preserve">oods and </w:t>
            </w:r>
            <w:r w:rsidRPr="008215CB">
              <w:rPr>
                <w:szCs w:val="22"/>
                <w:lang w:val="en-GB"/>
              </w:rPr>
              <w:t>S</w:t>
            </w:r>
            <w:r w:rsidR="00127AFB">
              <w:rPr>
                <w:szCs w:val="22"/>
                <w:lang w:val="en-GB"/>
              </w:rPr>
              <w:t xml:space="preserve">ervices </w:t>
            </w:r>
            <w:r w:rsidRPr="008215CB">
              <w:rPr>
                <w:szCs w:val="22"/>
                <w:lang w:val="en-GB"/>
              </w:rPr>
              <w:t>T</w:t>
            </w:r>
            <w:r w:rsidR="00127AFB">
              <w:rPr>
                <w:szCs w:val="22"/>
                <w:lang w:val="en-GB"/>
              </w:rPr>
              <w:t>ax</w:t>
            </w:r>
            <w:r w:rsidR="003E22A2">
              <w:rPr>
                <w:szCs w:val="22"/>
                <w:lang w:val="en-GB"/>
              </w:rPr>
              <w:t xml:space="preserve"> (</w:t>
            </w:r>
            <w:r w:rsidRPr="008215CB">
              <w:rPr>
                <w:szCs w:val="22"/>
                <w:lang w:val="en-GB"/>
              </w:rPr>
              <w:t>GST</w:t>
            </w:r>
            <w:r w:rsidR="003E22A2">
              <w:rPr>
                <w:szCs w:val="22"/>
                <w:lang w:val="en-GB"/>
              </w:rPr>
              <w:t>)</w:t>
            </w:r>
            <w:r w:rsidRPr="008215CB">
              <w:rPr>
                <w:szCs w:val="22"/>
                <w:lang w:val="en-GB"/>
              </w:rPr>
              <w:t xml:space="preserve"> agreement, and work with states and territories to maintain the Commonwealth no-worse-off guarantee.</w:t>
            </w:r>
          </w:p>
          <w:p w14:paraId="036C36D5" w14:textId="77777777" w:rsidR="0049084A" w:rsidRPr="008215CB" w:rsidRDefault="0049084A" w:rsidP="00352512">
            <w:pPr>
              <w:rPr>
                <w:szCs w:val="22"/>
              </w:rPr>
            </w:pPr>
          </w:p>
        </w:tc>
        <w:tc>
          <w:tcPr>
            <w:tcW w:w="1843" w:type="dxa"/>
            <w:tcBorders>
              <w:top w:val="nil"/>
              <w:left w:val="single" w:sz="4" w:space="0" w:color="F2F2F2" w:themeColor="background1" w:themeShade="F2"/>
              <w:bottom w:val="nil"/>
              <w:right w:val="single" w:sz="4" w:space="0" w:color="FFFFFF" w:themeColor="background1"/>
            </w:tcBorders>
          </w:tcPr>
          <w:p w14:paraId="69802879" w14:textId="586C5B77" w:rsidR="0049084A" w:rsidRPr="00B11A23" w:rsidRDefault="0049084A" w:rsidP="006B359A">
            <w:pPr>
              <w:jc w:val="right"/>
              <w:rPr>
                <w:b/>
                <w:bCs/>
                <w:szCs w:val="22"/>
              </w:rPr>
            </w:pPr>
            <w:r w:rsidRPr="2B54236E">
              <w:rPr>
                <w:b/>
                <w:bCs/>
                <w:szCs w:val="22"/>
              </w:rPr>
              <w:t>DPC</w:t>
            </w:r>
            <w:r w:rsidR="002E3E93">
              <w:rPr>
                <w:b/>
                <w:bCs/>
                <w:szCs w:val="22"/>
              </w:rPr>
              <w:t xml:space="preserve"> </w:t>
            </w:r>
            <w:r w:rsidR="00370E2F">
              <w:rPr>
                <w:b/>
                <w:bCs/>
                <w:szCs w:val="22"/>
              </w:rPr>
              <w:t>/</w:t>
            </w:r>
            <w:r w:rsidR="002E3E93">
              <w:rPr>
                <w:b/>
                <w:bCs/>
                <w:szCs w:val="22"/>
              </w:rPr>
              <w:t xml:space="preserve"> </w:t>
            </w:r>
            <w:r w:rsidR="00370E2F">
              <w:rPr>
                <w:b/>
                <w:bCs/>
                <w:szCs w:val="22"/>
              </w:rPr>
              <w:t>DTF</w:t>
            </w:r>
          </w:p>
        </w:tc>
      </w:tr>
      <w:tr w:rsidR="0049084A" w:rsidRPr="008215CB" w14:paraId="09D21B4A" w14:textId="77777777" w:rsidTr="00F56D19">
        <w:tc>
          <w:tcPr>
            <w:tcW w:w="704" w:type="dxa"/>
            <w:tcBorders>
              <w:top w:val="nil"/>
              <w:left w:val="single" w:sz="4" w:space="0" w:color="FFFFFF" w:themeColor="background1"/>
              <w:bottom w:val="nil"/>
              <w:right w:val="nil"/>
            </w:tcBorders>
          </w:tcPr>
          <w:p w14:paraId="5C068190" w14:textId="77777777" w:rsidR="0049084A" w:rsidRPr="00D151D5" w:rsidRDefault="0049084A" w:rsidP="00352512">
            <w:pPr>
              <w:rPr>
                <w:b/>
                <w:bCs/>
                <w:szCs w:val="22"/>
              </w:rPr>
            </w:pPr>
            <w:r w:rsidRPr="00D151D5">
              <w:rPr>
                <w:b/>
                <w:bCs/>
                <w:szCs w:val="22"/>
              </w:rPr>
              <w:t>4.3</w:t>
            </w:r>
          </w:p>
        </w:tc>
        <w:tc>
          <w:tcPr>
            <w:tcW w:w="6804" w:type="dxa"/>
            <w:tcBorders>
              <w:top w:val="nil"/>
              <w:left w:val="nil"/>
              <w:bottom w:val="nil"/>
              <w:right w:val="single" w:sz="4" w:space="0" w:color="F2F2F2" w:themeColor="background1" w:themeShade="F2"/>
            </w:tcBorders>
          </w:tcPr>
          <w:p w14:paraId="00A54CCE" w14:textId="5A07C0D0" w:rsidR="0049084A" w:rsidRPr="008215CB" w:rsidRDefault="0049084A" w:rsidP="00352512">
            <w:pPr>
              <w:rPr>
                <w:rFonts w:eastAsia="Aptos" w:cs="Aptos"/>
                <w:szCs w:val="22"/>
                <w:lang w:val="en-GB"/>
              </w:rPr>
            </w:pPr>
            <w:r w:rsidRPr="008215CB">
              <w:rPr>
                <w:rFonts w:eastAsia="Aptos" w:cs="Aptos"/>
                <w:szCs w:val="22"/>
                <w:lang w:val="en-GB"/>
              </w:rPr>
              <w:t>Strengthen strategic capacity in the central agencies for Commonwealth</w:t>
            </w:r>
            <w:r w:rsidR="00935706">
              <w:rPr>
                <w:rFonts w:eastAsia="Aptos" w:cs="Aptos"/>
                <w:szCs w:val="22"/>
                <w:lang w:val="en-GB"/>
              </w:rPr>
              <w:t>-</w:t>
            </w:r>
            <w:r w:rsidR="002510DD">
              <w:rPr>
                <w:rFonts w:eastAsia="Aptos" w:cs="Aptos"/>
                <w:szCs w:val="22"/>
                <w:lang w:val="en-GB"/>
              </w:rPr>
              <w:t>S</w:t>
            </w:r>
            <w:r w:rsidRPr="008215CB">
              <w:rPr>
                <w:rFonts w:eastAsia="Aptos" w:cs="Aptos"/>
                <w:szCs w:val="22"/>
                <w:lang w:val="en-GB"/>
              </w:rPr>
              <w:t>tate relations work.</w:t>
            </w:r>
          </w:p>
          <w:p w14:paraId="608025FE" w14:textId="77777777" w:rsidR="0049084A" w:rsidRPr="008215CB" w:rsidRDefault="0049084A" w:rsidP="00352512">
            <w:pPr>
              <w:rPr>
                <w:szCs w:val="22"/>
              </w:rPr>
            </w:pPr>
          </w:p>
        </w:tc>
        <w:tc>
          <w:tcPr>
            <w:tcW w:w="1843" w:type="dxa"/>
            <w:tcBorders>
              <w:top w:val="nil"/>
              <w:left w:val="single" w:sz="4" w:space="0" w:color="F2F2F2" w:themeColor="background1" w:themeShade="F2"/>
              <w:bottom w:val="nil"/>
              <w:right w:val="single" w:sz="4" w:space="0" w:color="FFFFFF" w:themeColor="background1"/>
            </w:tcBorders>
          </w:tcPr>
          <w:p w14:paraId="2F3E7318" w14:textId="5535016A" w:rsidR="0049084A" w:rsidRPr="00B11A23" w:rsidRDefault="0049084A" w:rsidP="006B359A">
            <w:pPr>
              <w:jc w:val="right"/>
              <w:rPr>
                <w:b/>
                <w:bCs/>
                <w:szCs w:val="22"/>
              </w:rPr>
            </w:pPr>
            <w:r w:rsidRPr="2B54236E">
              <w:rPr>
                <w:b/>
                <w:bCs/>
                <w:szCs w:val="22"/>
              </w:rPr>
              <w:t>DPC</w:t>
            </w:r>
            <w:r w:rsidR="002E3E93">
              <w:rPr>
                <w:b/>
                <w:bCs/>
                <w:szCs w:val="22"/>
              </w:rPr>
              <w:t xml:space="preserve"> </w:t>
            </w:r>
            <w:r w:rsidR="00FF13E6">
              <w:rPr>
                <w:b/>
                <w:bCs/>
                <w:szCs w:val="22"/>
              </w:rPr>
              <w:t>/</w:t>
            </w:r>
            <w:r w:rsidR="002E3E93">
              <w:rPr>
                <w:b/>
                <w:bCs/>
                <w:szCs w:val="22"/>
              </w:rPr>
              <w:t xml:space="preserve"> </w:t>
            </w:r>
            <w:r w:rsidR="00FF13E6">
              <w:rPr>
                <w:b/>
                <w:bCs/>
                <w:szCs w:val="22"/>
              </w:rPr>
              <w:t>DTF</w:t>
            </w:r>
          </w:p>
        </w:tc>
      </w:tr>
      <w:tr w:rsidR="0049084A" w:rsidRPr="008215CB" w14:paraId="0410AC31" w14:textId="77777777" w:rsidTr="00F56D19">
        <w:tc>
          <w:tcPr>
            <w:tcW w:w="704" w:type="dxa"/>
            <w:tcBorders>
              <w:top w:val="nil"/>
              <w:left w:val="single" w:sz="4" w:space="0" w:color="FFFFFF" w:themeColor="background1"/>
              <w:bottom w:val="nil"/>
              <w:right w:val="nil"/>
            </w:tcBorders>
          </w:tcPr>
          <w:p w14:paraId="5C6DA8DE" w14:textId="77777777" w:rsidR="0049084A" w:rsidRPr="00D151D5" w:rsidRDefault="0049084A" w:rsidP="00352512">
            <w:pPr>
              <w:rPr>
                <w:b/>
                <w:bCs/>
                <w:szCs w:val="22"/>
              </w:rPr>
            </w:pPr>
            <w:r w:rsidRPr="00D151D5">
              <w:rPr>
                <w:b/>
                <w:bCs/>
                <w:szCs w:val="22"/>
              </w:rPr>
              <w:t>4.4</w:t>
            </w:r>
          </w:p>
        </w:tc>
        <w:tc>
          <w:tcPr>
            <w:tcW w:w="6804" w:type="dxa"/>
            <w:tcBorders>
              <w:top w:val="nil"/>
              <w:left w:val="nil"/>
              <w:bottom w:val="nil"/>
              <w:right w:val="single" w:sz="4" w:space="0" w:color="F2F2F2" w:themeColor="background1" w:themeShade="F2"/>
            </w:tcBorders>
          </w:tcPr>
          <w:p w14:paraId="75F43552" w14:textId="2369BCA4" w:rsidR="0049084A" w:rsidRPr="008215CB" w:rsidRDefault="0049084A" w:rsidP="00352512">
            <w:pPr>
              <w:rPr>
                <w:rFonts w:eastAsia="Aptos" w:cs="Aptos"/>
                <w:szCs w:val="22"/>
                <w:lang w:val="en-GB"/>
              </w:rPr>
            </w:pPr>
            <w:r w:rsidRPr="008215CB">
              <w:rPr>
                <w:rFonts w:eastAsia="Aptos" w:cs="Aptos"/>
                <w:szCs w:val="22"/>
                <w:lang w:val="en-GB"/>
              </w:rPr>
              <w:t xml:space="preserve">Identify </w:t>
            </w:r>
            <w:r w:rsidR="00202E7F">
              <w:rPr>
                <w:rFonts w:eastAsia="Aptos" w:cs="Aptos"/>
                <w:szCs w:val="22"/>
                <w:lang w:val="en-GB"/>
              </w:rPr>
              <w:t>current</w:t>
            </w:r>
            <w:r w:rsidRPr="008215CB">
              <w:rPr>
                <w:rFonts w:eastAsia="Aptos" w:cs="Aptos"/>
                <w:szCs w:val="22"/>
                <w:lang w:val="en-GB"/>
              </w:rPr>
              <w:t xml:space="preserve"> Victoria</w:t>
            </w:r>
            <w:r w:rsidR="002A5437">
              <w:rPr>
                <w:rFonts w:eastAsia="Aptos" w:cs="Aptos"/>
                <w:szCs w:val="22"/>
                <w:lang w:val="en-GB"/>
              </w:rPr>
              <w:t>n</w:t>
            </w:r>
            <w:r w:rsidRPr="008215CB">
              <w:rPr>
                <w:rFonts w:eastAsia="Aptos" w:cs="Aptos"/>
                <w:szCs w:val="22"/>
                <w:lang w:val="en-GB"/>
              </w:rPr>
              <w:t>-funded activities that fall under Commonwealth responsibility and develop options to withdraw or divest from these programs.</w:t>
            </w:r>
          </w:p>
          <w:p w14:paraId="34AE817A" w14:textId="77777777" w:rsidR="0049084A" w:rsidRPr="008215CB" w:rsidRDefault="0049084A" w:rsidP="00352512">
            <w:pPr>
              <w:rPr>
                <w:szCs w:val="22"/>
              </w:rPr>
            </w:pPr>
          </w:p>
        </w:tc>
        <w:tc>
          <w:tcPr>
            <w:tcW w:w="1843" w:type="dxa"/>
            <w:tcBorders>
              <w:top w:val="nil"/>
              <w:left w:val="single" w:sz="4" w:space="0" w:color="F2F2F2" w:themeColor="background1" w:themeShade="F2"/>
              <w:bottom w:val="nil"/>
              <w:right w:val="single" w:sz="4" w:space="0" w:color="FFFFFF" w:themeColor="background1"/>
            </w:tcBorders>
          </w:tcPr>
          <w:p w14:paraId="25A9F45F" w14:textId="77777777" w:rsidR="0049084A" w:rsidRPr="00B11A23" w:rsidRDefault="0049084A" w:rsidP="006B359A">
            <w:pPr>
              <w:jc w:val="right"/>
              <w:rPr>
                <w:b/>
                <w:bCs/>
                <w:szCs w:val="22"/>
              </w:rPr>
            </w:pPr>
            <w:r w:rsidRPr="2B54236E">
              <w:rPr>
                <w:b/>
                <w:bCs/>
                <w:szCs w:val="22"/>
              </w:rPr>
              <w:t>DTF</w:t>
            </w:r>
          </w:p>
        </w:tc>
      </w:tr>
      <w:tr w:rsidR="0049084A" w:rsidRPr="008215CB" w14:paraId="795F2D01" w14:textId="77777777" w:rsidTr="00F56D19">
        <w:tc>
          <w:tcPr>
            <w:tcW w:w="704" w:type="dxa"/>
            <w:tcBorders>
              <w:top w:val="nil"/>
              <w:left w:val="single" w:sz="4" w:space="0" w:color="FFFFFF" w:themeColor="background1"/>
              <w:bottom w:val="nil"/>
              <w:right w:val="nil"/>
            </w:tcBorders>
          </w:tcPr>
          <w:p w14:paraId="0EAA98D0" w14:textId="77777777" w:rsidR="0049084A" w:rsidRPr="00D151D5" w:rsidRDefault="0049084A" w:rsidP="00352512">
            <w:pPr>
              <w:rPr>
                <w:b/>
                <w:bCs/>
                <w:szCs w:val="22"/>
              </w:rPr>
            </w:pPr>
            <w:r w:rsidRPr="00D151D5">
              <w:rPr>
                <w:b/>
                <w:bCs/>
                <w:szCs w:val="22"/>
              </w:rPr>
              <w:t>4.5</w:t>
            </w:r>
          </w:p>
        </w:tc>
        <w:tc>
          <w:tcPr>
            <w:tcW w:w="6804" w:type="dxa"/>
            <w:tcBorders>
              <w:top w:val="nil"/>
              <w:left w:val="nil"/>
              <w:bottom w:val="nil"/>
              <w:right w:val="single" w:sz="4" w:space="0" w:color="F2F2F2" w:themeColor="background1" w:themeShade="F2"/>
            </w:tcBorders>
          </w:tcPr>
          <w:p w14:paraId="41B52234" w14:textId="77777777" w:rsidR="0049084A" w:rsidRPr="008215CB" w:rsidRDefault="0049084A" w:rsidP="00352512">
            <w:pPr>
              <w:rPr>
                <w:rFonts w:eastAsia="Aptos" w:cs="Aptos"/>
                <w:szCs w:val="22"/>
              </w:rPr>
            </w:pPr>
            <w:r w:rsidRPr="008215CB">
              <w:rPr>
                <w:szCs w:val="22"/>
              </w:rPr>
              <w:t>Advocate to the Commonwealth to fully fund Victoria’s 12 state-funded Urgent Care Clinics.</w:t>
            </w:r>
          </w:p>
          <w:p w14:paraId="5CEDF909" w14:textId="77777777" w:rsidR="0049084A" w:rsidRPr="008215CB" w:rsidRDefault="0049084A" w:rsidP="00352512">
            <w:pPr>
              <w:rPr>
                <w:szCs w:val="22"/>
              </w:rPr>
            </w:pPr>
          </w:p>
        </w:tc>
        <w:tc>
          <w:tcPr>
            <w:tcW w:w="1843" w:type="dxa"/>
            <w:tcBorders>
              <w:top w:val="nil"/>
              <w:left w:val="single" w:sz="4" w:space="0" w:color="F2F2F2" w:themeColor="background1" w:themeShade="F2"/>
              <w:bottom w:val="nil"/>
              <w:right w:val="single" w:sz="4" w:space="0" w:color="FFFFFF" w:themeColor="background1"/>
            </w:tcBorders>
          </w:tcPr>
          <w:p w14:paraId="3077A76F" w14:textId="77777777" w:rsidR="0049084A" w:rsidRPr="00B11A23" w:rsidRDefault="0049084A" w:rsidP="006B359A">
            <w:pPr>
              <w:jc w:val="right"/>
              <w:rPr>
                <w:b/>
                <w:bCs/>
                <w:szCs w:val="22"/>
              </w:rPr>
            </w:pPr>
            <w:r w:rsidRPr="2B54236E">
              <w:rPr>
                <w:b/>
                <w:bCs/>
                <w:szCs w:val="22"/>
              </w:rPr>
              <w:t>DPC</w:t>
            </w:r>
          </w:p>
        </w:tc>
      </w:tr>
      <w:tr w:rsidR="0049084A" w:rsidRPr="008215CB" w14:paraId="6F06CCC4" w14:textId="77777777" w:rsidTr="00F56D19">
        <w:tc>
          <w:tcPr>
            <w:tcW w:w="704" w:type="dxa"/>
            <w:tcBorders>
              <w:top w:val="nil"/>
              <w:left w:val="single" w:sz="4" w:space="0" w:color="FFFFFF" w:themeColor="background1"/>
              <w:bottom w:val="nil"/>
              <w:right w:val="nil"/>
            </w:tcBorders>
          </w:tcPr>
          <w:p w14:paraId="534E7DD7" w14:textId="77777777" w:rsidR="0049084A" w:rsidRPr="00D151D5" w:rsidRDefault="0049084A" w:rsidP="00352512">
            <w:pPr>
              <w:rPr>
                <w:b/>
                <w:bCs/>
                <w:szCs w:val="22"/>
              </w:rPr>
            </w:pPr>
            <w:r w:rsidRPr="00D151D5">
              <w:rPr>
                <w:b/>
                <w:bCs/>
                <w:szCs w:val="22"/>
              </w:rPr>
              <w:t>4.6</w:t>
            </w:r>
          </w:p>
        </w:tc>
        <w:tc>
          <w:tcPr>
            <w:tcW w:w="6804" w:type="dxa"/>
            <w:tcBorders>
              <w:top w:val="nil"/>
              <w:left w:val="nil"/>
              <w:bottom w:val="nil"/>
              <w:right w:val="single" w:sz="4" w:space="0" w:color="F2F2F2" w:themeColor="background1" w:themeShade="F2"/>
            </w:tcBorders>
          </w:tcPr>
          <w:p w14:paraId="56C6571C" w14:textId="77777777" w:rsidR="0049084A" w:rsidRDefault="0049084A" w:rsidP="00352512">
            <w:pPr>
              <w:rPr>
                <w:rFonts w:eastAsia="Aptos" w:cs="Aptos"/>
                <w:szCs w:val="22"/>
                <w:lang w:val="en-GB"/>
              </w:rPr>
            </w:pPr>
            <w:r w:rsidRPr="008215CB">
              <w:rPr>
                <w:rFonts w:eastAsia="Aptos" w:cs="Aptos"/>
                <w:szCs w:val="22"/>
                <w:lang w:val="en-GB"/>
              </w:rPr>
              <w:t>Advocate strongly for better data sharing to improve the ability of states and territories to better target programs and tax expenditures that address disadvantage and cost of living pressures.</w:t>
            </w:r>
          </w:p>
          <w:p w14:paraId="053E9253" w14:textId="77777777" w:rsidR="00EC4DC0" w:rsidRPr="00B11A23" w:rsidRDefault="00EC4DC0" w:rsidP="00352512">
            <w:pPr>
              <w:rPr>
                <w:rFonts w:eastAsia="Aptos" w:cs="Aptos"/>
                <w:szCs w:val="22"/>
              </w:rPr>
            </w:pPr>
          </w:p>
        </w:tc>
        <w:tc>
          <w:tcPr>
            <w:tcW w:w="1843" w:type="dxa"/>
            <w:tcBorders>
              <w:top w:val="nil"/>
              <w:left w:val="single" w:sz="4" w:space="0" w:color="F2F2F2" w:themeColor="background1" w:themeShade="F2"/>
              <w:bottom w:val="nil"/>
              <w:right w:val="single" w:sz="4" w:space="0" w:color="FFFFFF" w:themeColor="background1"/>
            </w:tcBorders>
          </w:tcPr>
          <w:p w14:paraId="4C803F3C" w14:textId="03BB4FBE" w:rsidR="0049084A" w:rsidRPr="00B11A23" w:rsidRDefault="0049084A" w:rsidP="006B359A">
            <w:pPr>
              <w:jc w:val="right"/>
              <w:rPr>
                <w:b/>
                <w:bCs/>
                <w:szCs w:val="22"/>
              </w:rPr>
            </w:pPr>
            <w:r w:rsidRPr="2B54236E">
              <w:rPr>
                <w:b/>
                <w:bCs/>
                <w:szCs w:val="22"/>
              </w:rPr>
              <w:t>DPC</w:t>
            </w:r>
            <w:r w:rsidR="002E3E93">
              <w:rPr>
                <w:b/>
                <w:bCs/>
                <w:szCs w:val="22"/>
              </w:rPr>
              <w:t xml:space="preserve"> </w:t>
            </w:r>
            <w:r w:rsidR="00EC4DC0">
              <w:rPr>
                <w:b/>
                <w:bCs/>
                <w:szCs w:val="22"/>
              </w:rPr>
              <w:t>/</w:t>
            </w:r>
            <w:r w:rsidR="002E3E93">
              <w:rPr>
                <w:b/>
                <w:bCs/>
                <w:szCs w:val="22"/>
              </w:rPr>
              <w:t xml:space="preserve"> </w:t>
            </w:r>
            <w:r w:rsidR="00EC4DC0">
              <w:rPr>
                <w:b/>
                <w:bCs/>
                <w:szCs w:val="22"/>
              </w:rPr>
              <w:t>DTF</w:t>
            </w:r>
          </w:p>
        </w:tc>
      </w:tr>
      <w:tr w:rsidR="0049084A" w:rsidRPr="008215CB" w14:paraId="34621B28" w14:textId="77777777" w:rsidTr="00F56D19">
        <w:tc>
          <w:tcPr>
            <w:tcW w:w="704" w:type="dxa"/>
            <w:tcBorders>
              <w:top w:val="nil"/>
              <w:left w:val="nil"/>
              <w:bottom w:val="nil"/>
              <w:right w:val="nil"/>
            </w:tcBorders>
          </w:tcPr>
          <w:p w14:paraId="72EA7196" w14:textId="77777777" w:rsidR="0049084A" w:rsidRPr="00D151D5" w:rsidRDefault="0049084A" w:rsidP="00352512">
            <w:pPr>
              <w:rPr>
                <w:b/>
                <w:bCs/>
                <w:szCs w:val="22"/>
              </w:rPr>
            </w:pPr>
            <w:r>
              <w:rPr>
                <w:b/>
                <w:bCs/>
                <w:szCs w:val="22"/>
              </w:rPr>
              <w:t>4.7</w:t>
            </w:r>
          </w:p>
        </w:tc>
        <w:tc>
          <w:tcPr>
            <w:tcW w:w="6804" w:type="dxa"/>
            <w:tcBorders>
              <w:top w:val="nil"/>
              <w:left w:val="nil"/>
              <w:bottom w:val="nil"/>
              <w:right w:val="single" w:sz="4" w:space="0" w:color="F2F2F2" w:themeColor="background1" w:themeShade="F2"/>
            </w:tcBorders>
          </w:tcPr>
          <w:p w14:paraId="27148766" w14:textId="65FF7981" w:rsidR="0049084A" w:rsidRPr="00D06103" w:rsidRDefault="0049084A" w:rsidP="00352512">
            <w:pPr>
              <w:rPr>
                <w:rFonts w:eastAsia="Aptos" w:cs="Aptos"/>
                <w:szCs w:val="22"/>
                <w:lang w:val="en-GB"/>
              </w:rPr>
            </w:pPr>
            <w:r w:rsidRPr="00D06103">
              <w:rPr>
                <w:szCs w:val="22"/>
              </w:rPr>
              <w:t xml:space="preserve">Advocate for the Commonwealth to recommence state and territory funding from the </w:t>
            </w:r>
            <w:proofErr w:type="spellStart"/>
            <w:r w:rsidRPr="00D06103">
              <w:rPr>
                <w:szCs w:val="22"/>
              </w:rPr>
              <w:t>DisabilityCare</w:t>
            </w:r>
            <w:proofErr w:type="spellEnd"/>
            <w:r w:rsidRPr="00D06103">
              <w:rPr>
                <w:szCs w:val="22"/>
              </w:rPr>
              <w:t xml:space="preserve"> Australia Fund</w:t>
            </w:r>
            <w:r w:rsidR="00936A52">
              <w:rPr>
                <w:szCs w:val="22"/>
              </w:rPr>
              <w:t>,</w:t>
            </w:r>
            <w:r w:rsidRPr="00D06103">
              <w:rPr>
                <w:szCs w:val="22"/>
              </w:rPr>
              <w:t xml:space="preserve"> </w:t>
            </w:r>
            <w:r w:rsidR="0004457A">
              <w:t>which is</w:t>
            </w:r>
            <w:r w:rsidR="0004457A" w:rsidRPr="00D06103">
              <w:rPr>
                <w:szCs w:val="22"/>
              </w:rPr>
              <w:t xml:space="preserve"> </w:t>
            </w:r>
            <w:r w:rsidRPr="00D06103">
              <w:rPr>
                <w:szCs w:val="22"/>
              </w:rPr>
              <w:t xml:space="preserve">funded by the </w:t>
            </w:r>
            <w:r w:rsidR="00B42B31">
              <w:rPr>
                <w:szCs w:val="22"/>
              </w:rPr>
              <w:t>M</w:t>
            </w:r>
            <w:r w:rsidRPr="00D06103">
              <w:rPr>
                <w:szCs w:val="22"/>
              </w:rPr>
              <w:t>edicare levy increase to support the provision of disability services.</w:t>
            </w:r>
          </w:p>
          <w:p w14:paraId="599B09ED" w14:textId="77777777" w:rsidR="0049084A" w:rsidRPr="00D06103" w:rsidRDefault="0049084A" w:rsidP="00352512">
            <w:pPr>
              <w:rPr>
                <w:rFonts w:eastAsia="Aptos" w:cs="Aptos"/>
                <w:szCs w:val="22"/>
                <w:lang w:val="en-GB"/>
              </w:rPr>
            </w:pPr>
          </w:p>
        </w:tc>
        <w:tc>
          <w:tcPr>
            <w:tcW w:w="1843" w:type="dxa"/>
            <w:tcBorders>
              <w:top w:val="nil"/>
              <w:left w:val="single" w:sz="4" w:space="0" w:color="F2F2F2" w:themeColor="background1" w:themeShade="F2"/>
              <w:bottom w:val="nil"/>
              <w:right w:val="nil"/>
            </w:tcBorders>
          </w:tcPr>
          <w:p w14:paraId="2BD8B9F1" w14:textId="403FE94F" w:rsidR="0049084A" w:rsidRPr="2B54236E" w:rsidRDefault="0049084A" w:rsidP="006B359A">
            <w:pPr>
              <w:jc w:val="right"/>
              <w:rPr>
                <w:b/>
                <w:bCs/>
                <w:szCs w:val="22"/>
              </w:rPr>
            </w:pPr>
            <w:r>
              <w:rPr>
                <w:b/>
                <w:bCs/>
                <w:szCs w:val="22"/>
              </w:rPr>
              <w:t>DPC</w:t>
            </w:r>
            <w:r w:rsidR="002E3E93">
              <w:rPr>
                <w:b/>
                <w:bCs/>
                <w:szCs w:val="22"/>
              </w:rPr>
              <w:t xml:space="preserve"> </w:t>
            </w:r>
            <w:r w:rsidR="00D52D9F">
              <w:rPr>
                <w:b/>
                <w:bCs/>
                <w:szCs w:val="22"/>
              </w:rPr>
              <w:t>/</w:t>
            </w:r>
            <w:r w:rsidR="002E3E93">
              <w:rPr>
                <w:b/>
                <w:bCs/>
                <w:szCs w:val="22"/>
              </w:rPr>
              <w:t xml:space="preserve"> </w:t>
            </w:r>
            <w:r w:rsidR="00D52D9F">
              <w:rPr>
                <w:b/>
                <w:bCs/>
                <w:szCs w:val="22"/>
              </w:rPr>
              <w:t>DTF</w:t>
            </w:r>
          </w:p>
        </w:tc>
      </w:tr>
      <w:tr w:rsidR="0049084A" w:rsidRPr="008215CB" w14:paraId="0E55499F" w14:textId="77777777" w:rsidTr="00F56D19">
        <w:tc>
          <w:tcPr>
            <w:tcW w:w="704" w:type="dxa"/>
            <w:tcBorders>
              <w:top w:val="nil"/>
              <w:left w:val="nil"/>
              <w:bottom w:val="single" w:sz="2" w:space="0" w:color="auto"/>
              <w:right w:val="nil"/>
            </w:tcBorders>
          </w:tcPr>
          <w:p w14:paraId="32B8A7BF" w14:textId="77777777" w:rsidR="0049084A" w:rsidRPr="00D151D5" w:rsidRDefault="0049084A" w:rsidP="00AE0D5B">
            <w:pPr>
              <w:spacing w:after="60"/>
              <w:rPr>
                <w:b/>
                <w:bCs/>
                <w:szCs w:val="22"/>
              </w:rPr>
            </w:pPr>
            <w:r>
              <w:rPr>
                <w:b/>
                <w:bCs/>
                <w:szCs w:val="22"/>
              </w:rPr>
              <w:t>4.8</w:t>
            </w:r>
          </w:p>
        </w:tc>
        <w:tc>
          <w:tcPr>
            <w:tcW w:w="6804" w:type="dxa"/>
            <w:tcBorders>
              <w:top w:val="nil"/>
              <w:left w:val="nil"/>
              <w:bottom w:val="single" w:sz="2" w:space="0" w:color="auto"/>
              <w:right w:val="single" w:sz="4" w:space="0" w:color="F2F2F2" w:themeColor="background1" w:themeShade="F2"/>
            </w:tcBorders>
          </w:tcPr>
          <w:p w14:paraId="71081889" w14:textId="77777777" w:rsidR="0049084A" w:rsidRPr="00D06103" w:rsidRDefault="0049084A" w:rsidP="00AE0D5B">
            <w:pPr>
              <w:spacing w:after="60"/>
              <w:rPr>
                <w:rFonts w:eastAsia="Aptos" w:cs="Aptos"/>
                <w:szCs w:val="22"/>
                <w:lang w:val="en-GB"/>
              </w:rPr>
            </w:pPr>
            <w:r w:rsidRPr="00D06103">
              <w:rPr>
                <w:rFonts w:eastAsia="Aptos" w:cs="Aptos"/>
                <w:szCs w:val="22"/>
                <w:lang w:val="en-GB"/>
              </w:rPr>
              <w:t>Advocate for a renewed national approach and related incentives that can improve services and drive private and public sector productivity in Victoria and nationally.</w:t>
            </w:r>
          </w:p>
        </w:tc>
        <w:tc>
          <w:tcPr>
            <w:tcW w:w="1843" w:type="dxa"/>
            <w:tcBorders>
              <w:top w:val="nil"/>
              <w:left w:val="single" w:sz="4" w:space="0" w:color="F2F2F2" w:themeColor="background1" w:themeShade="F2"/>
              <w:bottom w:val="single" w:sz="2" w:space="0" w:color="auto"/>
              <w:right w:val="nil"/>
            </w:tcBorders>
          </w:tcPr>
          <w:p w14:paraId="5EA22AEA" w14:textId="77777777" w:rsidR="0049084A" w:rsidRPr="2B54236E" w:rsidRDefault="0049084A" w:rsidP="00AE0D5B">
            <w:pPr>
              <w:spacing w:after="60"/>
              <w:jc w:val="right"/>
              <w:rPr>
                <w:b/>
                <w:bCs/>
                <w:szCs w:val="22"/>
              </w:rPr>
            </w:pPr>
            <w:r>
              <w:rPr>
                <w:b/>
                <w:bCs/>
                <w:szCs w:val="22"/>
              </w:rPr>
              <w:t>DPC</w:t>
            </w:r>
          </w:p>
        </w:tc>
      </w:tr>
    </w:tbl>
    <w:p w14:paraId="115F8679" w14:textId="77777777" w:rsidR="00521919" w:rsidRDefault="00521919"/>
    <w:p w14:paraId="02FEB860" w14:textId="00BBAD73" w:rsidR="00682697" w:rsidRDefault="00682697">
      <w:r>
        <w:br w:type="page"/>
      </w:r>
    </w:p>
    <w:tbl>
      <w:tblPr>
        <w:tblStyle w:val="TableGrid"/>
        <w:tblW w:w="9351" w:type="dxa"/>
        <w:tblLayout w:type="fixed"/>
        <w:tblLook w:val="04A0" w:firstRow="1" w:lastRow="0" w:firstColumn="1" w:lastColumn="0" w:noHBand="0" w:noVBand="1"/>
      </w:tblPr>
      <w:tblGrid>
        <w:gridCol w:w="704"/>
        <w:gridCol w:w="6804"/>
        <w:gridCol w:w="1843"/>
      </w:tblGrid>
      <w:tr w:rsidR="0049084A" w:rsidRPr="008215CB" w14:paraId="1CEE5DFC" w14:textId="77777777" w:rsidTr="00E122E6">
        <w:trPr>
          <w:trHeight w:val="454"/>
        </w:trPr>
        <w:tc>
          <w:tcPr>
            <w:tcW w:w="9351" w:type="dxa"/>
            <w:gridSpan w:val="3"/>
            <w:tcBorders>
              <w:top w:val="single" w:sz="2" w:space="0" w:color="auto"/>
              <w:left w:val="single" w:sz="4" w:space="0" w:color="FFFFFF" w:themeColor="background1"/>
              <w:right w:val="single" w:sz="4" w:space="0" w:color="FFFFFF" w:themeColor="background1"/>
            </w:tcBorders>
            <w:shd w:val="clear" w:color="auto" w:fill="E7E6E6"/>
          </w:tcPr>
          <w:p w14:paraId="64AB5BD1" w14:textId="79182D48" w:rsidR="0049084A" w:rsidRPr="00712C6C" w:rsidRDefault="0049084A" w:rsidP="00B11BC3">
            <w:pPr>
              <w:spacing w:before="60"/>
              <w:rPr>
                <w:b/>
                <w:szCs w:val="22"/>
              </w:rPr>
            </w:pPr>
            <w:r>
              <w:rPr>
                <w:b/>
                <w:bCs/>
                <w:szCs w:val="22"/>
              </w:rPr>
              <w:lastRenderedPageBreak/>
              <w:t xml:space="preserve">Chapter 5: </w:t>
            </w:r>
            <w:r w:rsidRPr="00043A1D">
              <w:rPr>
                <w:b/>
                <w:bCs/>
                <w:szCs w:val="22"/>
              </w:rPr>
              <w:t>VPS size and structure</w:t>
            </w:r>
          </w:p>
        </w:tc>
      </w:tr>
      <w:tr w:rsidR="00B20269" w:rsidRPr="008215CB" w14:paraId="005F0B95" w14:textId="77777777" w:rsidTr="00B20269">
        <w:trPr>
          <w:trHeight w:val="454"/>
        </w:trPr>
        <w:tc>
          <w:tcPr>
            <w:tcW w:w="9351" w:type="dxa"/>
            <w:gridSpan w:val="3"/>
            <w:tcBorders>
              <w:top w:val="single" w:sz="2" w:space="0" w:color="auto"/>
              <w:left w:val="single" w:sz="4" w:space="0" w:color="FFFFFF" w:themeColor="background1"/>
              <w:right w:val="single" w:sz="4" w:space="0" w:color="FFFFFF" w:themeColor="background1"/>
            </w:tcBorders>
            <w:shd w:val="clear" w:color="auto" w:fill="F2F2F2" w:themeFill="background1" w:themeFillShade="F2"/>
          </w:tcPr>
          <w:p w14:paraId="761AE20D" w14:textId="3E904BD9" w:rsidR="00B20269" w:rsidRPr="00CF6D0E" w:rsidRDefault="00612E4B" w:rsidP="00B11BC3">
            <w:pPr>
              <w:spacing w:before="60"/>
              <w:rPr>
                <w:szCs w:val="22"/>
              </w:rPr>
            </w:pPr>
            <w:r w:rsidRPr="009B3505">
              <w:rPr>
                <w:szCs w:val="22"/>
              </w:rPr>
              <w:t>$4</w:t>
            </w:r>
            <w:r w:rsidR="00F27BA4" w:rsidRPr="009B3505">
              <w:rPr>
                <w:szCs w:val="22"/>
              </w:rPr>
              <w:t>84</w:t>
            </w:r>
            <w:r w:rsidRPr="009B3505">
              <w:rPr>
                <w:szCs w:val="22"/>
              </w:rPr>
              <w:t xml:space="preserve"> million</w:t>
            </w:r>
            <w:r w:rsidRPr="00CF6D0E">
              <w:rPr>
                <w:szCs w:val="22"/>
              </w:rPr>
              <w:t xml:space="preserve"> savings from 2025–26 to 2028–29; </w:t>
            </w:r>
            <w:r w:rsidR="00D413C8" w:rsidRPr="009B3505">
              <w:rPr>
                <w:szCs w:val="22"/>
              </w:rPr>
              <w:t>33</w:t>
            </w:r>
            <w:r w:rsidR="00F27BA4" w:rsidRPr="009B3505">
              <w:rPr>
                <w:szCs w:val="22"/>
              </w:rPr>
              <w:t>2</w:t>
            </w:r>
            <w:r w:rsidRPr="00CF6D0E">
              <w:rPr>
                <w:szCs w:val="22"/>
              </w:rPr>
              <w:t xml:space="preserve"> ongoing FTE reduction</w:t>
            </w:r>
          </w:p>
        </w:tc>
      </w:tr>
      <w:tr w:rsidR="0049084A" w:rsidRPr="008215CB" w14:paraId="3264C0CE" w14:textId="77777777" w:rsidTr="00F56D19">
        <w:trPr>
          <w:trHeight w:val="454"/>
        </w:trPr>
        <w:tc>
          <w:tcPr>
            <w:tcW w:w="7508" w:type="dxa"/>
            <w:gridSpan w:val="2"/>
            <w:tcBorders>
              <w:left w:val="single" w:sz="4" w:space="0" w:color="FFFFFF" w:themeColor="background1"/>
              <w:bottom w:val="single" w:sz="4" w:space="0" w:color="auto"/>
              <w:right w:val="single" w:sz="12" w:space="0" w:color="FFFFFF" w:themeColor="background1"/>
            </w:tcBorders>
          </w:tcPr>
          <w:p w14:paraId="7F984617" w14:textId="77777777" w:rsidR="0049084A" w:rsidRPr="008215CB" w:rsidRDefault="0049084A" w:rsidP="00B11BC3">
            <w:pPr>
              <w:spacing w:before="60"/>
              <w:rPr>
                <w:szCs w:val="22"/>
              </w:rPr>
            </w:pPr>
            <w:r w:rsidRPr="00D2340F">
              <w:rPr>
                <w:b/>
                <w:bCs/>
                <w:szCs w:val="22"/>
              </w:rPr>
              <w:t>Recommendation</w:t>
            </w:r>
          </w:p>
        </w:tc>
        <w:tc>
          <w:tcPr>
            <w:tcW w:w="1843" w:type="dxa"/>
            <w:tcBorders>
              <w:left w:val="single" w:sz="12" w:space="0" w:color="FFFFFF" w:themeColor="background1"/>
              <w:bottom w:val="single" w:sz="4" w:space="0" w:color="auto"/>
              <w:right w:val="single" w:sz="12" w:space="0" w:color="FFFFFF" w:themeColor="background1"/>
            </w:tcBorders>
          </w:tcPr>
          <w:p w14:paraId="0FC5CD61" w14:textId="2F8E2AC7" w:rsidR="0049084A" w:rsidRPr="008215CB" w:rsidRDefault="0049084A" w:rsidP="00B11BC3">
            <w:pPr>
              <w:spacing w:before="60"/>
              <w:jc w:val="right"/>
              <w:rPr>
                <w:szCs w:val="22"/>
              </w:rPr>
            </w:pPr>
            <w:r w:rsidRPr="00D2340F">
              <w:rPr>
                <w:b/>
                <w:bCs/>
                <w:szCs w:val="22"/>
              </w:rPr>
              <w:t>Accountability</w:t>
            </w:r>
          </w:p>
        </w:tc>
      </w:tr>
      <w:tr w:rsidR="0049084A" w:rsidRPr="008215CB" w14:paraId="4F5F8DFA" w14:textId="77777777" w:rsidTr="00F56D19">
        <w:tc>
          <w:tcPr>
            <w:tcW w:w="704" w:type="dxa"/>
            <w:tcBorders>
              <w:left w:val="single" w:sz="4" w:space="0" w:color="FFFFFF" w:themeColor="background1"/>
              <w:bottom w:val="nil"/>
              <w:right w:val="nil"/>
            </w:tcBorders>
          </w:tcPr>
          <w:p w14:paraId="5E456C03" w14:textId="77777777" w:rsidR="0049084A" w:rsidRPr="00B0730B" w:rsidRDefault="0049084A" w:rsidP="009300F7">
            <w:pPr>
              <w:spacing w:before="60"/>
              <w:rPr>
                <w:b/>
                <w:bCs/>
                <w:szCs w:val="22"/>
              </w:rPr>
            </w:pPr>
            <w:r w:rsidRPr="00B0730B">
              <w:rPr>
                <w:b/>
                <w:bCs/>
                <w:szCs w:val="22"/>
              </w:rPr>
              <w:t>5.1</w:t>
            </w:r>
          </w:p>
        </w:tc>
        <w:tc>
          <w:tcPr>
            <w:tcW w:w="6804" w:type="dxa"/>
            <w:tcBorders>
              <w:left w:val="nil"/>
              <w:bottom w:val="nil"/>
              <w:right w:val="single" w:sz="4" w:space="0" w:color="F2F2F2" w:themeColor="background1" w:themeShade="F2"/>
            </w:tcBorders>
          </w:tcPr>
          <w:p w14:paraId="69A4AA7D" w14:textId="77777777" w:rsidR="0049084A" w:rsidRDefault="0049084A" w:rsidP="009300F7">
            <w:pPr>
              <w:spacing w:before="60"/>
              <w:rPr>
                <w:szCs w:val="22"/>
              </w:rPr>
            </w:pPr>
            <w:r w:rsidRPr="009B3505">
              <w:rPr>
                <w:szCs w:val="22"/>
              </w:rPr>
              <w:t>Reduce SES and STS roles</w:t>
            </w:r>
            <w:r w:rsidR="0085420B" w:rsidRPr="009B3505">
              <w:rPr>
                <w:szCs w:val="22"/>
              </w:rPr>
              <w:t xml:space="preserve"> by </w:t>
            </w:r>
            <w:r w:rsidR="001D5B61" w:rsidRPr="009B3505">
              <w:rPr>
                <w:szCs w:val="22"/>
              </w:rPr>
              <w:t>332</w:t>
            </w:r>
            <w:r w:rsidR="0085420B" w:rsidRPr="009B3505">
              <w:rPr>
                <w:szCs w:val="22"/>
              </w:rPr>
              <w:t xml:space="preserve"> FTE</w:t>
            </w:r>
            <w:r w:rsidR="00EE2649" w:rsidRPr="009B3505">
              <w:rPr>
                <w:szCs w:val="22"/>
              </w:rPr>
              <w:t xml:space="preserve"> in departments and some large entities</w:t>
            </w:r>
            <w:r w:rsidRPr="009B3505">
              <w:rPr>
                <w:szCs w:val="22"/>
              </w:rPr>
              <w:t>, capped at 15 per cent</w:t>
            </w:r>
            <w:r w:rsidR="00D01F20" w:rsidRPr="009B3505">
              <w:rPr>
                <w:szCs w:val="22"/>
              </w:rPr>
              <w:t xml:space="preserve"> for departments</w:t>
            </w:r>
            <w:r w:rsidRPr="009B3505">
              <w:rPr>
                <w:szCs w:val="22"/>
              </w:rPr>
              <w:t xml:space="preserve">, </w:t>
            </w:r>
            <w:r w:rsidR="003C3CDC" w:rsidRPr="009B3505">
              <w:rPr>
                <w:szCs w:val="22"/>
              </w:rPr>
              <w:t>to return towards 2019 executive to staff ratios</w:t>
            </w:r>
            <w:r w:rsidRPr="008215CB">
              <w:rPr>
                <w:szCs w:val="22"/>
              </w:rPr>
              <w:t>.</w:t>
            </w:r>
          </w:p>
          <w:p w14:paraId="420F1E2F" w14:textId="6C3385CA" w:rsidR="0049084A" w:rsidRPr="008215CB" w:rsidRDefault="0049084A" w:rsidP="00936E31">
            <w:pPr>
              <w:rPr>
                <w:szCs w:val="22"/>
              </w:rPr>
            </w:pPr>
          </w:p>
        </w:tc>
        <w:tc>
          <w:tcPr>
            <w:tcW w:w="1843" w:type="dxa"/>
            <w:tcBorders>
              <w:left w:val="single" w:sz="4" w:space="0" w:color="F2F2F2" w:themeColor="background1" w:themeShade="F2"/>
              <w:bottom w:val="single" w:sz="4" w:space="0" w:color="FFFFFF" w:themeColor="background1"/>
              <w:right w:val="single" w:sz="12" w:space="0" w:color="FFFFFF" w:themeColor="background1"/>
            </w:tcBorders>
          </w:tcPr>
          <w:p w14:paraId="5905CCB6" w14:textId="77777777" w:rsidR="0049084A" w:rsidRPr="00AE2107" w:rsidRDefault="0049084A" w:rsidP="009300F7">
            <w:pPr>
              <w:spacing w:before="60"/>
              <w:jc w:val="right"/>
              <w:rPr>
                <w:b/>
                <w:bCs/>
                <w:szCs w:val="22"/>
              </w:rPr>
            </w:pPr>
            <w:r w:rsidRPr="2B54236E">
              <w:rPr>
                <w:b/>
                <w:bCs/>
                <w:szCs w:val="22"/>
              </w:rPr>
              <w:t xml:space="preserve">All </w:t>
            </w:r>
            <w:r>
              <w:rPr>
                <w:b/>
                <w:bCs/>
                <w:szCs w:val="22"/>
              </w:rPr>
              <w:t>S</w:t>
            </w:r>
            <w:r w:rsidRPr="2B54236E">
              <w:rPr>
                <w:b/>
                <w:bCs/>
                <w:szCs w:val="22"/>
              </w:rPr>
              <w:t>ecretaries</w:t>
            </w:r>
          </w:p>
          <w:p w14:paraId="4E8B4193" w14:textId="77777777" w:rsidR="0049084A" w:rsidRPr="00AE2107" w:rsidRDefault="0049084A" w:rsidP="009300F7">
            <w:pPr>
              <w:spacing w:before="60"/>
              <w:jc w:val="right"/>
              <w:rPr>
                <w:b/>
                <w:bCs/>
                <w:szCs w:val="22"/>
              </w:rPr>
            </w:pPr>
          </w:p>
        </w:tc>
      </w:tr>
      <w:tr w:rsidR="0049084A" w:rsidRPr="008215CB" w14:paraId="77F45CBC" w14:textId="77777777" w:rsidTr="00F56D19">
        <w:tc>
          <w:tcPr>
            <w:tcW w:w="704" w:type="dxa"/>
            <w:tcBorders>
              <w:top w:val="nil"/>
              <w:left w:val="single" w:sz="4" w:space="0" w:color="FFFFFF" w:themeColor="background1"/>
              <w:bottom w:val="nil"/>
              <w:right w:val="nil"/>
            </w:tcBorders>
          </w:tcPr>
          <w:p w14:paraId="1FD6870A" w14:textId="77777777" w:rsidR="0049084A" w:rsidRPr="00B0730B" w:rsidRDefault="0049084A" w:rsidP="00352512">
            <w:pPr>
              <w:rPr>
                <w:b/>
                <w:bCs/>
                <w:szCs w:val="22"/>
              </w:rPr>
            </w:pPr>
            <w:r w:rsidRPr="00B0730B">
              <w:rPr>
                <w:b/>
                <w:bCs/>
                <w:szCs w:val="22"/>
              </w:rPr>
              <w:t>5.2</w:t>
            </w:r>
          </w:p>
        </w:tc>
        <w:tc>
          <w:tcPr>
            <w:tcW w:w="6804" w:type="dxa"/>
            <w:tcBorders>
              <w:top w:val="nil"/>
              <w:left w:val="nil"/>
              <w:bottom w:val="nil"/>
              <w:right w:val="single" w:sz="4" w:space="0" w:color="F2F2F2" w:themeColor="background1" w:themeShade="F2"/>
            </w:tcBorders>
          </w:tcPr>
          <w:p w14:paraId="04074E99" w14:textId="3E2580D8" w:rsidR="0049084A" w:rsidRDefault="0049084A" w:rsidP="00352512">
            <w:pPr>
              <w:rPr>
                <w:szCs w:val="22"/>
              </w:rPr>
            </w:pPr>
            <w:r w:rsidRPr="009238E8">
              <w:rPr>
                <w:szCs w:val="22"/>
              </w:rPr>
              <w:t>Rebalance the proportion of VPS5 and VPS6 positions, capped at 15</w:t>
            </w:r>
            <w:r w:rsidR="003D6624">
              <w:rPr>
                <w:szCs w:val="22"/>
              </w:rPr>
              <w:t> </w:t>
            </w:r>
            <w:r w:rsidRPr="009238E8">
              <w:rPr>
                <w:szCs w:val="22"/>
              </w:rPr>
              <w:t>per cent, towards pre-pandemic profiles that included more staff</w:t>
            </w:r>
            <w:r w:rsidR="00BE3685">
              <w:rPr>
                <w:szCs w:val="22"/>
              </w:rPr>
              <w:t> </w:t>
            </w:r>
            <w:r w:rsidRPr="009238E8">
              <w:rPr>
                <w:szCs w:val="22"/>
              </w:rPr>
              <w:t>at junior classifications, and create space for additional graduate positions. </w:t>
            </w:r>
          </w:p>
          <w:p w14:paraId="275EED65" w14:textId="77777777" w:rsidR="0049084A" w:rsidRPr="008215CB" w:rsidRDefault="0049084A" w:rsidP="00352512">
            <w:pPr>
              <w:rPr>
                <w:szCs w:val="22"/>
              </w:rPr>
            </w:pPr>
            <w:r w:rsidRPr="009238E8">
              <w:rPr>
                <w:szCs w:val="22"/>
              </w:rPr>
              <w:t> </w:t>
            </w:r>
          </w:p>
        </w:tc>
        <w:tc>
          <w:tcPr>
            <w:tcW w:w="1843" w:type="dxa"/>
            <w:tcBorders>
              <w:top w:val="single" w:sz="4" w:space="0" w:color="FFFFFF" w:themeColor="background1"/>
              <w:left w:val="single" w:sz="4" w:space="0" w:color="F2F2F2" w:themeColor="background1" w:themeShade="F2"/>
              <w:bottom w:val="single" w:sz="4" w:space="0" w:color="FFFFFF" w:themeColor="background1"/>
              <w:right w:val="single" w:sz="4" w:space="0" w:color="FFFFFF" w:themeColor="background1"/>
            </w:tcBorders>
          </w:tcPr>
          <w:p w14:paraId="7FC5FCCD" w14:textId="77777777" w:rsidR="0049084A" w:rsidRPr="00AE2107" w:rsidRDefault="0049084A" w:rsidP="006B359A">
            <w:pPr>
              <w:jc w:val="right"/>
              <w:rPr>
                <w:b/>
                <w:bCs/>
                <w:szCs w:val="22"/>
              </w:rPr>
            </w:pPr>
            <w:r w:rsidRPr="2B54236E">
              <w:rPr>
                <w:b/>
                <w:bCs/>
                <w:szCs w:val="22"/>
              </w:rPr>
              <w:t xml:space="preserve">All </w:t>
            </w:r>
            <w:r>
              <w:rPr>
                <w:b/>
                <w:bCs/>
                <w:szCs w:val="22"/>
              </w:rPr>
              <w:t>S</w:t>
            </w:r>
            <w:r w:rsidRPr="2B54236E">
              <w:rPr>
                <w:b/>
                <w:bCs/>
                <w:szCs w:val="22"/>
              </w:rPr>
              <w:t>ecretaries</w:t>
            </w:r>
          </w:p>
          <w:p w14:paraId="69803EC1" w14:textId="77777777" w:rsidR="0049084A" w:rsidRPr="00AE2107" w:rsidRDefault="0049084A" w:rsidP="006B359A">
            <w:pPr>
              <w:jc w:val="right"/>
              <w:rPr>
                <w:b/>
                <w:bCs/>
                <w:szCs w:val="22"/>
              </w:rPr>
            </w:pPr>
          </w:p>
        </w:tc>
      </w:tr>
      <w:tr w:rsidR="0049084A" w:rsidRPr="008215CB" w14:paraId="08E4945C" w14:textId="77777777" w:rsidTr="00F56D19">
        <w:tc>
          <w:tcPr>
            <w:tcW w:w="704" w:type="dxa"/>
            <w:tcBorders>
              <w:top w:val="nil"/>
              <w:left w:val="single" w:sz="4" w:space="0" w:color="FFFFFF" w:themeColor="background1"/>
              <w:bottom w:val="nil"/>
              <w:right w:val="nil"/>
            </w:tcBorders>
          </w:tcPr>
          <w:p w14:paraId="74968457" w14:textId="77777777" w:rsidR="0049084A" w:rsidRPr="00B0730B" w:rsidRDefault="0049084A" w:rsidP="00352512">
            <w:pPr>
              <w:rPr>
                <w:b/>
                <w:bCs/>
                <w:szCs w:val="22"/>
              </w:rPr>
            </w:pPr>
            <w:r w:rsidRPr="00B0730B">
              <w:rPr>
                <w:b/>
                <w:bCs/>
                <w:szCs w:val="22"/>
              </w:rPr>
              <w:t>5.3</w:t>
            </w:r>
          </w:p>
        </w:tc>
        <w:tc>
          <w:tcPr>
            <w:tcW w:w="6804" w:type="dxa"/>
            <w:tcBorders>
              <w:top w:val="nil"/>
              <w:left w:val="nil"/>
              <w:bottom w:val="nil"/>
              <w:right w:val="single" w:sz="4" w:space="0" w:color="F2F2F2" w:themeColor="background1" w:themeShade="F2"/>
            </w:tcBorders>
          </w:tcPr>
          <w:p w14:paraId="4D5FFB1C" w14:textId="029A5B15" w:rsidR="0049084A" w:rsidRPr="008215CB" w:rsidRDefault="0049084A" w:rsidP="00352512">
            <w:pPr>
              <w:rPr>
                <w:szCs w:val="22"/>
              </w:rPr>
            </w:pPr>
            <w:r w:rsidRPr="008215CB">
              <w:rPr>
                <w:szCs w:val="22"/>
              </w:rPr>
              <w:t>Require Secretaries, in implementing staff and salary reductions, to:</w:t>
            </w:r>
          </w:p>
          <w:p w14:paraId="76314499" w14:textId="76A4E6D4" w:rsidR="0049084A" w:rsidRPr="008215CB" w:rsidRDefault="0049084A" w:rsidP="00D207B3">
            <w:pPr>
              <w:pStyle w:val="ListParagraph"/>
              <w:numPr>
                <w:ilvl w:val="0"/>
                <w:numId w:val="29"/>
              </w:numPr>
              <w:spacing w:before="240" w:after="160" w:line="278" w:lineRule="auto"/>
              <w:contextualSpacing w:val="0"/>
              <w:rPr>
                <w:szCs w:val="22"/>
              </w:rPr>
            </w:pPr>
            <w:r w:rsidRPr="008215CB">
              <w:rPr>
                <w:szCs w:val="22"/>
              </w:rPr>
              <w:t xml:space="preserve">Restructure departments with a view to removing layers and widening spans of control, consistent with principles of good </w:t>
            </w:r>
            <w:proofErr w:type="spellStart"/>
            <w:r w:rsidRPr="008215CB">
              <w:rPr>
                <w:szCs w:val="22"/>
              </w:rPr>
              <w:t>organisational</w:t>
            </w:r>
            <w:proofErr w:type="spellEnd"/>
            <w:r w:rsidRPr="008215CB">
              <w:rPr>
                <w:szCs w:val="22"/>
              </w:rPr>
              <w:t xml:space="preserve"> design, including removal of any non-standard roles not aligned to a level in the classification structure.</w:t>
            </w:r>
          </w:p>
          <w:p w14:paraId="5B21A335" w14:textId="70BF0269" w:rsidR="0049084A" w:rsidRPr="005A14F3" w:rsidRDefault="0049084A" w:rsidP="00D207B3">
            <w:pPr>
              <w:pStyle w:val="ListParagraph"/>
              <w:numPr>
                <w:ilvl w:val="0"/>
                <w:numId w:val="29"/>
              </w:numPr>
              <w:spacing w:after="160" w:line="278" w:lineRule="auto"/>
              <w:contextualSpacing w:val="0"/>
              <w:rPr>
                <w:szCs w:val="22"/>
              </w:rPr>
            </w:pPr>
            <w:r w:rsidRPr="008215CB">
              <w:rPr>
                <w:szCs w:val="22"/>
              </w:rPr>
              <w:t>Adopt new ways of working and delegating that remove excessive layers of clearance</w:t>
            </w:r>
            <w:r w:rsidR="00F72F14">
              <w:rPr>
                <w:szCs w:val="22"/>
              </w:rPr>
              <w:t>.</w:t>
            </w:r>
            <w:r w:rsidRPr="008215CB">
              <w:rPr>
                <w:szCs w:val="22"/>
              </w:rPr>
              <w:t xml:space="preserve"> </w:t>
            </w:r>
          </w:p>
        </w:tc>
        <w:tc>
          <w:tcPr>
            <w:tcW w:w="1843" w:type="dxa"/>
            <w:tcBorders>
              <w:top w:val="single" w:sz="4" w:space="0" w:color="FFFFFF" w:themeColor="background1"/>
              <w:left w:val="single" w:sz="4" w:space="0" w:color="F2F2F2" w:themeColor="background1" w:themeShade="F2"/>
              <w:bottom w:val="single" w:sz="4" w:space="0" w:color="FFFFFF" w:themeColor="background1"/>
              <w:right w:val="single" w:sz="4" w:space="0" w:color="FFFFFF" w:themeColor="background1"/>
            </w:tcBorders>
          </w:tcPr>
          <w:p w14:paraId="347F0B63" w14:textId="77777777" w:rsidR="0049084A" w:rsidRPr="00AE2107" w:rsidRDefault="0049084A" w:rsidP="006B359A">
            <w:pPr>
              <w:jc w:val="right"/>
              <w:rPr>
                <w:b/>
                <w:bCs/>
                <w:szCs w:val="22"/>
              </w:rPr>
            </w:pPr>
            <w:r w:rsidRPr="2B54236E">
              <w:rPr>
                <w:b/>
                <w:bCs/>
                <w:szCs w:val="22"/>
              </w:rPr>
              <w:t xml:space="preserve">All </w:t>
            </w:r>
            <w:r>
              <w:rPr>
                <w:b/>
                <w:bCs/>
                <w:szCs w:val="22"/>
              </w:rPr>
              <w:t>S</w:t>
            </w:r>
            <w:r w:rsidRPr="2B54236E">
              <w:rPr>
                <w:b/>
                <w:bCs/>
                <w:szCs w:val="22"/>
              </w:rPr>
              <w:t>ecretaries</w:t>
            </w:r>
          </w:p>
        </w:tc>
      </w:tr>
      <w:tr w:rsidR="0049084A" w:rsidRPr="008215CB" w14:paraId="5272CFBE" w14:textId="77777777" w:rsidTr="00F56D19">
        <w:tc>
          <w:tcPr>
            <w:tcW w:w="704" w:type="dxa"/>
            <w:tcBorders>
              <w:top w:val="nil"/>
              <w:left w:val="single" w:sz="4" w:space="0" w:color="FFFFFF" w:themeColor="background1"/>
              <w:bottom w:val="nil"/>
              <w:right w:val="nil"/>
            </w:tcBorders>
          </w:tcPr>
          <w:p w14:paraId="441C3429" w14:textId="77777777" w:rsidR="0049084A" w:rsidRPr="00B0730B" w:rsidRDefault="0049084A" w:rsidP="00352512">
            <w:pPr>
              <w:rPr>
                <w:b/>
                <w:bCs/>
                <w:szCs w:val="22"/>
              </w:rPr>
            </w:pPr>
            <w:r w:rsidRPr="00B0730B">
              <w:rPr>
                <w:b/>
                <w:bCs/>
                <w:szCs w:val="22"/>
              </w:rPr>
              <w:t>5.4</w:t>
            </w:r>
          </w:p>
        </w:tc>
        <w:tc>
          <w:tcPr>
            <w:tcW w:w="6804" w:type="dxa"/>
            <w:tcBorders>
              <w:top w:val="nil"/>
              <w:left w:val="nil"/>
              <w:bottom w:val="nil"/>
              <w:right w:val="single" w:sz="4" w:space="0" w:color="F2F2F2" w:themeColor="background1" w:themeShade="F2"/>
            </w:tcBorders>
          </w:tcPr>
          <w:p w14:paraId="0909DF37" w14:textId="77777777" w:rsidR="0049084A" w:rsidRPr="008215CB" w:rsidRDefault="0049084A" w:rsidP="00352512">
            <w:pPr>
              <w:rPr>
                <w:szCs w:val="22"/>
              </w:rPr>
            </w:pPr>
            <w:r w:rsidRPr="008215CB">
              <w:rPr>
                <w:szCs w:val="22"/>
              </w:rPr>
              <w:t xml:space="preserve">Improve VPS employee data systems by introducing a workforce identifier. </w:t>
            </w:r>
          </w:p>
          <w:p w14:paraId="5AC4FE0C" w14:textId="77777777" w:rsidR="0049084A" w:rsidRPr="008215CB" w:rsidRDefault="0049084A" w:rsidP="00352512">
            <w:pPr>
              <w:rPr>
                <w:szCs w:val="22"/>
              </w:rPr>
            </w:pPr>
          </w:p>
        </w:tc>
        <w:tc>
          <w:tcPr>
            <w:tcW w:w="1843" w:type="dxa"/>
            <w:tcBorders>
              <w:top w:val="single" w:sz="4" w:space="0" w:color="FFFFFF" w:themeColor="background1"/>
              <w:left w:val="single" w:sz="4" w:space="0" w:color="F2F2F2" w:themeColor="background1" w:themeShade="F2"/>
              <w:bottom w:val="single" w:sz="4" w:space="0" w:color="FFFFFF" w:themeColor="background1"/>
              <w:right w:val="single" w:sz="4" w:space="0" w:color="FFFFFF" w:themeColor="background1"/>
            </w:tcBorders>
          </w:tcPr>
          <w:p w14:paraId="5252ED9F" w14:textId="129241A8" w:rsidR="0049084A" w:rsidRPr="00AE2107" w:rsidRDefault="0049084A" w:rsidP="006B359A">
            <w:pPr>
              <w:jc w:val="right"/>
              <w:rPr>
                <w:b/>
                <w:bCs/>
                <w:szCs w:val="22"/>
              </w:rPr>
            </w:pPr>
            <w:r w:rsidRPr="2B54236E">
              <w:rPr>
                <w:b/>
                <w:bCs/>
                <w:szCs w:val="22"/>
              </w:rPr>
              <w:t>DGS</w:t>
            </w:r>
            <w:r w:rsidR="002E3E93">
              <w:rPr>
                <w:b/>
                <w:bCs/>
                <w:szCs w:val="22"/>
              </w:rPr>
              <w:t xml:space="preserve"> </w:t>
            </w:r>
            <w:r w:rsidR="0066328B">
              <w:rPr>
                <w:b/>
                <w:bCs/>
                <w:szCs w:val="22"/>
              </w:rPr>
              <w:t>/</w:t>
            </w:r>
            <w:r w:rsidR="002E3E93">
              <w:rPr>
                <w:b/>
                <w:bCs/>
                <w:szCs w:val="22"/>
              </w:rPr>
              <w:t xml:space="preserve"> </w:t>
            </w:r>
            <w:r w:rsidR="00346E07" w:rsidRPr="00C3798C">
              <w:rPr>
                <w:b/>
                <w:szCs w:val="22"/>
              </w:rPr>
              <w:t>VPSC</w:t>
            </w:r>
          </w:p>
        </w:tc>
      </w:tr>
      <w:tr w:rsidR="0049084A" w:rsidRPr="008215CB" w14:paraId="12DECC2A" w14:textId="77777777" w:rsidTr="00F56D19">
        <w:tc>
          <w:tcPr>
            <w:tcW w:w="704" w:type="dxa"/>
            <w:tcBorders>
              <w:top w:val="nil"/>
              <w:left w:val="single" w:sz="4" w:space="0" w:color="FFFFFF" w:themeColor="background1"/>
              <w:bottom w:val="nil"/>
              <w:right w:val="nil"/>
            </w:tcBorders>
          </w:tcPr>
          <w:p w14:paraId="199883D8" w14:textId="77777777" w:rsidR="0049084A" w:rsidRPr="00B0730B" w:rsidRDefault="0049084A" w:rsidP="00352512">
            <w:pPr>
              <w:rPr>
                <w:b/>
                <w:bCs/>
                <w:szCs w:val="22"/>
              </w:rPr>
            </w:pPr>
            <w:r w:rsidRPr="00B0730B">
              <w:rPr>
                <w:b/>
                <w:bCs/>
                <w:szCs w:val="22"/>
              </w:rPr>
              <w:t>5.5</w:t>
            </w:r>
          </w:p>
        </w:tc>
        <w:tc>
          <w:tcPr>
            <w:tcW w:w="6804" w:type="dxa"/>
            <w:tcBorders>
              <w:top w:val="nil"/>
              <w:left w:val="nil"/>
              <w:bottom w:val="nil"/>
              <w:right w:val="single" w:sz="4" w:space="0" w:color="F2F2F2" w:themeColor="background1" w:themeShade="F2"/>
            </w:tcBorders>
          </w:tcPr>
          <w:p w14:paraId="0B06A474" w14:textId="183B66CB" w:rsidR="0049084A" w:rsidRPr="008215CB" w:rsidRDefault="0049084A" w:rsidP="00352512">
            <w:pPr>
              <w:rPr>
                <w:szCs w:val="22"/>
              </w:rPr>
            </w:pPr>
            <w:r w:rsidRPr="008215CB">
              <w:rPr>
                <w:szCs w:val="22"/>
              </w:rPr>
              <w:t xml:space="preserve">Establish and implement a protocol between the executive </w:t>
            </w:r>
            <w:r>
              <w:rPr>
                <w:szCs w:val="22"/>
              </w:rPr>
              <w:t xml:space="preserve">government </w:t>
            </w:r>
            <w:r w:rsidRPr="008215CB">
              <w:rPr>
                <w:szCs w:val="22"/>
              </w:rPr>
              <w:t xml:space="preserve">and the </w:t>
            </w:r>
            <w:r w:rsidR="00FB3DB7">
              <w:rPr>
                <w:szCs w:val="22"/>
              </w:rPr>
              <w:t>VPS</w:t>
            </w:r>
            <w:r w:rsidRPr="008215CB">
              <w:rPr>
                <w:szCs w:val="22"/>
              </w:rPr>
              <w:t xml:space="preserve"> that defines roles, </w:t>
            </w:r>
            <w:proofErr w:type="spellStart"/>
            <w:r w:rsidRPr="008215CB">
              <w:rPr>
                <w:szCs w:val="22"/>
              </w:rPr>
              <w:t>recognises</w:t>
            </w:r>
            <w:proofErr w:type="spellEnd"/>
            <w:r w:rsidRPr="008215CB">
              <w:rPr>
                <w:szCs w:val="22"/>
              </w:rPr>
              <w:t xml:space="preserve"> </w:t>
            </w:r>
            <w:r w:rsidR="00AE6300">
              <w:rPr>
                <w:szCs w:val="22"/>
              </w:rPr>
              <w:t>capacity</w:t>
            </w:r>
            <w:r w:rsidRPr="008215CB">
              <w:rPr>
                <w:szCs w:val="22"/>
              </w:rPr>
              <w:t xml:space="preserve"> constraints, and promotes shared stewardship of government effectiveness. </w:t>
            </w:r>
          </w:p>
          <w:p w14:paraId="18DFA559" w14:textId="77777777" w:rsidR="0049084A" w:rsidRPr="008215CB" w:rsidRDefault="0049084A" w:rsidP="00352512">
            <w:pPr>
              <w:pStyle w:val="ListParagraph"/>
              <w:ind w:left="360"/>
              <w:rPr>
                <w:szCs w:val="22"/>
              </w:rPr>
            </w:pPr>
          </w:p>
        </w:tc>
        <w:tc>
          <w:tcPr>
            <w:tcW w:w="1843" w:type="dxa"/>
            <w:tcBorders>
              <w:top w:val="single" w:sz="4" w:space="0" w:color="FFFFFF" w:themeColor="background1"/>
              <w:left w:val="single" w:sz="4" w:space="0" w:color="F2F2F2" w:themeColor="background1" w:themeShade="F2"/>
              <w:bottom w:val="single" w:sz="4" w:space="0" w:color="FFFFFF" w:themeColor="background1"/>
              <w:right w:val="single" w:sz="4" w:space="0" w:color="FFFFFF" w:themeColor="background1"/>
            </w:tcBorders>
          </w:tcPr>
          <w:p w14:paraId="56D70B71" w14:textId="2974FAA4" w:rsidR="0049084A" w:rsidRPr="00AE2107" w:rsidRDefault="0049084A" w:rsidP="006B359A">
            <w:pPr>
              <w:jc w:val="right"/>
              <w:rPr>
                <w:b/>
                <w:bCs/>
                <w:szCs w:val="22"/>
              </w:rPr>
            </w:pPr>
            <w:r w:rsidRPr="00C3798C">
              <w:rPr>
                <w:b/>
                <w:szCs w:val="22"/>
              </w:rPr>
              <w:t>VPSC</w:t>
            </w:r>
            <w:r w:rsidR="002E3E93">
              <w:rPr>
                <w:b/>
                <w:bCs/>
                <w:szCs w:val="22"/>
              </w:rPr>
              <w:t xml:space="preserve"> / </w:t>
            </w:r>
            <w:r w:rsidR="003B1E82" w:rsidRPr="00C3798C">
              <w:rPr>
                <w:b/>
                <w:szCs w:val="22"/>
              </w:rPr>
              <w:t>DPC</w:t>
            </w:r>
          </w:p>
        </w:tc>
      </w:tr>
      <w:tr w:rsidR="0049084A" w:rsidRPr="008215CB" w14:paraId="502358C0" w14:textId="77777777" w:rsidTr="00F56D19">
        <w:tc>
          <w:tcPr>
            <w:tcW w:w="704" w:type="dxa"/>
            <w:tcBorders>
              <w:top w:val="nil"/>
              <w:left w:val="single" w:sz="4" w:space="0" w:color="FFFFFF" w:themeColor="background1"/>
              <w:bottom w:val="nil"/>
              <w:right w:val="nil"/>
            </w:tcBorders>
          </w:tcPr>
          <w:p w14:paraId="084B2022" w14:textId="77777777" w:rsidR="0049084A" w:rsidRPr="00B0730B" w:rsidRDefault="0049084A" w:rsidP="00352512">
            <w:pPr>
              <w:rPr>
                <w:b/>
                <w:bCs/>
                <w:szCs w:val="22"/>
              </w:rPr>
            </w:pPr>
            <w:r w:rsidRPr="00B0730B">
              <w:rPr>
                <w:b/>
                <w:bCs/>
                <w:szCs w:val="22"/>
              </w:rPr>
              <w:t>5.6</w:t>
            </w:r>
          </w:p>
        </w:tc>
        <w:tc>
          <w:tcPr>
            <w:tcW w:w="6804" w:type="dxa"/>
            <w:tcBorders>
              <w:top w:val="nil"/>
              <w:left w:val="nil"/>
              <w:bottom w:val="nil"/>
              <w:right w:val="single" w:sz="4" w:space="0" w:color="F2F2F2" w:themeColor="background1" w:themeShade="F2"/>
            </w:tcBorders>
          </w:tcPr>
          <w:p w14:paraId="451C66A8" w14:textId="536D0A4E" w:rsidR="0049084A" w:rsidRPr="008215CB" w:rsidRDefault="0049084A" w:rsidP="00352512">
            <w:pPr>
              <w:rPr>
                <w:szCs w:val="22"/>
              </w:rPr>
            </w:pPr>
            <w:r w:rsidRPr="008215CB">
              <w:rPr>
                <w:szCs w:val="22"/>
              </w:rPr>
              <w:t xml:space="preserve">Establish and </w:t>
            </w:r>
            <w:r w:rsidR="00B72B81">
              <w:rPr>
                <w:szCs w:val="22"/>
              </w:rPr>
              <w:t>invest in</w:t>
            </w:r>
            <w:r w:rsidRPr="008215CB">
              <w:rPr>
                <w:szCs w:val="22"/>
              </w:rPr>
              <w:t xml:space="preserve"> a </w:t>
            </w:r>
            <w:r w:rsidR="00B72B81">
              <w:rPr>
                <w:szCs w:val="22"/>
              </w:rPr>
              <w:t>VPS c</w:t>
            </w:r>
            <w:r w:rsidRPr="008215CB">
              <w:rPr>
                <w:szCs w:val="22"/>
              </w:rPr>
              <w:t xml:space="preserve">apability </w:t>
            </w:r>
            <w:r w:rsidR="00B72B81">
              <w:rPr>
                <w:szCs w:val="22"/>
              </w:rPr>
              <w:t>r</w:t>
            </w:r>
            <w:r w:rsidRPr="008215CB">
              <w:rPr>
                <w:szCs w:val="22"/>
              </w:rPr>
              <w:t xml:space="preserve">eview </w:t>
            </w:r>
            <w:r w:rsidR="00B72B81">
              <w:rPr>
                <w:szCs w:val="22"/>
              </w:rPr>
              <w:t>p</w:t>
            </w:r>
            <w:r w:rsidRPr="008215CB">
              <w:rPr>
                <w:szCs w:val="22"/>
              </w:rPr>
              <w:t>rogram</w:t>
            </w:r>
            <w:r w:rsidR="00FE7314">
              <w:rPr>
                <w:szCs w:val="22"/>
              </w:rPr>
              <w:t>,</w:t>
            </w:r>
            <w:r w:rsidRPr="008215CB">
              <w:rPr>
                <w:szCs w:val="22"/>
              </w:rPr>
              <w:t xml:space="preserve"> commencing with a review of DGS. </w:t>
            </w:r>
          </w:p>
          <w:p w14:paraId="6D9B1E9C" w14:textId="77777777" w:rsidR="0049084A" w:rsidRPr="008215CB" w:rsidRDefault="0049084A" w:rsidP="00352512">
            <w:pPr>
              <w:rPr>
                <w:szCs w:val="22"/>
              </w:rPr>
            </w:pPr>
          </w:p>
        </w:tc>
        <w:tc>
          <w:tcPr>
            <w:tcW w:w="1843" w:type="dxa"/>
            <w:tcBorders>
              <w:top w:val="single" w:sz="4" w:space="0" w:color="FFFFFF" w:themeColor="background1"/>
              <w:left w:val="single" w:sz="4" w:space="0" w:color="F2F2F2" w:themeColor="background1" w:themeShade="F2"/>
              <w:bottom w:val="single" w:sz="4" w:space="0" w:color="FFFFFF" w:themeColor="background1"/>
              <w:right w:val="single" w:sz="4" w:space="0" w:color="FFFFFF" w:themeColor="background1"/>
            </w:tcBorders>
          </w:tcPr>
          <w:p w14:paraId="72F22FDE" w14:textId="6FECDB7D" w:rsidR="0049084A" w:rsidRPr="00AE2107" w:rsidRDefault="003B1E82" w:rsidP="006B359A">
            <w:pPr>
              <w:jc w:val="right"/>
              <w:rPr>
                <w:b/>
                <w:bCs/>
                <w:szCs w:val="22"/>
              </w:rPr>
            </w:pPr>
            <w:r w:rsidRPr="00C3798C">
              <w:rPr>
                <w:b/>
                <w:szCs w:val="22"/>
              </w:rPr>
              <w:t>VPSC</w:t>
            </w:r>
            <w:r w:rsidR="002E3E93">
              <w:rPr>
                <w:b/>
                <w:bCs/>
                <w:szCs w:val="22"/>
              </w:rPr>
              <w:t xml:space="preserve"> / </w:t>
            </w:r>
            <w:r w:rsidRPr="00C3798C">
              <w:rPr>
                <w:b/>
                <w:szCs w:val="22"/>
              </w:rPr>
              <w:t>DPC</w:t>
            </w:r>
          </w:p>
        </w:tc>
      </w:tr>
      <w:tr w:rsidR="0049084A" w:rsidRPr="008215CB" w14:paraId="05AC56BB" w14:textId="77777777" w:rsidTr="00F56D19">
        <w:tc>
          <w:tcPr>
            <w:tcW w:w="704" w:type="dxa"/>
            <w:tcBorders>
              <w:top w:val="nil"/>
              <w:left w:val="single" w:sz="4" w:space="0" w:color="FFFFFF" w:themeColor="background1"/>
              <w:bottom w:val="single" w:sz="4" w:space="0" w:color="auto"/>
              <w:right w:val="nil"/>
            </w:tcBorders>
          </w:tcPr>
          <w:p w14:paraId="77109663" w14:textId="77777777" w:rsidR="0049084A" w:rsidRPr="00B0730B" w:rsidRDefault="0049084A" w:rsidP="00352512">
            <w:pPr>
              <w:rPr>
                <w:b/>
                <w:bCs/>
                <w:szCs w:val="22"/>
              </w:rPr>
            </w:pPr>
            <w:r w:rsidRPr="00B0730B">
              <w:rPr>
                <w:b/>
                <w:bCs/>
                <w:szCs w:val="22"/>
              </w:rPr>
              <w:t>5.7</w:t>
            </w:r>
          </w:p>
        </w:tc>
        <w:tc>
          <w:tcPr>
            <w:tcW w:w="6804" w:type="dxa"/>
            <w:tcBorders>
              <w:top w:val="nil"/>
              <w:left w:val="nil"/>
              <w:bottom w:val="single" w:sz="4" w:space="0" w:color="auto"/>
              <w:right w:val="single" w:sz="4" w:space="0" w:color="F2F2F2" w:themeColor="background1" w:themeShade="F2"/>
            </w:tcBorders>
          </w:tcPr>
          <w:p w14:paraId="52664F99" w14:textId="4278F1E0" w:rsidR="0049084A" w:rsidRPr="008215CB" w:rsidRDefault="0049084A" w:rsidP="00AE0D5B">
            <w:pPr>
              <w:spacing w:afterLines="60" w:after="144"/>
              <w:rPr>
                <w:szCs w:val="22"/>
              </w:rPr>
            </w:pPr>
            <w:r w:rsidRPr="008215CB">
              <w:rPr>
                <w:szCs w:val="22"/>
              </w:rPr>
              <w:t>Task and equip the VPSC</w:t>
            </w:r>
            <w:r w:rsidR="00495509">
              <w:rPr>
                <w:szCs w:val="22"/>
              </w:rPr>
              <w:t>, supported by DPC,</w:t>
            </w:r>
            <w:r w:rsidRPr="008215CB">
              <w:rPr>
                <w:szCs w:val="22"/>
              </w:rPr>
              <w:t xml:space="preserve"> to play a stronger VPS workforce strategy development role</w:t>
            </w:r>
            <w:r w:rsidR="002425A7">
              <w:rPr>
                <w:szCs w:val="22"/>
              </w:rPr>
              <w:t>,</w:t>
            </w:r>
            <w:r w:rsidRPr="008215CB">
              <w:rPr>
                <w:szCs w:val="22"/>
              </w:rPr>
              <w:t xml:space="preserve"> including:</w:t>
            </w:r>
          </w:p>
          <w:p w14:paraId="5EEA237C" w14:textId="257BEE81" w:rsidR="00343A4B" w:rsidRPr="00343A4B" w:rsidRDefault="00343A4B" w:rsidP="00270253">
            <w:pPr>
              <w:pStyle w:val="ListParagraph"/>
              <w:numPr>
                <w:ilvl w:val="0"/>
                <w:numId w:val="61"/>
              </w:numPr>
              <w:spacing w:afterLines="60" w:after="144" w:line="278" w:lineRule="auto"/>
              <w:ind w:left="357" w:hanging="357"/>
              <w:contextualSpacing w:val="0"/>
              <w:rPr>
                <w:szCs w:val="22"/>
              </w:rPr>
            </w:pPr>
            <w:r w:rsidRPr="00343A4B">
              <w:rPr>
                <w:szCs w:val="22"/>
              </w:rPr>
              <w:t>Designing and leading the implementation of a capability review</w:t>
            </w:r>
            <w:r w:rsidR="00CB2999">
              <w:rPr>
                <w:szCs w:val="22"/>
              </w:rPr>
              <w:t> </w:t>
            </w:r>
            <w:r w:rsidRPr="00343A4B">
              <w:rPr>
                <w:szCs w:val="22"/>
              </w:rPr>
              <w:t>program</w:t>
            </w:r>
          </w:p>
          <w:p w14:paraId="70A3E60B" w14:textId="6DF860D7" w:rsidR="0049084A" w:rsidRPr="008215CB" w:rsidRDefault="0049084A" w:rsidP="00AE0D5B">
            <w:pPr>
              <w:pStyle w:val="ListParagraph"/>
              <w:numPr>
                <w:ilvl w:val="0"/>
                <w:numId w:val="61"/>
              </w:numPr>
              <w:spacing w:afterLines="60" w:after="144" w:line="278" w:lineRule="auto"/>
              <w:ind w:left="357" w:hanging="357"/>
              <w:contextualSpacing w:val="0"/>
              <w:rPr>
                <w:szCs w:val="22"/>
              </w:rPr>
            </w:pPr>
            <w:r w:rsidRPr="008215CB">
              <w:rPr>
                <w:szCs w:val="22"/>
              </w:rPr>
              <w:t xml:space="preserve">Issuing new guidance on </w:t>
            </w:r>
            <w:proofErr w:type="spellStart"/>
            <w:r w:rsidRPr="008215CB">
              <w:rPr>
                <w:szCs w:val="22"/>
              </w:rPr>
              <w:t>organisational</w:t>
            </w:r>
            <w:proofErr w:type="spellEnd"/>
            <w:r w:rsidRPr="008215CB">
              <w:rPr>
                <w:szCs w:val="22"/>
              </w:rPr>
              <w:t xml:space="preserve"> design</w:t>
            </w:r>
          </w:p>
          <w:p w14:paraId="5ABD2FDA" w14:textId="77777777" w:rsidR="0049084A" w:rsidRPr="008215CB" w:rsidRDefault="0049084A" w:rsidP="00AE0D5B">
            <w:pPr>
              <w:pStyle w:val="ListParagraph"/>
              <w:numPr>
                <w:ilvl w:val="0"/>
                <w:numId w:val="61"/>
              </w:numPr>
              <w:spacing w:afterLines="60" w:after="144" w:line="278" w:lineRule="auto"/>
              <w:ind w:left="357" w:hanging="357"/>
              <w:contextualSpacing w:val="0"/>
              <w:rPr>
                <w:szCs w:val="22"/>
              </w:rPr>
            </w:pPr>
            <w:r w:rsidRPr="008215CB">
              <w:rPr>
                <w:szCs w:val="22"/>
              </w:rPr>
              <w:t>Disseminating advice on work value and re-sizing roles</w:t>
            </w:r>
          </w:p>
          <w:p w14:paraId="26E1A1C7" w14:textId="77777777" w:rsidR="0049084A" w:rsidRPr="00AE2107" w:rsidRDefault="0049084A" w:rsidP="00AE0D5B">
            <w:pPr>
              <w:pStyle w:val="ListParagraph"/>
              <w:numPr>
                <w:ilvl w:val="0"/>
                <w:numId w:val="61"/>
              </w:numPr>
              <w:spacing w:afterLines="60" w:after="144" w:line="278" w:lineRule="auto"/>
              <w:ind w:left="357" w:hanging="357"/>
              <w:contextualSpacing w:val="0"/>
              <w:rPr>
                <w:szCs w:val="22"/>
              </w:rPr>
            </w:pPr>
            <w:r w:rsidRPr="008215CB">
              <w:rPr>
                <w:szCs w:val="22"/>
              </w:rPr>
              <w:t xml:space="preserve">Monitoring departments’ implementation (in partnership with DTF) of the structural changes recommended by the Review. </w:t>
            </w:r>
          </w:p>
        </w:tc>
        <w:tc>
          <w:tcPr>
            <w:tcW w:w="1843" w:type="dxa"/>
            <w:tcBorders>
              <w:top w:val="single" w:sz="4" w:space="0" w:color="FFFFFF" w:themeColor="background1"/>
              <w:left w:val="single" w:sz="4" w:space="0" w:color="F2F2F2" w:themeColor="background1" w:themeShade="F2"/>
              <w:bottom w:val="single" w:sz="4" w:space="0" w:color="auto"/>
              <w:right w:val="single" w:sz="4" w:space="0" w:color="FFFFFF" w:themeColor="background1"/>
            </w:tcBorders>
          </w:tcPr>
          <w:p w14:paraId="39081221" w14:textId="4BE0FFB7" w:rsidR="0049084A" w:rsidRPr="00AE2107" w:rsidRDefault="00DF7C8F" w:rsidP="00AE0D5B">
            <w:pPr>
              <w:spacing w:afterLines="60" w:after="144"/>
              <w:jc w:val="right"/>
              <w:rPr>
                <w:b/>
                <w:bCs/>
                <w:szCs w:val="22"/>
              </w:rPr>
            </w:pPr>
            <w:r w:rsidRPr="00C3798C">
              <w:rPr>
                <w:b/>
                <w:szCs w:val="22"/>
              </w:rPr>
              <w:t>VPSC</w:t>
            </w:r>
            <w:r w:rsidR="002E3E93">
              <w:rPr>
                <w:b/>
                <w:bCs/>
                <w:szCs w:val="22"/>
              </w:rPr>
              <w:t xml:space="preserve"> / </w:t>
            </w:r>
            <w:r w:rsidR="0074237C" w:rsidRPr="00C3798C">
              <w:rPr>
                <w:b/>
                <w:szCs w:val="22"/>
              </w:rPr>
              <w:t>DPC</w:t>
            </w:r>
          </w:p>
        </w:tc>
      </w:tr>
    </w:tbl>
    <w:p w14:paraId="00F3E8CF" w14:textId="77777777" w:rsidR="001E1514" w:rsidRDefault="001E1514"/>
    <w:p w14:paraId="537CAFE3" w14:textId="77777777" w:rsidR="001E1514" w:rsidRDefault="001E1514"/>
    <w:tbl>
      <w:tblPr>
        <w:tblStyle w:val="TableGrid"/>
        <w:tblW w:w="9351" w:type="dxa"/>
        <w:tblLayout w:type="fixed"/>
        <w:tblLook w:val="04A0" w:firstRow="1" w:lastRow="0" w:firstColumn="1" w:lastColumn="0" w:noHBand="0" w:noVBand="1"/>
      </w:tblPr>
      <w:tblGrid>
        <w:gridCol w:w="704"/>
        <w:gridCol w:w="6804"/>
        <w:gridCol w:w="1843"/>
      </w:tblGrid>
      <w:tr w:rsidR="0049084A" w:rsidRPr="008215CB" w14:paraId="402F6380" w14:textId="77777777" w:rsidTr="00C73948">
        <w:trPr>
          <w:trHeight w:val="454"/>
        </w:trPr>
        <w:tc>
          <w:tcPr>
            <w:tcW w:w="9351" w:type="dxa"/>
            <w:gridSpan w:val="3"/>
            <w:tcBorders>
              <w:top w:val="single" w:sz="2" w:space="0" w:color="auto"/>
              <w:left w:val="single" w:sz="4" w:space="0" w:color="FFFFFF" w:themeColor="background1"/>
              <w:right w:val="single" w:sz="4" w:space="0" w:color="FFFFFF" w:themeColor="background1"/>
            </w:tcBorders>
            <w:shd w:val="clear" w:color="auto" w:fill="E7E6E6"/>
          </w:tcPr>
          <w:p w14:paraId="19AA9553" w14:textId="11226877" w:rsidR="0049084A" w:rsidRPr="008968E2" w:rsidRDefault="0049084A" w:rsidP="009300F7">
            <w:pPr>
              <w:spacing w:before="60"/>
              <w:rPr>
                <w:b/>
                <w:szCs w:val="22"/>
              </w:rPr>
            </w:pPr>
            <w:r>
              <w:rPr>
                <w:b/>
                <w:bCs/>
                <w:szCs w:val="22"/>
              </w:rPr>
              <w:lastRenderedPageBreak/>
              <w:t xml:space="preserve">Chapter 6: </w:t>
            </w:r>
            <w:r w:rsidR="00CC0A7C">
              <w:rPr>
                <w:b/>
                <w:bCs/>
                <w:szCs w:val="22"/>
              </w:rPr>
              <w:t>Public e</w:t>
            </w:r>
            <w:r w:rsidRPr="00431677">
              <w:rPr>
                <w:b/>
                <w:bCs/>
                <w:szCs w:val="22"/>
              </w:rPr>
              <w:t>ntity reform</w:t>
            </w:r>
          </w:p>
        </w:tc>
      </w:tr>
      <w:tr w:rsidR="00CF6D0E" w:rsidRPr="008215CB" w14:paraId="60DBE8AF" w14:textId="77777777" w:rsidTr="00CF6D0E">
        <w:trPr>
          <w:trHeight w:val="454"/>
        </w:trPr>
        <w:tc>
          <w:tcPr>
            <w:tcW w:w="9351" w:type="dxa"/>
            <w:gridSpan w:val="3"/>
            <w:tcBorders>
              <w:top w:val="single" w:sz="2" w:space="0" w:color="auto"/>
              <w:left w:val="single" w:sz="4" w:space="0" w:color="FFFFFF" w:themeColor="background1"/>
              <w:right w:val="single" w:sz="4" w:space="0" w:color="FFFFFF" w:themeColor="background1"/>
            </w:tcBorders>
            <w:shd w:val="clear" w:color="auto" w:fill="F2F2F2" w:themeFill="background1" w:themeFillShade="F2"/>
          </w:tcPr>
          <w:p w14:paraId="4727E729" w14:textId="182539B9" w:rsidR="00CF6D0E" w:rsidRPr="003C365A" w:rsidRDefault="003C365A" w:rsidP="009300F7">
            <w:pPr>
              <w:spacing w:before="60"/>
              <w:rPr>
                <w:szCs w:val="22"/>
              </w:rPr>
            </w:pPr>
            <w:r w:rsidRPr="003C365A">
              <w:rPr>
                <w:szCs w:val="22"/>
              </w:rPr>
              <w:t>$4</w:t>
            </w:r>
            <w:r w:rsidR="003B2964">
              <w:rPr>
                <w:szCs w:val="22"/>
              </w:rPr>
              <w:t>27</w:t>
            </w:r>
            <w:r w:rsidRPr="003C365A">
              <w:rPr>
                <w:szCs w:val="22"/>
              </w:rPr>
              <w:t xml:space="preserve"> million savings from 2025–26 to 2028–29; 5</w:t>
            </w:r>
            <w:r w:rsidR="003B2964">
              <w:rPr>
                <w:szCs w:val="22"/>
              </w:rPr>
              <w:t>36</w:t>
            </w:r>
            <w:r w:rsidRPr="003C365A">
              <w:rPr>
                <w:szCs w:val="22"/>
              </w:rPr>
              <w:t xml:space="preserve"> ongoing FTE reduction</w:t>
            </w:r>
          </w:p>
        </w:tc>
      </w:tr>
      <w:tr w:rsidR="0049084A" w:rsidRPr="008215CB" w14:paraId="703B6E5B" w14:textId="77777777" w:rsidTr="00F56D19">
        <w:trPr>
          <w:trHeight w:val="454"/>
        </w:trPr>
        <w:tc>
          <w:tcPr>
            <w:tcW w:w="7508" w:type="dxa"/>
            <w:gridSpan w:val="2"/>
            <w:tcBorders>
              <w:left w:val="single" w:sz="4" w:space="0" w:color="FFFFFF" w:themeColor="background1"/>
              <w:right w:val="single" w:sz="12" w:space="0" w:color="FFFFFF" w:themeColor="background1"/>
            </w:tcBorders>
          </w:tcPr>
          <w:p w14:paraId="7508F0E0" w14:textId="77777777" w:rsidR="0049084A" w:rsidRPr="00336BE0" w:rsidRDefault="0049084A" w:rsidP="009300F7">
            <w:pPr>
              <w:spacing w:before="60"/>
              <w:rPr>
                <w:b/>
                <w:bCs/>
                <w:szCs w:val="22"/>
              </w:rPr>
            </w:pPr>
            <w:r w:rsidRPr="00336BE0">
              <w:rPr>
                <w:b/>
                <w:bCs/>
                <w:szCs w:val="22"/>
              </w:rPr>
              <w:t>Recommendation</w:t>
            </w:r>
          </w:p>
        </w:tc>
        <w:tc>
          <w:tcPr>
            <w:tcW w:w="1843" w:type="dxa"/>
            <w:tcBorders>
              <w:left w:val="single" w:sz="12" w:space="0" w:color="FFFFFF" w:themeColor="background1"/>
              <w:bottom w:val="single" w:sz="4" w:space="0" w:color="auto"/>
              <w:right w:val="single" w:sz="4" w:space="0" w:color="FFFFFF" w:themeColor="background1"/>
            </w:tcBorders>
          </w:tcPr>
          <w:p w14:paraId="730DB73C" w14:textId="7C0BE570" w:rsidR="0049084A" w:rsidRPr="00336BE0" w:rsidRDefault="0049084A" w:rsidP="009300F7">
            <w:pPr>
              <w:spacing w:before="60"/>
              <w:jc w:val="right"/>
              <w:rPr>
                <w:b/>
                <w:bCs/>
                <w:szCs w:val="22"/>
              </w:rPr>
            </w:pPr>
            <w:r w:rsidRPr="00336BE0">
              <w:rPr>
                <w:b/>
                <w:bCs/>
                <w:szCs w:val="22"/>
              </w:rPr>
              <w:t>Accountability</w:t>
            </w:r>
          </w:p>
        </w:tc>
      </w:tr>
      <w:tr w:rsidR="0049084A" w:rsidRPr="008215CB" w14:paraId="107B04DD" w14:textId="77777777" w:rsidTr="00F56D19">
        <w:tc>
          <w:tcPr>
            <w:tcW w:w="704" w:type="dxa"/>
            <w:tcBorders>
              <w:left w:val="single" w:sz="4" w:space="0" w:color="FFFFFF" w:themeColor="background1"/>
              <w:bottom w:val="nil"/>
              <w:right w:val="nil"/>
            </w:tcBorders>
          </w:tcPr>
          <w:p w14:paraId="3305991D" w14:textId="77777777" w:rsidR="0049084A" w:rsidRPr="00697557" w:rsidRDefault="0049084A" w:rsidP="009300F7">
            <w:pPr>
              <w:spacing w:before="60"/>
              <w:rPr>
                <w:b/>
                <w:bCs/>
                <w:szCs w:val="22"/>
              </w:rPr>
            </w:pPr>
            <w:r w:rsidRPr="00697557">
              <w:rPr>
                <w:b/>
                <w:bCs/>
                <w:szCs w:val="22"/>
              </w:rPr>
              <w:t>6.1</w:t>
            </w:r>
          </w:p>
        </w:tc>
        <w:tc>
          <w:tcPr>
            <w:tcW w:w="6804" w:type="dxa"/>
            <w:tcBorders>
              <w:left w:val="nil"/>
              <w:bottom w:val="nil"/>
              <w:right w:val="single" w:sz="4" w:space="0" w:color="F2F2F2" w:themeColor="background1" w:themeShade="F2"/>
            </w:tcBorders>
          </w:tcPr>
          <w:p w14:paraId="78CFB158" w14:textId="5B0AD428" w:rsidR="0049084A" w:rsidRDefault="0049084A" w:rsidP="009300F7">
            <w:pPr>
              <w:spacing w:before="60"/>
              <w:rPr>
                <w:szCs w:val="22"/>
              </w:rPr>
            </w:pPr>
            <w:r w:rsidRPr="008215CB">
              <w:rPr>
                <w:szCs w:val="22"/>
              </w:rPr>
              <w:t xml:space="preserve">Reduce the number of public sector entities by </w:t>
            </w:r>
            <w:r w:rsidR="003869B7">
              <w:rPr>
                <w:szCs w:val="22"/>
              </w:rPr>
              <w:t>78</w:t>
            </w:r>
            <w:r w:rsidRPr="008215CB">
              <w:rPr>
                <w:szCs w:val="22"/>
              </w:rPr>
              <w:t xml:space="preserve"> through a process of consolidation and removal</w:t>
            </w:r>
            <w:r w:rsidR="00097186">
              <w:rPr>
                <w:szCs w:val="22"/>
              </w:rPr>
              <w:t>, including</w:t>
            </w:r>
            <w:r w:rsidR="008A551D">
              <w:rPr>
                <w:szCs w:val="22"/>
              </w:rPr>
              <w:t>:</w:t>
            </w:r>
            <w:r w:rsidRPr="008215CB">
              <w:rPr>
                <w:szCs w:val="22"/>
              </w:rPr>
              <w:t> </w:t>
            </w:r>
          </w:p>
          <w:p w14:paraId="1F9061C0" w14:textId="0F51C57A" w:rsidR="0049084A" w:rsidRDefault="00B40E5D" w:rsidP="004349A6">
            <w:pPr>
              <w:pStyle w:val="ListParagraph"/>
              <w:numPr>
                <w:ilvl w:val="0"/>
                <w:numId w:val="29"/>
              </w:numPr>
              <w:spacing w:before="40" w:line="278" w:lineRule="auto"/>
              <w:ind w:left="357" w:hanging="357"/>
              <w:contextualSpacing w:val="0"/>
              <w:rPr>
                <w:szCs w:val="22"/>
              </w:rPr>
            </w:pPr>
            <w:r>
              <w:rPr>
                <w:szCs w:val="22"/>
              </w:rPr>
              <w:t xml:space="preserve">Regulatory </w:t>
            </w:r>
            <w:r w:rsidR="001C13FB">
              <w:rPr>
                <w:szCs w:val="22"/>
              </w:rPr>
              <w:t>syste</w:t>
            </w:r>
            <w:r w:rsidR="00801E93">
              <w:rPr>
                <w:szCs w:val="22"/>
              </w:rPr>
              <w:t>m reform</w:t>
            </w:r>
          </w:p>
          <w:p w14:paraId="738533AA" w14:textId="77777777" w:rsidR="003A0D0D" w:rsidRDefault="00D6338F" w:rsidP="004349A6">
            <w:pPr>
              <w:pStyle w:val="ListParagraph"/>
              <w:numPr>
                <w:ilvl w:val="0"/>
                <w:numId w:val="29"/>
              </w:numPr>
              <w:spacing w:before="40" w:line="278" w:lineRule="auto"/>
              <w:ind w:left="357" w:hanging="357"/>
              <w:contextualSpacing w:val="0"/>
              <w:rPr>
                <w:szCs w:val="22"/>
              </w:rPr>
            </w:pPr>
            <w:r>
              <w:rPr>
                <w:szCs w:val="22"/>
              </w:rPr>
              <w:t xml:space="preserve">Water and land management </w:t>
            </w:r>
            <w:r w:rsidR="001D3DA7">
              <w:rPr>
                <w:szCs w:val="22"/>
              </w:rPr>
              <w:t>reform</w:t>
            </w:r>
          </w:p>
          <w:p w14:paraId="095E1279" w14:textId="77777777" w:rsidR="00D80D28" w:rsidRDefault="00DF56BE" w:rsidP="004349A6">
            <w:pPr>
              <w:pStyle w:val="ListParagraph"/>
              <w:numPr>
                <w:ilvl w:val="0"/>
                <w:numId w:val="29"/>
              </w:numPr>
              <w:spacing w:before="40" w:line="278" w:lineRule="auto"/>
              <w:ind w:left="357" w:hanging="357"/>
              <w:contextualSpacing w:val="0"/>
              <w:rPr>
                <w:szCs w:val="22"/>
              </w:rPr>
            </w:pPr>
            <w:r>
              <w:rPr>
                <w:szCs w:val="22"/>
              </w:rPr>
              <w:t>Policy advice</w:t>
            </w:r>
            <w:r w:rsidR="00C05A01">
              <w:rPr>
                <w:szCs w:val="22"/>
              </w:rPr>
              <w:t xml:space="preserve"> and research</w:t>
            </w:r>
          </w:p>
          <w:p w14:paraId="46D6A9A0" w14:textId="77777777" w:rsidR="00C05A01" w:rsidRDefault="00C05A01" w:rsidP="004349A6">
            <w:pPr>
              <w:pStyle w:val="ListParagraph"/>
              <w:numPr>
                <w:ilvl w:val="0"/>
                <w:numId w:val="29"/>
              </w:numPr>
              <w:spacing w:before="40" w:line="278" w:lineRule="auto"/>
              <w:ind w:left="357" w:hanging="357"/>
              <w:contextualSpacing w:val="0"/>
              <w:rPr>
                <w:szCs w:val="22"/>
              </w:rPr>
            </w:pPr>
            <w:r>
              <w:rPr>
                <w:szCs w:val="22"/>
              </w:rPr>
              <w:t>Funds and investment management</w:t>
            </w:r>
          </w:p>
          <w:p w14:paraId="789608A1" w14:textId="4D0DF978" w:rsidR="00C05A01" w:rsidRDefault="00C05A01" w:rsidP="004349A6">
            <w:pPr>
              <w:pStyle w:val="ListParagraph"/>
              <w:numPr>
                <w:ilvl w:val="0"/>
                <w:numId w:val="29"/>
              </w:numPr>
              <w:spacing w:before="40" w:line="278" w:lineRule="auto"/>
              <w:ind w:left="357" w:hanging="357"/>
              <w:contextualSpacing w:val="0"/>
              <w:rPr>
                <w:szCs w:val="22"/>
              </w:rPr>
            </w:pPr>
            <w:r>
              <w:rPr>
                <w:szCs w:val="22"/>
              </w:rPr>
              <w:t xml:space="preserve">Abolishing </w:t>
            </w:r>
            <w:r w:rsidR="00787C43">
              <w:rPr>
                <w:szCs w:val="22"/>
              </w:rPr>
              <w:t xml:space="preserve">some </w:t>
            </w:r>
            <w:r w:rsidR="00AF58F0">
              <w:rPr>
                <w:szCs w:val="22"/>
              </w:rPr>
              <w:t xml:space="preserve">entities </w:t>
            </w:r>
            <w:r>
              <w:rPr>
                <w:szCs w:val="22"/>
              </w:rPr>
              <w:t xml:space="preserve">and ceasing </w:t>
            </w:r>
            <w:r w:rsidR="00AF58F0">
              <w:rPr>
                <w:szCs w:val="22"/>
              </w:rPr>
              <w:t>their</w:t>
            </w:r>
            <w:r>
              <w:rPr>
                <w:szCs w:val="22"/>
              </w:rPr>
              <w:t xml:space="preserve"> functions</w:t>
            </w:r>
          </w:p>
          <w:p w14:paraId="4735FB1A" w14:textId="201C49BE" w:rsidR="00C05A01" w:rsidRDefault="00C05A01" w:rsidP="004349A6">
            <w:pPr>
              <w:pStyle w:val="ListParagraph"/>
              <w:numPr>
                <w:ilvl w:val="0"/>
                <w:numId w:val="29"/>
              </w:numPr>
              <w:spacing w:before="40" w:line="278" w:lineRule="auto"/>
              <w:ind w:left="357" w:hanging="357"/>
              <w:contextualSpacing w:val="0"/>
              <w:rPr>
                <w:szCs w:val="22"/>
              </w:rPr>
            </w:pPr>
            <w:r>
              <w:rPr>
                <w:szCs w:val="22"/>
              </w:rPr>
              <w:t xml:space="preserve">Absorbing </w:t>
            </w:r>
            <w:r w:rsidR="00787C43">
              <w:rPr>
                <w:szCs w:val="22"/>
              </w:rPr>
              <w:t xml:space="preserve">the </w:t>
            </w:r>
            <w:r>
              <w:rPr>
                <w:szCs w:val="22"/>
              </w:rPr>
              <w:t xml:space="preserve">functions </w:t>
            </w:r>
            <w:r w:rsidR="00AF58F0">
              <w:rPr>
                <w:szCs w:val="22"/>
              </w:rPr>
              <w:t>of entities</w:t>
            </w:r>
            <w:r>
              <w:rPr>
                <w:szCs w:val="22"/>
              </w:rPr>
              <w:t xml:space="preserve"> into departments or other</w:t>
            </w:r>
            <w:r w:rsidR="000C53AC">
              <w:rPr>
                <w:szCs w:val="22"/>
              </w:rPr>
              <w:t> </w:t>
            </w:r>
            <w:r>
              <w:rPr>
                <w:szCs w:val="22"/>
              </w:rPr>
              <w:t>bodies</w:t>
            </w:r>
          </w:p>
          <w:p w14:paraId="52D36591" w14:textId="1054F7BA" w:rsidR="0049084A" w:rsidRPr="008215CB" w:rsidRDefault="004164CE" w:rsidP="004349A6">
            <w:pPr>
              <w:pStyle w:val="ListParagraph"/>
              <w:numPr>
                <w:ilvl w:val="0"/>
                <w:numId w:val="29"/>
              </w:numPr>
              <w:spacing w:before="40" w:line="278" w:lineRule="auto"/>
              <w:ind w:left="357" w:hanging="357"/>
              <w:contextualSpacing w:val="0"/>
              <w:rPr>
                <w:szCs w:val="22"/>
              </w:rPr>
            </w:pPr>
            <w:r>
              <w:rPr>
                <w:szCs w:val="22"/>
              </w:rPr>
              <w:t>Merging entities with overlapping functions</w:t>
            </w:r>
            <w:r w:rsidR="00783716">
              <w:rPr>
                <w:szCs w:val="22"/>
              </w:rPr>
              <w:t>.</w:t>
            </w:r>
          </w:p>
        </w:tc>
        <w:tc>
          <w:tcPr>
            <w:tcW w:w="1843" w:type="dxa"/>
            <w:tcBorders>
              <w:left w:val="single" w:sz="4" w:space="0" w:color="F2F2F2" w:themeColor="background1" w:themeShade="F2"/>
              <w:bottom w:val="nil"/>
              <w:right w:val="single" w:sz="4" w:space="0" w:color="FFFFFF" w:themeColor="background1"/>
            </w:tcBorders>
          </w:tcPr>
          <w:p w14:paraId="12EC5B66" w14:textId="10341DE9" w:rsidR="0049084A" w:rsidRPr="00697557" w:rsidRDefault="005D6DF1" w:rsidP="009300F7">
            <w:pPr>
              <w:spacing w:before="60"/>
              <w:jc w:val="right"/>
              <w:rPr>
                <w:b/>
                <w:bCs/>
                <w:szCs w:val="22"/>
              </w:rPr>
            </w:pPr>
            <w:r w:rsidRPr="00C3798C">
              <w:rPr>
                <w:b/>
                <w:szCs w:val="22"/>
              </w:rPr>
              <w:t>DPC</w:t>
            </w:r>
          </w:p>
        </w:tc>
      </w:tr>
      <w:tr w:rsidR="0049084A" w:rsidRPr="008215CB" w14:paraId="2EA03F3D" w14:textId="77777777" w:rsidTr="00F56D19">
        <w:tc>
          <w:tcPr>
            <w:tcW w:w="704" w:type="dxa"/>
            <w:tcBorders>
              <w:top w:val="nil"/>
              <w:left w:val="single" w:sz="4" w:space="0" w:color="FFFFFF" w:themeColor="background1"/>
              <w:bottom w:val="nil"/>
              <w:right w:val="nil"/>
            </w:tcBorders>
          </w:tcPr>
          <w:p w14:paraId="5A765D96" w14:textId="77777777" w:rsidR="0049084A" w:rsidRPr="00697557" w:rsidRDefault="0049084A" w:rsidP="00352512">
            <w:pPr>
              <w:rPr>
                <w:b/>
                <w:bCs/>
                <w:szCs w:val="22"/>
              </w:rPr>
            </w:pPr>
            <w:r w:rsidRPr="00697557">
              <w:rPr>
                <w:b/>
                <w:bCs/>
                <w:szCs w:val="22"/>
              </w:rPr>
              <w:t>6.2</w:t>
            </w:r>
          </w:p>
        </w:tc>
        <w:tc>
          <w:tcPr>
            <w:tcW w:w="6804" w:type="dxa"/>
            <w:tcBorders>
              <w:top w:val="nil"/>
              <w:left w:val="nil"/>
              <w:bottom w:val="nil"/>
              <w:right w:val="single" w:sz="4" w:space="0" w:color="F2F2F2" w:themeColor="background1" w:themeShade="F2"/>
            </w:tcBorders>
          </w:tcPr>
          <w:p w14:paraId="77272654" w14:textId="129E07F7" w:rsidR="00863A93" w:rsidRPr="00C86E6D" w:rsidRDefault="00863A93" w:rsidP="00863A93">
            <w:pPr>
              <w:rPr>
                <w:szCs w:val="22"/>
              </w:rPr>
            </w:pPr>
            <w:r w:rsidRPr="00C86E6D">
              <w:rPr>
                <w:szCs w:val="22"/>
              </w:rPr>
              <w:t xml:space="preserve">Confirm the need for 90 advisory committees, with the assumption that 90 per cent will cease and other mechanisms could be </w:t>
            </w:r>
            <w:proofErr w:type="spellStart"/>
            <w:r w:rsidRPr="00C86E6D">
              <w:rPr>
                <w:szCs w:val="22"/>
              </w:rPr>
              <w:t>utilised</w:t>
            </w:r>
            <w:proofErr w:type="spellEnd"/>
            <w:r w:rsidRPr="00C86E6D">
              <w:rPr>
                <w:szCs w:val="22"/>
              </w:rPr>
              <w:t xml:space="preserve"> if a need for external advice exists. </w:t>
            </w:r>
          </w:p>
          <w:p w14:paraId="0526D337" w14:textId="765557DC" w:rsidR="0049084A" w:rsidRPr="008215CB" w:rsidRDefault="0049084A" w:rsidP="00352512">
            <w:pPr>
              <w:rPr>
                <w:szCs w:val="22"/>
              </w:rPr>
            </w:pPr>
          </w:p>
        </w:tc>
        <w:tc>
          <w:tcPr>
            <w:tcW w:w="1843" w:type="dxa"/>
            <w:tcBorders>
              <w:top w:val="nil"/>
              <w:left w:val="single" w:sz="4" w:space="0" w:color="F2F2F2" w:themeColor="background1" w:themeShade="F2"/>
              <w:bottom w:val="nil"/>
              <w:right w:val="single" w:sz="4" w:space="0" w:color="FFFFFF" w:themeColor="background1"/>
            </w:tcBorders>
          </w:tcPr>
          <w:p w14:paraId="3D8190E4" w14:textId="553E27E7" w:rsidR="0049084A" w:rsidRPr="00697557" w:rsidRDefault="005D6DF1" w:rsidP="006B359A">
            <w:pPr>
              <w:jc w:val="right"/>
              <w:rPr>
                <w:b/>
                <w:bCs/>
                <w:szCs w:val="22"/>
              </w:rPr>
            </w:pPr>
            <w:r w:rsidRPr="00C3798C">
              <w:rPr>
                <w:b/>
                <w:szCs w:val="22"/>
              </w:rPr>
              <w:t>DPC</w:t>
            </w:r>
          </w:p>
        </w:tc>
      </w:tr>
      <w:tr w:rsidR="003E4E42" w:rsidRPr="008215CB" w14:paraId="7C6138BB" w14:textId="77777777" w:rsidTr="004A7EE0">
        <w:trPr>
          <w:trHeight w:val="658"/>
        </w:trPr>
        <w:tc>
          <w:tcPr>
            <w:tcW w:w="704" w:type="dxa"/>
            <w:tcBorders>
              <w:top w:val="nil"/>
              <w:left w:val="single" w:sz="4" w:space="0" w:color="FFFFFF" w:themeColor="background1"/>
              <w:bottom w:val="nil"/>
              <w:right w:val="nil"/>
            </w:tcBorders>
          </w:tcPr>
          <w:p w14:paraId="42B584D1" w14:textId="3DF0AA67" w:rsidR="003E4E42" w:rsidRPr="00697557" w:rsidRDefault="004A7EE0" w:rsidP="00AE0D5B">
            <w:pPr>
              <w:spacing w:afterLines="60" w:after="144"/>
              <w:rPr>
                <w:b/>
                <w:bCs/>
                <w:szCs w:val="22"/>
              </w:rPr>
            </w:pPr>
            <w:r>
              <w:rPr>
                <w:b/>
                <w:bCs/>
                <w:szCs w:val="22"/>
              </w:rPr>
              <w:t>6.3</w:t>
            </w:r>
          </w:p>
        </w:tc>
        <w:tc>
          <w:tcPr>
            <w:tcW w:w="6804" w:type="dxa"/>
            <w:tcBorders>
              <w:top w:val="nil"/>
              <w:left w:val="nil"/>
              <w:bottom w:val="nil"/>
              <w:right w:val="single" w:sz="4" w:space="0" w:color="F2F2F2" w:themeColor="background1" w:themeShade="F2"/>
            </w:tcBorders>
          </w:tcPr>
          <w:p w14:paraId="6E730E2B" w14:textId="77777777" w:rsidR="004A7EE0" w:rsidRDefault="004A7EE0" w:rsidP="004A7EE0">
            <w:pPr>
              <w:rPr>
                <w:rFonts w:eastAsia="Aptos" w:cs="Arial"/>
                <w:color w:val="000000" w:themeColor="text1"/>
              </w:rPr>
            </w:pPr>
            <w:r w:rsidRPr="00F45BF2">
              <w:rPr>
                <w:rFonts w:eastAsia="Aptos" w:cs="Arial"/>
                <w:color w:val="000000" w:themeColor="text1"/>
              </w:rPr>
              <w:t xml:space="preserve">Pursue a pragmatic approach to entity changes by taking early administrative actions to start </w:t>
            </w:r>
            <w:proofErr w:type="spellStart"/>
            <w:r w:rsidRPr="00F45BF2">
              <w:rPr>
                <w:rFonts w:eastAsia="Aptos" w:cs="Arial"/>
                <w:color w:val="000000" w:themeColor="text1"/>
              </w:rPr>
              <w:t>realising</w:t>
            </w:r>
            <w:proofErr w:type="spellEnd"/>
            <w:r w:rsidRPr="00F45BF2">
              <w:rPr>
                <w:rFonts w:eastAsia="Aptos" w:cs="Arial"/>
                <w:color w:val="000000" w:themeColor="text1"/>
              </w:rPr>
              <w:t xml:space="preserve"> reform and savings while developing appropriate executive actions and legislative change.</w:t>
            </w:r>
          </w:p>
          <w:p w14:paraId="48B52336" w14:textId="77777777" w:rsidR="003E4E42" w:rsidRPr="004A7EE0" w:rsidRDefault="003E4E42" w:rsidP="004A7EE0">
            <w:pPr>
              <w:rPr>
                <w:rFonts w:eastAsia="Aptos" w:cs="Arial"/>
                <w:color w:val="000000" w:themeColor="text1"/>
              </w:rPr>
            </w:pPr>
          </w:p>
        </w:tc>
        <w:tc>
          <w:tcPr>
            <w:tcW w:w="1843" w:type="dxa"/>
            <w:tcBorders>
              <w:top w:val="nil"/>
              <w:left w:val="single" w:sz="4" w:space="0" w:color="F2F2F2" w:themeColor="background1" w:themeShade="F2"/>
              <w:bottom w:val="nil"/>
              <w:right w:val="single" w:sz="4" w:space="0" w:color="FFFFFF" w:themeColor="background1"/>
            </w:tcBorders>
          </w:tcPr>
          <w:p w14:paraId="6814ADED" w14:textId="1AF8F6A9" w:rsidR="003E4E42" w:rsidRPr="00C3798C" w:rsidRDefault="004A7EE0" w:rsidP="00AE0D5B">
            <w:pPr>
              <w:spacing w:afterLines="60" w:after="144"/>
              <w:jc w:val="right"/>
              <w:rPr>
                <w:b/>
                <w:szCs w:val="22"/>
              </w:rPr>
            </w:pPr>
            <w:r>
              <w:rPr>
                <w:b/>
                <w:szCs w:val="22"/>
              </w:rPr>
              <w:t>DPC</w:t>
            </w:r>
          </w:p>
        </w:tc>
      </w:tr>
      <w:tr w:rsidR="0049084A" w:rsidRPr="008215CB" w14:paraId="4BB7C434" w14:textId="77777777" w:rsidTr="00F56D19">
        <w:tc>
          <w:tcPr>
            <w:tcW w:w="704" w:type="dxa"/>
            <w:tcBorders>
              <w:top w:val="nil"/>
              <w:left w:val="single" w:sz="4" w:space="0" w:color="FFFFFF" w:themeColor="background1"/>
              <w:right w:val="nil"/>
            </w:tcBorders>
          </w:tcPr>
          <w:p w14:paraId="54A6DAC7" w14:textId="6955ECDB" w:rsidR="0049084A" w:rsidRPr="00697557" w:rsidRDefault="0049084A" w:rsidP="00AE0D5B">
            <w:pPr>
              <w:spacing w:afterLines="60" w:after="144"/>
              <w:rPr>
                <w:b/>
                <w:bCs/>
                <w:szCs w:val="22"/>
              </w:rPr>
            </w:pPr>
            <w:r w:rsidRPr="00697557">
              <w:rPr>
                <w:b/>
                <w:bCs/>
                <w:szCs w:val="22"/>
              </w:rPr>
              <w:t>6.</w:t>
            </w:r>
            <w:r w:rsidR="004A7EE0">
              <w:rPr>
                <w:b/>
                <w:bCs/>
                <w:szCs w:val="22"/>
              </w:rPr>
              <w:t>4</w:t>
            </w:r>
          </w:p>
        </w:tc>
        <w:tc>
          <w:tcPr>
            <w:tcW w:w="6804" w:type="dxa"/>
            <w:tcBorders>
              <w:top w:val="nil"/>
              <w:left w:val="nil"/>
              <w:right w:val="single" w:sz="4" w:space="0" w:color="F2F2F2" w:themeColor="background1" w:themeShade="F2"/>
            </w:tcBorders>
          </w:tcPr>
          <w:p w14:paraId="2023F968" w14:textId="55B18301" w:rsidR="0049084A" w:rsidRPr="00841E29" w:rsidRDefault="0049084A" w:rsidP="00AE0D5B">
            <w:pPr>
              <w:spacing w:afterLines="60" w:after="144"/>
              <w:rPr>
                <w:szCs w:val="22"/>
              </w:rPr>
            </w:pPr>
            <w:r w:rsidRPr="00841E29">
              <w:rPr>
                <w:szCs w:val="22"/>
              </w:rPr>
              <w:t>Improve the ongoing oversight and administration of public entities</w:t>
            </w:r>
            <w:r w:rsidR="00946320">
              <w:rPr>
                <w:szCs w:val="22"/>
              </w:rPr>
              <w:t>,</w:t>
            </w:r>
            <w:r w:rsidR="00946320" w:rsidRPr="00BD0929">
              <w:rPr>
                <w:color w:val="000000" w:themeColor="text1"/>
              </w:rPr>
              <w:t xml:space="preserve"> and embed best practice governance</w:t>
            </w:r>
            <w:r w:rsidR="006525E5">
              <w:rPr>
                <w:color w:val="000000" w:themeColor="text1"/>
              </w:rPr>
              <w:t>,</w:t>
            </w:r>
            <w:r w:rsidRPr="00841E29">
              <w:rPr>
                <w:szCs w:val="22"/>
              </w:rPr>
              <w:t xml:space="preserve"> by: </w:t>
            </w:r>
          </w:p>
          <w:p w14:paraId="1F23E0F3" w14:textId="77777777" w:rsidR="0049084A" w:rsidRPr="00841E29" w:rsidRDefault="0049084A" w:rsidP="005A035C">
            <w:pPr>
              <w:numPr>
                <w:ilvl w:val="0"/>
                <w:numId w:val="63"/>
              </w:numPr>
              <w:tabs>
                <w:tab w:val="clear" w:pos="720"/>
                <w:tab w:val="num" w:pos="324"/>
              </w:tabs>
              <w:spacing w:before="240" w:afterLines="60" w:after="144" w:line="278" w:lineRule="auto"/>
              <w:ind w:left="324" w:hanging="283"/>
              <w:rPr>
                <w:szCs w:val="22"/>
              </w:rPr>
            </w:pPr>
            <w:r w:rsidRPr="00841E29">
              <w:rPr>
                <w:szCs w:val="22"/>
              </w:rPr>
              <w:t>Strengthening and publishing refreshed guidelines for the establishment of public sector entities to prevent further unnecessary proliferation </w:t>
            </w:r>
          </w:p>
          <w:p w14:paraId="3E799FC5" w14:textId="71606384" w:rsidR="0049084A" w:rsidRPr="00841E29" w:rsidRDefault="0049084A" w:rsidP="005A035C">
            <w:pPr>
              <w:numPr>
                <w:ilvl w:val="0"/>
                <w:numId w:val="64"/>
              </w:numPr>
              <w:tabs>
                <w:tab w:val="clear" w:pos="720"/>
                <w:tab w:val="num" w:pos="324"/>
              </w:tabs>
              <w:spacing w:afterLines="60" w:after="144" w:line="278" w:lineRule="auto"/>
              <w:ind w:left="324" w:hanging="283"/>
              <w:rPr>
                <w:szCs w:val="22"/>
              </w:rPr>
            </w:pPr>
            <w:r w:rsidRPr="00841E29">
              <w:rPr>
                <w:szCs w:val="22"/>
              </w:rPr>
              <w:t>Defaulting to a single executive governance model, and where boards are needed, streamline them over time to a smaller number of members </w:t>
            </w:r>
          </w:p>
          <w:p w14:paraId="5AF32C12" w14:textId="2F58DADD" w:rsidR="0049084A" w:rsidRPr="00841E29" w:rsidRDefault="0049084A" w:rsidP="005A035C">
            <w:pPr>
              <w:numPr>
                <w:ilvl w:val="0"/>
                <w:numId w:val="65"/>
              </w:numPr>
              <w:tabs>
                <w:tab w:val="clear" w:pos="720"/>
                <w:tab w:val="num" w:pos="324"/>
              </w:tabs>
              <w:spacing w:afterLines="60" w:after="144" w:line="278" w:lineRule="auto"/>
              <w:ind w:left="324" w:hanging="283"/>
              <w:rPr>
                <w:szCs w:val="22"/>
              </w:rPr>
            </w:pPr>
            <w:r w:rsidRPr="00841E29">
              <w:rPr>
                <w:szCs w:val="22"/>
              </w:rPr>
              <w:t>Improving entity data collection and reporting, ensuring consistent data capture across all entities, and fit-for-purpose reporting requirements </w:t>
            </w:r>
          </w:p>
          <w:p w14:paraId="3DEE90C5" w14:textId="4E1E0FC3" w:rsidR="0049084A" w:rsidRPr="00841E29" w:rsidRDefault="0049084A" w:rsidP="005A035C">
            <w:pPr>
              <w:numPr>
                <w:ilvl w:val="0"/>
                <w:numId w:val="66"/>
              </w:numPr>
              <w:tabs>
                <w:tab w:val="clear" w:pos="720"/>
                <w:tab w:val="num" w:pos="324"/>
              </w:tabs>
              <w:spacing w:afterLines="60" w:after="144" w:line="278" w:lineRule="auto"/>
              <w:ind w:left="324" w:hanging="283"/>
              <w:rPr>
                <w:szCs w:val="22"/>
              </w:rPr>
            </w:pPr>
            <w:r w:rsidRPr="00841E29">
              <w:rPr>
                <w:szCs w:val="22"/>
              </w:rPr>
              <w:t>Enforcing public sector entity review and sunset by default after 5</w:t>
            </w:r>
            <w:r w:rsidR="001E06B0">
              <w:rPr>
                <w:szCs w:val="22"/>
              </w:rPr>
              <w:t> </w:t>
            </w:r>
            <w:r w:rsidRPr="00841E29">
              <w:rPr>
                <w:szCs w:val="22"/>
              </w:rPr>
              <w:t>years </w:t>
            </w:r>
          </w:p>
          <w:p w14:paraId="0434B46E" w14:textId="1C488924" w:rsidR="0049084A" w:rsidRPr="004D164F" w:rsidRDefault="0049084A" w:rsidP="005A035C">
            <w:pPr>
              <w:numPr>
                <w:ilvl w:val="0"/>
                <w:numId w:val="67"/>
              </w:numPr>
              <w:tabs>
                <w:tab w:val="clear" w:pos="720"/>
                <w:tab w:val="num" w:pos="324"/>
              </w:tabs>
              <w:spacing w:afterLines="60" w:after="144" w:line="278" w:lineRule="auto"/>
              <w:ind w:left="324" w:hanging="283"/>
              <w:rPr>
                <w:szCs w:val="22"/>
              </w:rPr>
            </w:pPr>
            <w:r w:rsidRPr="00841E29">
              <w:rPr>
                <w:szCs w:val="22"/>
              </w:rPr>
              <w:t>Extending reviews to other forms of public sector entities (including branded divisions within departments and statutory</w:t>
            </w:r>
            <w:r w:rsidR="00550FC8">
              <w:rPr>
                <w:szCs w:val="22"/>
              </w:rPr>
              <w:t> </w:t>
            </w:r>
            <w:r w:rsidRPr="00841E29">
              <w:rPr>
                <w:szCs w:val="22"/>
              </w:rPr>
              <w:t>roles).</w:t>
            </w:r>
          </w:p>
        </w:tc>
        <w:tc>
          <w:tcPr>
            <w:tcW w:w="1843" w:type="dxa"/>
            <w:tcBorders>
              <w:top w:val="nil"/>
              <w:left w:val="single" w:sz="4" w:space="0" w:color="F2F2F2" w:themeColor="background1" w:themeShade="F2"/>
              <w:right w:val="single" w:sz="4" w:space="0" w:color="FFFFFF" w:themeColor="background1"/>
            </w:tcBorders>
          </w:tcPr>
          <w:p w14:paraId="74FA91C9" w14:textId="0B6E7886" w:rsidR="0049084A" w:rsidRPr="00697557" w:rsidRDefault="00D94590" w:rsidP="00AE0D5B">
            <w:pPr>
              <w:spacing w:afterLines="60" w:after="144"/>
              <w:jc w:val="right"/>
              <w:rPr>
                <w:b/>
                <w:bCs/>
                <w:szCs w:val="22"/>
              </w:rPr>
            </w:pPr>
            <w:r w:rsidRPr="00C3798C">
              <w:rPr>
                <w:b/>
                <w:szCs w:val="22"/>
              </w:rPr>
              <w:t>DPC</w:t>
            </w:r>
          </w:p>
        </w:tc>
      </w:tr>
    </w:tbl>
    <w:p w14:paraId="71747A5E" w14:textId="77777777" w:rsidR="001E1514" w:rsidRDefault="001E1514"/>
    <w:tbl>
      <w:tblPr>
        <w:tblStyle w:val="TableGrid"/>
        <w:tblW w:w="9351" w:type="dxa"/>
        <w:tblLayout w:type="fixed"/>
        <w:tblLook w:val="04A0" w:firstRow="1" w:lastRow="0" w:firstColumn="1" w:lastColumn="0" w:noHBand="0" w:noVBand="1"/>
      </w:tblPr>
      <w:tblGrid>
        <w:gridCol w:w="704"/>
        <w:gridCol w:w="6804"/>
        <w:gridCol w:w="1843"/>
      </w:tblGrid>
      <w:tr w:rsidR="0049084A" w:rsidRPr="008215CB" w14:paraId="13293949" w14:textId="77777777" w:rsidTr="00C73948">
        <w:trPr>
          <w:trHeight w:val="454"/>
        </w:trPr>
        <w:tc>
          <w:tcPr>
            <w:tcW w:w="9351" w:type="dxa"/>
            <w:gridSpan w:val="3"/>
            <w:tcBorders>
              <w:top w:val="single" w:sz="2" w:space="0" w:color="auto"/>
              <w:left w:val="single" w:sz="4" w:space="0" w:color="FFFFFF" w:themeColor="background1"/>
              <w:right w:val="single" w:sz="4" w:space="0" w:color="FFFFFF" w:themeColor="background1"/>
            </w:tcBorders>
            <w:shd w:val="clear" w:color="auto" w:fill="E7E6E6"/>
          </w:tcPr>
          <w:p w14:paraId="54C7E1AB" w14:textId="12D44499" w:rsidR="0049084A" w:rsidRPr="00767944" w:rsidRDefault="0049084A" w:rsidP="009300F7">
            <w:pPr>
              <w:spacing w:before="60"/>
              <w:rPr>
                <w:b/>
                <w:szCs w:val="22"/>
              </w:rPr>
            </w:pPr>
            <w:r>
              <w:rPr>
                <w:b/>
                <w:bCs/>
                <w:szCs w:val="22"/>
              </w:rPr>
              <w:lastRenderedPageBreak/>
              <w:t xml:space="preserve">Chapter 7: </w:t>
            </w:r>
            <w:r w:rsidRPr="001A055A">
              <w:rPr>
                <w:b/>
                <w:bCs/>
                <w:szCs w:val="22"/>
              </w:rPr>
              <w:t>Accelerating digital capability</w:t>
            </w:r>
          </w:p>
        </w:tc>
      </w:tr>
      <w:tr w:rsidR="00850B78" w:rsidRPr="008215CB" w14:paraId="064C081B" w14:textId="77777777" w:rsidTr="00850B78">
        <w:trPr>
          <w:trHeight w:val="454"/>
        </w:trPr>
        <w:tc>
          <w:tcPr>
            <w:tcW w:w="9351" w:type="dxa"/>
            <w:gridSpan w:val="3"/>
            <w:tcBorders>
              <w:top w:val="single" w:sz="2" w:space="0" w:color="auto"/>
              <w:left w:val="single" w:sz="4" w:space="0" w:color="FFFFFF" w:themeColor="background1"/>
              <w:right w:val="single" w:sz="4" w:space="0" w:color="FFFFFF" w:themeColor="background1"/>
            </w:tcBorders>
            <w:shd w:val="clear" w:color="auto" w:fill="F2F2F2" w:themeFill="background1" w:themeFillShade="F2"/>
          </w:tcPr>
          <w:p w14:paraId="1B7F8633" w14:textId="2E3E0DCD" w:rsidR="00850B78" w:rsidRPr="00483E29" w:rsidRDefault="00483E29" w:rsidP="009300F7">
            <w:pPr>
              <w:spacing w:before="60"/>
              <w:rPr>
                <w:szCs w:val="22"/>
              </w:rPr>
            </w:pPr>
            <w:r w:rsidRPr="00483E29">
              <w:rPr>
                <w:szCs w:val="22"/>
              </w:rPr>
              <w:t>$94 million savings from 2025–26 to 2028–29; 197 ongoing FTE reduction</w:t>
            </w:r>
          </w:p>
        </w:tc>
      </w:tr>
      <w:tr w:rsidR="0049084A" w:rsidRPr="008215CB" w14:paraId="23EB34B1" w14:textId="77777777" w:rsidTr="00F56D19">
        <w:trPr>
          <w:trHeight w:val="454"/>
        </w:trPr>
        <w:tc>
          <w:tcPr>
            <w:tcW w:w="7508" w:type="dxa"/>
            <w:gridSpan w:val="2"/>
            <w:tcBorders>
              <w:left w:val="single" w:sz="4" w:space="0" w:color="FFFFFF" w:themeColor="background1"/>
              <w:bottom w:val="single" w:sz="4" w:space="0" w:color="auto"/>
              <w:right w:val="single" w:sz="12" w:space="0" w:color="FFFFFF" w:themeColor="background1"/>
            </w:tcBorders>
          </w:tcPr>
          <w:p w14:paraId="2F876908" w14:textId="77777777" w:rsidR="0049084A" w:rsidRPr="008215CB" w:rsidRDefault="0049084A" w:rsidP="009300F7">
            <w:pPr>
              <w:spacing w:before="60"/>
              <w:rPr>
                <w:rFonts w:asciiTheme="majorHAnsi" w:hAnsiTheme="majorHAnsi"/>
                <w:szCs w:val="22"/>
              </w:rPr>
            </w:pPr>
            <w:r w:rsidRPr="00336BE0">
              <w:rPr>
                <w:b/>
                <w:bCs/>
                <w:szCs w:val="22"/>
              </w:rPr>
              <w:t>Recommendation</w:t>
            </w:r>
          </w:p>
        </w:tc>
        <w:tc>
          <w:tcPr>
            <w:tcW w:w="1843" w:type="dxa"/>
            <w:tcBorders>
              <w:left w:val="single" w:sz="12" w:space="0" w:color="FFFFFF" w:themeColor="background1"/>
              <w:bottom w:val="single" w:sz="4" w:space="0" w:color="auto"/>
              <w:right w:val="single" w:sz="4" w:space="0" w:color="FFFFFF" w:themeColor="background1"/>
            </w:tcBorders>
          </w:tcPr>
          <w:p w14:paraId="78D524A1" w14:textId="6F6DEF06" w:rsidR="0049084A" w:rsidRPr="008215CB" w:rsidRDefault="0049084A" w:rsidP="009300F7">
            <w:pPr>
              <w:spacing w:before="60"/>
              <w:jc w:val="right"/>
              <w:rPr>
                <w:szCs w:val="22"/>
              </w:rPr>
            </w:pPr>
            <w:r w:rsidRPr="00336BE0">
              <w:rPr>
                <w:b/>
                <w:bCs/>
                <w:szCs w:val="22"/>
              </w:rPr>
              <w:t>Accountability</w:t>
            </w:r>
          </w:p>
        </w:tc>
      </w:tr>
      <w:tr w:rsidR="0049084A" w:rsidRPr="008215CB" w14:paraId="20BF702F" w14:textId="77777777" w:rsidTr="00F56D19">
        <w:tc>
          <w:tcPr>
            <w:tcW w:w="704" w:type="dxa"/>
            <w:tcBorders>
              <w:left w:val="single" w:sz="4" w:space="0" w:color="FFFFFF" w:themeColor="background1"/>
              <w:bottom w:val="nil"/>
              <w:right w:val="nil"/>
            </w:tcBorders>
          </w:tcPr>
          <w:p w14:paraId="11513C0D" w14:textId="77777777" w:rsidR="0049084A" w:rsidRPr="004D164F" w:rsidRDefault="0049084A" w:rsidP="009300F7">
            <w:pPr>
              <w:spacing w:before="60"/>
              <w:rPr>
                <w:b/>
                <w:bCs/>
                <w:szCs w:val="22"/>
              </w:rPr>
            </w:pPr>
            <w:r w:rsidRPr="004D164F">
              <w:rPr>
                <w:b/>
                <w:bCs/>
                <w:szCs w:val="22"/>
              </w:rPr>
              <w:t>7.1</w:t>
            </w:r>
          </w:p>
        </w:tc>
        <w:tc>
          <w:tcPr>
            <w:tcW w:w="6804" w:type="dxa"/>
            <w:tcBorders>
              <w:left w:val="nil"/>
              <w:bottom w:val="nil"/>
              <w:right w:val="single" w:sz="4" w:space="0" w:color="F2F2F2" w:themeColor="background1" w:themeShade="F2"/>
            </w:tcBorders>
          </w:tcPr>
          <w:p w14:paraId="7318F4F2" w14:textId="7C832CCC" w:rsidR="0049084A" w:rsidRPr="009300F7" w:rsidRDefault="0049084A" w:rsidP="009300F7">
            <w:pPr>
              <w:spacing w:before="60" w:after="160" w:line="278" w:lineRule="auto"/>
              <w:rPr>
                <w:szCs w:val="22"/>
              </w:rPr>
            </w:pPr>
            <w:r w:rsidRPr="009300F7">
              <w:rPr>
                <w:szCs w:val="22"/>
              </w:rPr>
              <w:t>Realign DGS to lead shared platforms and manage repeatable service delivery</w:t>
            </w:r>
            <w:r w:rsidR="00754D91">
              <w:rPr>
                <w:szCs w:val="22"/>
              </w:rPr>
              <w:t>,</w:t>
            </w:r>
            <w:r w:rsidRPr="009300F7">
              <w:rPr>
                <w:szCs w:val="22"/>
              </w:rPr>
              <w:t xml:space="preserve"> return strategic corporate functions to DPC and DTF</w:t>
            </w:r>
            <w:r w:rsidR="00FB369B">
              <w:rPr>
                <w:szCs w:val="22"/>
              </w:rPr>
              <w:t>,</w:t>
            </w:r>
            <w:r w:rsidRPr="009300F7">
              <w:rPr>
                <w:szCs w:val="22"/>
              </w:rPr>
              <w:t xml:space="preserve"> and remove direct regulatory </w:t>
            </w:r>
            <w:r w:rsidR="00096926" w:rsidRPr="00085185">
              <w:rPr>
                <w:szCs w:val="22"/>
              </w:rPr>
              <w:t>accountability</w:t>
            </w:r>
            <w:r w:rsidRPr="009300F7">
              <w:rPr>
                <w:szCs w:val="22"/>
              </w:rPr>
              <w:t xml:space="preserve"> from DGS</w:t>
            </w:r>
            <w:r w:rsidR="002764E6">
              <w:rPr>
                <w:szCs w:val="22"/>
              </w:rPr>
              <w:t>.</w:t>
            </w:r>
          </w:p>
        </w:tc>
        <w:tc>
          <w:tcPr>
            <w:tcW w:w="1843" w:type="dxa"/>
            <w:tcBorders>
              <w:left w:val="single" w:sz="4" w:space="0" w:color="F2F2F2" w:themeColor="background1" w:themeShade="F2"/>
              <w:bottom w:val="nil"/>
              <w:right w:val="single" w:sz="4" w:space="0" w:color="FFFFFF" w:themeColor="background1"/>
            </w:tcBorders>
          </w:tcPr>
          <w:p w14:paraId="1F79DA7B" w14:textId="4700D6F5" w:rsidR="0049084A" w:rsidRPr="009300F7" w:rsidRDefault="0049084A" w:rsidP="009300F7">
            <w:pPr>
              <w:spacing w:before="60"/>
              <w:jc w:val="right"/>
              <w:rPr>
                <w:b/>
                <w:bCs/>
                <w:szCs w:val="22"/>
              </w:rPr>
            </w:pPr>
            <w:r w:rsidRPr="009300F7">
              <w:rPr>
                <w:b/>
                <w:bCs/>
                <w:szCs w:val="22"/>
              </w:rPr>
              <w:t>DGS</w:t>
            </w:r>
            <w:r w:rsidR="002E3E93">
              <w:rPr>
                <w:b/>
                <w:bCs/>
                <w:szCs w:val="22"/>
              </w:rPr>
              <w:t xml:space="preserve"> / </w:t>
            </w:r>
            <w:r w:rsidR="00D758E8" w:rsidRPr="009300F7">
              <w:rPr>
                <w:b/>
                <w:szCs w:val="22"/>
              </w:rPr>
              <w:t>DTF</w:t>
            </w:r>
            <w:r w:rsidR="002E3E93">
              <w:rPr>
                <w:b/>
                <w:bCs/>
                <w:szCs w:val="22"/>
              </w:rPr>
              <w:t xml:space="preserve"> / </w:t>
            </w:r>
            <w:r w:rsidR="00D758E8" w:rsidRPr="009300F7">
              <w:rPr>
                <w:b/>
                <w:szCs w:val="22"/>
              </w:rPr>
              <w:t>DPC</w:t>
            </w:r>
          </w:p>
        </w:tc>
      </w:tr>
      <w:tr w:rsidR="0049084A" w:rsidRPr="008215CB" w14:paraId="00D803BC" w14:textId="77777777" w:rsidTr="00F56D19">
        <w:tc>
          <w:tcPr>
            <w:tcW w:w="704" w:type="dxa"/>
            <w:tcBorders>
              <w:top w:val="nil"/>
              <w:left w:val="single" w:sz="4" w:space="0" w:color="FFFFFF" w:themeColor="background1"/>
              <w:bottom w:val="nil"/>
              <w:right w:val="nil"/>
            </w:tcBorders>
          </w:tcPr>
          <w:p w14:paraId="6B3F8A32" w14:textId="77777777" w:rsidR="0049084A" w:rsidRPr="004D164F" w:rsidRDefault="0049084A" w:rsidP="00352512">
            <w:pPr>
              <w:rPr>
                <w:b/>
                <w:bCs/>
                <w:szCs w:val="22"/>
              </w:rPr>
            </w:pPr>
            <w:r w:rsidRPr="004D164F">
              <w:rPr>
                <w:b/>
                <w:bCs/>
                <w:szCs w:val="22"/>
              </w:rPr>
              <w:t>7.2</w:t>
            </w:r>
          </w:p>
        </w:tc>
        <w:tc>
          <w:tcPr>
            <w:tcW w:w="6804" w:type="dxa"/>
            <w:tcBorders>
              <w:top w:val="nil"/>
              <w:left w:val="nil"/>
              <w:bottom w:val="nil"/>
              <w:right w:val="single" w:sz="4" w:space="0" w:color="F2F2F2" w:themeColor="background1" w:themeShade="F2"/>
            </w:tcBorders>
          </w:tcPr>
          <w:p w14:paraId="0EF21450" w14:textId="16CF9390" w:rsidR="0049084A" w:rsidRPr="009300F7" w:rsidRDefault="0049084A" w:rsidP="00F72F14">
            <w:pPr>
              <w:spacing w:after="160" w:line="278" w:lineRule="auto"/>
              <w:ind w:left="22"/>
              <w:rPr>
                <w:szCs w:val="22"/>
              </w:rPr>
            </w:pPr>
            <w:r w:rsidRPr="009300F7">
              <w:rPr>
                <w:szCs w:val="22"/>
              </w:rPr>
              <w:t>Develop a structured roadmap for digital reform: scale regulatory and</w:t>
            </w:r>
            <w:r w:rsidR="0090525B">
              <w:rPr>
                <w:szCs w:val="22"/>
              </w:rPr>
              <w:t> </w:t>
            </w:r>
            <w:r w:rsidRPr="009300F7">
              <w:rPr>
                <w:szCs w:val="22"/>
              </w:rPr>
              <w:t xml:space="preserve">customer platforms; </w:t>
            </w:r>
            <w:proofErr w:type="spellStart"/>
            <w:r w:rsidRPr="009300F7">
              <w:rPr>
                <w:szCs w:val="22"/>
              </w:rPr>
              <w:t>standardise</w:t>
            </w:r>
            <w:proofErr w:type="spellEnd"/>
            <w:r w:rsidRPr="009300F7">
              <w:rPr>
                <w:szCs w:val="22"/>
              </w:rPr>
              <w:t xml:space="preserve"> corporate processes; </w:t>
            </w:r>
            <w:r w:rsidR="00F26F43">
              <w:rPr>
                <w:szCs w:val="22"/>
              </w:rPr>
              <w:t xml:space="preserve">and </w:t>
            </w:r>
            <w:r w:rsidRPr="009300F7">
              <w:rPr>
                <w:szCs w:val="22"/>
              </w:rPr>
              <w:t xml:space="preserve">onboard departments with complex corporate needs once core modules </w:t>
            </w:r>
            <w:proofErr w:type="spellStart"/>
            <w:r w:rsidRPr="009300F7">
              <w:rPr>
                <w:szCs w:val="22"/>
              </w:rPr>
              <w:t>stabilise</w:t>
            </w:r>
            <w:proofErr w:type="spellEnd"/>
            <w:r w:rsidRPr="009300F7">
              <w:rPr>
                <w:szCs w:val="22"/>
              </w:rPr>
              <w:t>.</w:t>
            </w:r>
          </w:p>
        </w:tc>
        <w:tc>
          <w:tcPr>
            <w:tcW w:w="1843" w:type="dxa"/>
            <w:tcBorders>
              <w:top w:val="nil"/>
              <w:left w:val="single" w:sz="4" w:space="0" w:color="F2F2F2" w:themeColor="background1" w:themeShade="F2"/>
              <w:bottom w:val="nil"/>
              <w:right w:val="single" w:sz="4" w:space="0" w:color="FFFFFF" w:themeColor="background1"/>
            </w:tcBorders>
          </w:tcPr>
          <w:p w14:paraId="7802071E" w14:textId="77777777" w:rsidR="0049084A" w:rsidRPr="009300F7" w:rsidRDefault="0049084A" w:rsidP="006B359A">
            <w:pPr>
              <w:jc w:val="right"/>
              <w:rPr>
                <w:b/>
                <w:bCs/>
                <w:szCs w:val="22"/>
              </w:rPr>
            </w:pPr>
            <w:r w:rsidRPr="009300F7">
              <w:rPr>
                <w:b/>
                <w:bCs/>
                <w:szCs w:val="22"/>
              </w:rPr>
              <w:t>DGS</w:t>
            </w:r>
          </w:p>
        </w:tc>
      </w:tr>
      <w:tr w:rsidR="0049084A" w:rsidRPr="008215CB" w14:paraId="1E2071E0" w14:textId="77777777" w:rsidTr="00F56D19">
        <w:tc>
          <w:tcPr>
            <w:tcW w:w="704" w:type="dxa"/>
            <w:tcBorders>
              <w:top w:val="nil"/>
              <w:left w:val="single" w:sz="4" w:space="0" w:color="FFFFFF" w:themeColor="background1"/>
              <w:bottom w:val="nil"/>
              <w:right w:val="nil"/>
            </w:tcBorders>
          </w:tcPr>
          <w:p w14:paraId="7A140442" w14:textId="77777777" w:rsidR="0049084A" w:rsidRPr="004D164F" w:rsidRDefault="0049084A" w:rsidP="00352512">
            <w:pPr>
              <w:rPr>
                <w:b/>
                <w:bCs/>
                <w:szCs w:val="22"/>
              </w:rPr>
            </w:pPr>
            <w:r w:rsidRPr="004D164F">
              <w:rPr>
                <w:b/>
                <w:bCs/>
                <w:szCs w:val="22"/>
              </w:rPr>
              <w:t>7.3</w:t>
            </w:r>
          </w:p>
        </w:tc>
        <w:tc>
          <w:tcPr>
            <w:tcW w:w="6804" w:type="dxa"/>
            <w:tcBorders>
              <w:top w:val="nil"/>
              <w:left w:val="nil"/>
              <w:bottom w:val="nil"/>
              <w:right w:val="single" w:sz="4" w:space="0" w:color="F2F2F2" w:themeColor="background1" w:themeShade="F2"/>
            </w:tcBorders>
          </w:tcPr>
          <w:p w14:paraId="71EDFC31" w14:textId="57BA5043" w:rsidR="0049084A" w:rsidRPr="009300F7" w:rsidRDefault="0049084A" w:rsidP="00F72F14">
            <w:pPr>
              <w:spacing w:after="160" w:line="278" w:lineRule="auto"/>
              <w:ind w:left="22"/>
              <w:rPr>
                <w:szCs w:val="22"/>
              </w:rPr>
            </w:pPr>
            <w:r w:rsidRPr="009300F7">
              <w:rPr>
                <w:szCs w:val="22"/>
              </w:rPr>
              <w:t>Establish a DGS-led AI Centre of Excellence to support safe experimentation, capability uplift and adoption</w:t>
            </w:r>
            <w:r w:rsidR="0036779F">
              <w:rPr>
                <w:szCs w:val="22"/>
              </w:rPr>
              <w:t xml:space="preserve"> </w:t>
            </w:r>
            <w:r w:rsidR="0036779F">
              <w:t>of AI</w:t>
            </w:r>
            <w:r w:rsidR="000A2CDC">
              <w:rPr>
                <w:szCs w:val="22"/>
              </w:rPr>
              <w:t>.</w:t>
            </w:r>
          </w:p>
        </w:tc>
        <w:tc>
          <w:tcPr>
            <w:tcW w:w="1843" w:type="dxa"/>
            <w:tcBorders>
              <w:top w:val="nil"/>
              <w:left w:val="single" w:sz="4" w:space="0" w:color="F2F2F2" w:themeColor="background1" w:themeShade="F2"/>
              <w:bottom w:val="nil"/>
              <w:right w:val="single" w:sz="4" w:space="0" w:color="FFFFFF" w:themeColor="background1"/>
            </w:tcBorders>
          </w:tcPr>
          <w:p w14:paraId="51F0CE20" w14:textId="77777777" w:rsidR="0049084A" w:rsidRPr="009300F7" w:rsidRDefault="0049084A" w:rsidP="006B359A">
            <w:pPr>
              <w:jc w:val="right"/>
              <w:rPr>
                <w:b/>
                <w:bCs/>
                <w:szCs w:val="22"/>
              </w:rPr>
            </w:pPr>
            <w:r w:rsidRPr="009300F7">
              <w:rPr>
                <w:b/>
                <w:bCs/>
                <w:szCs w:val="22"/>
              </w:rPr>
              <w:t>DGS</w:t>
            </w:r>
          </w:p>
        </w:tc>
      </w:tr>
      <w:tr w:rsidR="0049084A" w:rsidRPr="008215CB" w14:paraId="0ADA323A" w14:textId="77777777" w:rsidTr="00F56D19">
        <w:tc>
          <w:tcPr>
            <w:tcW w:w="704" w:type="dxa"/>
            <w:tcBorders>
              <w:top w:val="nil"/>
              <w:left w:val="single" w:sz="4" w:space="0" w:color="FFFFFF" w:themeColor="background1"/>
              <w:bottom w:val="nil"/>
              <w:right w:val="nil"/>
            </w:tcBorders>
          </w:tcPr>
          <w:p w14:paraId="5DBD6674" w14:textId="77777777" w:rsidR="0049084A" w:rsidRPr="004D164F" w:rsidRDefault="0049084A" w:rsidP="00352512">
            <w:pPr>
              <w:rPr>
                <w:b/>
                <w:bCs/>
                <w:szCs w:val="22"/>
              </w:rPr>
            </w:pPr>
            <w:r w:rsidRPr="004D164F">
              <w:rPr>
                <w:b/>
                <w:bCs/>
                <w:szCs w:val="22"/>
              </w:rPr>
              <w:t>7.4</w:t>
            </w:r>
          </w:p>
        </w:tc>
        <w:tc>
          <w:tcPr>
            <w:tcW w:w="6804" w:type="dxa"/>
            <w:tcBorders>
              <w:top w:val="nil"/>
              <w:left w:val="nil"/>
              <w:bottom w:val="nil"/>
              <w:right w:val="single" w:sz="4" w:space="0" w:color="F2F2F2" w:themeColor="background1" w:themeShade="F2"/>
            </w:tcBorders>
          </w:tcPr>
          <w:p w14:paraId="7E3182F7" w14:textId="038DD0F5" w:rsidR="0049084A" w:rsidRPr="009300F7" w:rsidRDefault="0049084A" w:rsidP="00F72F14">
            <w:pPr>
              <w:spacing w:after="160" w:line="278" w:lineRule="auto"/>
              <w:ind w:left="22"/>
              <w:rPr>
                <w:szCs w:val="22"/>
              </w:rPr>
            </w:pPr>
            <w:r w:rsidRPr="009300F7">
              <w:rPr>
                <w:szCs w:val="22"/>
              </w:rPr>
              <w:t>Invest in core digital infrastructure</w:t>
            </w:r>
            <w:r w:rsidR="00D67314">
              <w:rPr>
                <w:szCs w:val="22"/>
              </w:rPr>
              <w:t xml:space="preserve"> (</w:t>
            </w:r>
            <w:r w:rsidRPr="009300F7">
              <w:rPr>
                <w:szCs w:val="22"/>
              </w:rPr>
              <w:t>identity, cloud, A</w:t>
            </w:r>
            <w:r w:rsidR="001066F6">
              <w:rPr>
                <w:szCs w:val="22"/>
              </w:rPr>
              <w:t xml:space="preserve">pplication </w:t>
            </w:r>
            <w:r w:rsidRPr="009300F7">
              <w:rPr>
                <w:szCs w:val="22"/>
              </w:rPr>
              <w:t>P</w:t>
            </w:r>
            <w:r w:rsidR="001066F6">
              <w:rPr>
                <w:szCs w:val="22"/>
              </w:rPr>
              <w:t>rogramming Interface protocols</w:t>
            </w:r>
            <w:r w:rsidRPr="009300F7">
              <w:rPr>
                <w:szCs w:val="22"/>
              </w:rPr>
              <w:t xml:space="preserve"> and data standards</w:t>
            </w:r>
            <w:r w:rsidR="00D24D60">
              <w:rPr>
                <w:szCs w:val="22"/>
              </w:rPr>
              <w:t>)</w:t>
            </w:r>
            <w:r w:rsidRPr="009300F7">
              <w:rPr>
                <w:szCs w:val="22"/>
              </w:rPr>
              <w:t xml:space="preserve"> with workforce</w:t>
            </w:r>
            <w:r w:rsidR="001F712C">
              <w:rPr>
                <w:szCs w:val="22"/>
              </w:rPr>
              <w:t> </w:t>
            </w:r>
            <w:r w:rsidRPr="009300F7">
              <w:rPr>
                <w:szCs w:val="22"/>
              </w:rPr>
              <w:t xml:space="preserve">identifiers and common workflows </w:t>
            </w:r>
            <w:proofErr w:type="spellStart"/>
            <w:r w:rsidRPr="009300F7">
              <w:rPr>
                <w:szCs w:val="22"/>
              </w:rPr>
              <w:t>prioritised</w:t>
            </w:r>
            <w:proofErr w:type="spellEnd"/>
            <w:r w:rsidRPr="009300F7">
              <w:rPr>
                <w:szCs w:val="22"/>
              </w:rPr>
              <w:t xml:space="preserve"> in </w:t>
            </w:r>
            <w:r w:rsidR="004C4732">
              <w:rPr>
                <w:szCs w:val="22"/>
              </w:rPr>
              <w:br/>
            </w:r>
            <w:r w:rsidRPr="009300F7">
              <w:rPr>
                <w:szCs w:val="22"/>
              </w:rPr>
              <w:t>year</w:t>
            </w:r>
            <w:r w:rsidR="002D39FD">
              <w:rPr>
                <w:szCs w:val="22"/>
              </w:rPr>
              <w:t>s</w:t>
            </w:r>
            <w:r w:rsidRPr="009300F7">
              <w:rPr>
                <w:szCs w:val="22"/>
              </w:rPr>
              <w:t xml:space="preserve"> 1</w:t>
            </w:r>
            <w:r w:rsidR="00F56369">
              <w:rPr>
                <w:szCs w:val="22"/>
              </w:rPr>
              <w:t>–</w:t>
            </w:r>
            <w:r w:rsidRPr="009300F7">
              <w:rPr>
                <w:szCs w:val="22"/>
              </w:rPr>
              <w:t>2 of the roadmap.</w:t>
            </w:r>
          </w:p>
        </w:tc>
        <w:tc>
          <w:tcPr>
            <w:tcW w:w="1843" w:type="dxa"/>
            <w:tcBorders>
              <w:top w:val="nil"/>
              <w:left w:val="single" w:sz="4" w:space="0" w:color="F2F2F2" w:themeColor="background1" w:themeShade="F2"/>
              <w:bottom w:val="nil"/>
              <w:right w:val="single" w:sz="4" w:space="0" w:color="FFFFFF" w:themeColor="background1"/>
            </w:tcBorders>
          </w:tcPr>
          <w:p w14:paraId="4C7A4C9E" w14:textId="3EB2EE6C" w:rsidR="0049084A" w:rsidRPr="009300F7" w:rsidRDefault="003C71F6" w:rsidP="006B359A">
            <w:pPr>
              <w:jc w:val="right"/>
              <w:rPr>
                <w:b/>
                <w:bCs/>
                <w:szCs w:val="22"/>
              </w:rPr>
            </w:pPr>
            <w:r w:rsidRPr="009300F7">
              <w:rPr>
                <w:b/>
                <w:szCs w:val="22"/>
              </w:rPr>
              <w:t>DGS</w:t>
            </w:r>
          </w:p>
        </w:tc>
      </w:tr>
      <w:tr w:rsidR="0049084A" w:rsidRPr="008215CB" w14:paraId="09D00FA9" w14:textId="77777777" w:rsidTr="00F56D19">
        <w:tc>
          <w:tcPr>
            <w:tcW w:w="704" w:type="dxa"/>
            <w:tcBorders>
              <w:top w:val="nil"/>
              <w:left w:val="single" w:sz="4" w:space="0" w:color="FFFFFF" w:themeColor="background1"/>
              <w:bottom w:val="nil"/>
              <w:right w:val="nil"/>
            </w:tcBorders>
          </w:tcPr>
          <w:p w14:paraId="6FC592F7" w14:textId="77777777" w:rsidR="0049084A" w:rsidRPr="004D164F" w:rsidRDefault="0049084A" w:rsidP="00352512">
            <w:pPr>
              <w:rPr>
                <w:b/>
                <w:bCs/>
                <w:szCs w:val="22"/>
              </w:rPr>
            </w:pPr>
            <w:r w:rsidRPr="004D164F">
              <w:rPr>
                <w:b/>
                <w:bCs/>
                <w:szCs w:val="22"/>
              </w:rPr>
              <w:t>7.5</w:t>
            </w:r>
          </w:p>
        </w:tc>
        <w:tc>
          <w:tcPr>
            <w:tcW w:w="6804" w:type="dxa"/>
            <w:tcBorders>
              <w:top w:val="nil"/>
              <w:left w:val="nil"/>
              <w:bottom w:val="nil"/>
              <w:right w:val="single" w:sz="4" w:space="0" w:color="F2F2F2" w:themeColor="background1" w:themeShade="F2"/>
            </w:tcBorders>
          </w:tcPr>
          <w:p w14:paraId="72DD3C6B" w14:textId="62E013ED" w:rsidR="0049084A" w:rsidRPr="009300F7" w:rsidRDefault="0049084A" w:rsidP="00F72F14">
            <w:pPr>
              <w:spacing w:after="160" w:line="278" w:lineRule="auto"/>
              <w:ind w:left="22"/>
              <w:rPr>
                <w:szCs w:val="22"/>
              </w:rPr>
            </w:pPr>
            <w:r w:rsidRPr="009300F7">
              <w:rPr>
                <w:szCs w:val="22"/>
              </w:rPr>
              <w:t xml:space="preserve">Establish strong central governance and accountability through a Digital Government Steering Committee, </w:t>
            </w:r>
            <w:r w:rsidR="002378C7">
              <w:rPr>
                <w:szCs w:val="22"/>
              </w:rPr>
              <w:t>VSB</w:t>
            </w:r>
            <w:r w:rsidRPr="009300F7">
              <w:rPr>
                <w:szCs w:val="22"/>
              </w:rPr>
              <w:t xml:space="preserve"> and annual public scorecards</w:t>
            </w:r>
            <w:r w:rsidR="002378C7">
              <w:rPr>
                <w:szCs w:val="22"/>
              </w:rPr>
              <w:t>.</w:t>
            </w:r>
          </w:p>
        </w:tc>
        <w:tc>
          <w:tcPr>
            <w:tcW w:w="1843" w:type="dxa"/>
            <w:tcBorders>
              <w:top w:val="nil"/>
              <w:left w:val="single" w:sz="4" w:space="0" w:color="F2F2F2" w:themeColor="background1" w:themeShade="F2"/>
              <w:bottom w:val="nil"/>
              <w:right w:val="single" w:sz="4" w:space="0" w:color="FFFFFF" w:themeColor="background1"/>
            </w:tcBorders>
          </w:tcPr>
          <w:p w14:paraId="2C63C02C" w14:textId="5FCA0AE1" w:rsidR="0049084A" w:rsidRPr="009300F7" w:rsidRDefault="00522096" w:rsidP="006B359A">
            <w:pPr>
              <w:jc w:val="right"/>
              <w:rPr>
                <w:b/>
                <w:bCs/>
                <w:szCs w:val="22"/>
              </w:rPr>
            </w:pPr>
            <w:r w:rsidRPr="009300F7">
              <w:rPr>
                <w:b/>
                <w:bCs/>
                <w:szCs w:val="22"/>
              </w:rPr>
              <w:t>DPC</w:t>
            </w:r>
            <w:r w:rsidR="002E3E93">
              <w:rPr>
                <w:b/>
                <w:bCs/>
                <w:szCs w:val="22"/>
              </w:rPr>
              <w:t xml:space="preserve"> / </w:t>
            </w:r>
            <w:r w:rsidR="0049084A" w:rsidRPr="009300F7">
              <w:rPr>
                <w:b/>
                <w:bCs/>
                <w:szCs w:val="22"/>
              </w:rPr>
              <w:t>DGS</w:t>
            </w:r>
          </w:p>
        </w:tc>
      </w:tr>
      <w:tr w:rsidR="0049084A" w:rsidRPr="008215CB" w14:paraId="04B940B4" w14:textId="77777777" w:rsidTr="00F56D19">
        <w:tc>
          <w:tcPr>
            <w:tcW w:w="704" w:type="dxa"/>
            <w:tcBorders>
              <w:top w:val="nil"/>
              <w:left w:val="single" w:sz="4" w:space="0" w:color="FFFFFF" w:themeColor="background1"/>
              <w:right w:val="nil"/>
            </w:tcBorders>
          </w:tcPr>
          <w:p w14:paraId="0DF5784D" w14:textId="77777777" w:rsidR="0049084A" w:rsidRPr="004D164F" w:rsidRDefault="0049084A" w:rsidP="00AE0D5B">
            <w:pPr>
              <w:spacing w:afterLines="60" w:after="144"/>
              <w:rPr>
                <w:b/>
                <w:bCs/>
                <w:szCs w:val="22"/>
              </w:rPr>
            </w:pPr>
            <w:r w:rsidRPr="004D164F">
              <w:rPr>
                <w:b/>
                <w:bCs/>
                <w:szCs w:val="22"/>
              </w:rPr>
              <w:t>7.6</w:t>
            </w:r>
          </w:p>
        </w:tc>
        <w:tc>
          <w:tcPr>
            <w:tcW w:w="6804" w:type="dxa"/>
            <w:tcBorders>
              <w:top w:val="nil"/>
              <w:left w:val="nil"/>
              <w:right w:val="single" w:sz="4" w:space="0" w:color="F2F2F2" w:themeColor="background1" w:themeShade="F2"/>
            </w:tcBorders>
          </w:tcPr>
          <w:p w14:paraId="1D14D467" w14:textId="7255735E" w:rsidR="0049084A" w:rsidRPr="009300F7" w:rsidRDefault="0049084A" w:rsidP="00AE0D5B">
            <w:pPr>
              <w:spacing w:afterLines="60" w:after="144" w:line="278" w:lineRule="auto"/>
              <w:rPr>
                <w:szCs w:val="22"/>
              </w:rPr>
            </w:pPr>
            <w:r w:rsidRPr="009300F7">
              <w:rPr>
                <w:szCs w:val="22"/>
              </w:rPr>
              <w:t>Create a fund to support transition, innovation, and capability uplift</w:t>
            </w:r>
            <w:r w:rsidR="00B074EB">
              <w:rPr>
                <w:szCs w:val="22"/>
              </w:rPr>
              <w:t xml:space="preserve"> – </w:t>
            </w:r>
            <w:r w:rsidRPr="009300F7">
              <w:rPr>
                <w:szCs w:val="22"/>
              </w:rPr>
              <w:t>with co-investment and return on investment expectations from departments</w:t>
            </w:r>
            <w:r w:rsidR="000A2CDC">
              <w:rPr>
                <w:szCs w:val="22"/>
              </w:rPr>
              <w:t>.</w:t>
            </w:r>
          </w:p>
        </w:tc>
        <w:tc>
          <w:tcPr>
            <w:tcW w:w="1843" w:type="dxa"/>
            <w:tcBorders>
              <w:top w:val="nil"/>
              <w:left w:val="single" w:sz="4" w:space="0" w:color="F2F2F2" w:themeColor="background1" w:themeShade="F2"/>
              <w:right w:val="single" w:sz="4" w:space="0" w:color="FFFFFF" w:themeColor="background1"/>
            </w:tcBorders>
          </w:tcPr>
          <w:p w14:paraId="43253043" w14:textId="77777777" w:rsidR="0049084A" w:rsidRPr="009300F7" w:rsidRDefault="0049084A" w:rsidP="00AE0D5B">
            <w:pPr>
              <w:spacing w:afterLines="60" w:after="144"/>
              <w:jc w:val="right"/>
              <w:rPr>
                <w:b/>
                <w:bCs/>
                <w:szCs w:val="22"/>
              </w:rPr>
            </w:pPr>
            <w:r w:rsidRPr="009300F7">
              <w:rPr>
                <w:b/>
                <w:bCs/>
                <w:szCs w:val="22"/>
              </w:rPr>
              <w:t>DGS</w:t>
            </w:r>
          </w:p>
        </w:tc>
      </w:tr>
    </w:tbl>
    <w:p w14:paraId="6AF17BE2" w14:textId="77777777" w:rsidR="001E1514" w:rsidRDefault="001E1514"/>
    <w:tbl>
      <w:tblPr>
        <w:tblStyle w:val="TableGrid"/>
        <w:tblW w:w="9351" w:type="dxa"/>
        <w:tblLayout w:type="fixed"/>
        <w:tblLook w:val="04A0" w:firstRow="1" w:lastRow="0" w:firstColumn="1" w:lastColumn="0" w:noHBand="0" w:noVBand="1"/>
      </w:tblPr>
      <w:tblGrid>
        <w:gridCol w:w="704"/>
        <w:gridCol w:w="6804"/>
        <w:gridCol w:w="1843"/>
      </w:tblGrid>
      <w:tr w:rsidR="0049084A" w:rsidRPr="008215CB" w14:paraId="3B21F10D" w14:textId="77777777" w:rsidTr="00C73948">
        <w:trPr>
          <w:trHeight w:val="454"/>
        </w:trPr>
        <w:tc>
          <w:tcPr>
            <w:tcW w:w="9351" w:type="dxa"/>
            <w:gridSpan w:val="3"/>
            <w:tcBorders>
              <w:top w:val="single" w:sz="4" w:space="0" w:color="auto"/>
              <w:left w:val="single" w:sz="4" w:space="0" w:color="FFFFFF" w:themeColor="background1"/>
              <w:right w:val="single" w:sz="4" w:space="0" w:color="FFFFFF" w:themeColor="background1"/>
            </w:tcBorders>
            <w:shd w:val="clear" w:color="auto" w:fill="E7E6E6"/>
          </w:tcPr>
          <w:p w14:paraId="6534F182" w14:textId="2872DA84" w:rsidR="0049084A" w:rsidRPr="00495CCD" w:rsidRDefault="0049084A" w:rsidP="002E2EEC">
            <w:pPr>
              <w:keepNext/>
              <w:spacing w:before="60"/>
              <w:rPr>
                <w:b/>
                <w:szCs w:val="22"/>
              </w:rPr>
            </w:pPr>
            <w:r>
              <w:rPr>
                <w:b/>
                <w:bCs/>
                <w:szCs w:val="22"/>
              </w:rPr>
              <w:lastRenderedPageBreak/>
              <w:t xml:space="preserve">Chapter 8: </w:t>
            </w:r>
            <w:r w:rsidRPr="005959ED">
              <w:rPr>
                <w:b/>
                <w:bCs/>
                <w:szCs w:val="22"/>
              </w:rPr>
              <w:t>Portfolio and other reforms</w:t>
            </w:r>
          </w:p>
        </w:tc>
      </w:tr>
      <w:tr w:rsidR="009E72E6" w:rsidRPr="008215CB" w14:paraId="49E93A1D" w14:textId="77777777" w:rsidTr="009E72E6">
        <w:trPr>
          <w:trHeight w:val="454"/>
        </w:trPr>
        <w:tc>
          <w:tcPr>
            <w:tcW w:w="9351" w:type="dxa"/>
            <w:gridSpan w:val="3"/>
            <w:tcBorders>
              <w:top w:val="single" w:sz="2" w:space="0" w:color="auto"/>
              <w:left w:val="single" w:sz="4" w:space="0" w:color="FFFFFF" w:themeColor="background1"/>
              <w:right w:val="single" w:sz="4" w:space="0" w:color="FFFFFF" w:themeColor="background1"/>
            </w:tcBorders>
            <w:shd w:val="clear" w:color="auto" w:fill="F2F2F2" w:themeFill="background1" w:themeFillShade="F2"/>
          </w:tcPr>
          <w:p w14:paraId="4038462E" w14:textId="3A193DD8" w:rsidR="009E72E6" w:rsidRPr="00C028B8" w:rsidRDefault="00C028B8" w:rsidP="002E2EEC">
            <w:pPr>
              <w:keepNext/>
              <w:spacing w:before="60"/>
              <w:rPr>
                <w:szCs w:val="22"/>
              </w:rPr>
            </w:pPr>
            <w:r w:rsidRPr="00734A74">
              <w:rPr>
                <w:szCs w:val="22"/>
              </w:rPr>
              <w:t>$1,2</w:t>
            </w:r>
            <w:r w:rsidR="00FA2866" w:rsidRPr="00734A74">
              <w:rPr>
                <w:szCs w:val="22"/>
              </w:rPr>
              <w:t>1</w:t>
            </w:r>
            <w:r w:rsidR="00375D1F" w:rsidRPr="00734A74">
              <w:rPr>
                <w:szCs w:val="22"/>
              </w:rPr>
              <w:t>4</w:t>
            </w:r>
            <w:r w:rsidRPr="00734A74">
              <w:rPr>
                <w:szCs w:val="22"/>
              </w:rPr>
              <w:t xml:space="preserve"> million</w:t>
            </w:r>
            <w:r w:rsidRPr="00C028B8">
              <w:rPr>
                <w:szCs w:val="22"/>
              </w:rPr>
              <w:t xml:space="preserve"> savings from 2025–26 to 2028–29; 384 ongoing FTE reduction</w:t>
            </w:r>
          </w:p>
        </w:tc>
      </w:tr>
      <w:tr w:rsidR="0049084A" w:rsidRPr="008215CB" w14:paraId="2A15967D" w14:textId="77777777" w:rsidTr="00F56D19">
        <w:trPr>
          <w:trHeight w:val="454"/>
        </w:trPr>
        <w:tc>
          <w:tcPr>
            <w:tcW w:w="7508" w:type="dxa"/>
            <w:gridSpan w:val="2"/>
            <w:tcBorders>
              <w:left w:val="single" w:sz="4" w:space="0" w:color="FFFFFF" w:themeColor="background1"/>
              <w:bottom w:val="single" w:sz="4" w:space="0" w:color="auto"/>
              <w:right w:val="single" w:sz="12" w:space="0" w:color="FFFFFF" w:themeColor="background1"/>
            </w:tcBorders>
          </w:tcPr>
          <w:p w14:paraId="20295DFC" w14:textId="77777777" w:rsidR="0049084A" w:rsidRPr="008215CB" w:rsidRDefault="0049084A" w:rsidP="002E2EEC">
            <w:pPr>
              <w:keepNext/>
              <w:spacing w:before="60"/>
              <w:rPr>
                <w:szCs w:val="22"/>
              </w:rPr>
            </w:pPr>
            <w:r w:rsidRPr="00336BE0">
              <w:rPr>
                <w:b/>
                <w:bCs/>
                <w:szCs w:val="22"/>
              </w:rPr>
              <w:t>Recommendation</w:t>
            </w:r>
          </w:p>
        </w:tc>
        <w:tc>
          <w:tcPr>
            <w:tcW w:w="1843" w:type="dxa"/>
            <w:tcBorders>
              <w:left w:val="single" w:sz="12" w:space="0" w:color="FFFFFF" w:themeColor="background1"/>
              <w:bottom w:val="single" w:sz="4" w:space="0" w:color="auto"/>
              <w:right w:val="single" w:sz="4" w:space="0" w:color="FFFFFF" w:themeColor="background1"/>
            </w:tcBorders>
          </w:tcPr>
          <w:p w14:paraId="6E07535A" w14:textId="6777A466" w:rsidR="0049084A" w:rsidRPr="008215CB" w:rsidRDefault="0049084A" w:rsidP="002E2EEC">
            <w:pPr>
              <w:keepNext/>
              <w:spacing w:before="60"/>
              <w:jc w:val="right"/>
              <w:rPr>
                <w:szCs w:val="22"/>
              </w:rPr>
            </w:pPr>
            <w:r w:rsidRPr="00336BE0">
              <w:rPr>
                <w:b/>
                <w:bCs/>
                <w:szCs w:val="22"/>
              </w:rPr>
              <w:t>Accountability</w:t>
            </w:r>
          </w:p>
        </w:tc>
      </w:tr>
      <w:tr w:rsidR="0049084A" w:rsidRPr="008215CB" w14:paraId="6494D0AE" w14:textId="77777777" w:rsidTr="00F56D19">
        <w:tc>
          <w:tcPr>
            <w:tcW w:w="704" w:type="dxa"/>
            <w:tcBorders>
              <w:left w:val="single" w:sz="4" w:space="0" w:color="FFFFFF" w:themeColor="background1"/>
              <w:bottom w:val="nil"/>
              <w:right w:val="nil"/>
            </w:tcBorders>
          </w:tcPr>
          <w:p w14:paraId="193AF761" w14:textId="77777777" w:rsidR="0049084A" w:rsidRPr="00FB552D" w:rsidRDefault="0049084A" w:rsidP="002E2EEC">
            <w:pPr>
              <w:keepNext/>
              <w:spacing w:before="60"/>
              <w:rPr>
                <w:b/>
                <w:bCs/>
                <w:szCs w:val="22"/>
              </w:rPr>
            </w:pPr>
            <w:r w:rsidRPr="00FB552D">
              <w:rPr>
                <w:b/>
                <w:bCs/>
                <w:szCs w:val="22"/>
              </w:rPr>
              <w:t>8.1</w:t>
            </w:r>
          </w:p>
        </w:tc>
        <w:tc>
          <w:tcPr>
            <w:tcW w:w="6804" w:type="dxa"/>
            <w:tcBorders>
              <w:left w:val="nil"/>
              <w:bottom w:val="nil"/>
              <w:right w:val="single" w:sz="4" w:space="0" w:color="F2F2F2" w:themeColor="background1" w:themeShade="F2"/>
            </w:tcBorders>
          </w:tcPr>
          <w:p w14:paraId="06310009" w14:textId="3661B9A4" w:rsidR="0049084A" w:rsidRPr="008215CB" w:rsidRDefault="0049084A" w:rsidP="002E2EEC">
            <w:pPr>
              <w:keepNext/>
              <w:spacing w:before="60"/>
              <w:rPr>
                <w:szCs w:val="22"/>
              </w:rPr>
            </w:pPr>
            <w:r w:rsidRPr="008215CB">
              <w:rPr>
                <w:szCs w:val="22"/>
              </w:rPr>
              <w:t xml:space="preserve">Pause the commitment to </w:t>
            </w:r>
            <w:r w:rsidR="000D6F12" w:rsidRPr="001A096A">
              <w:rPr>
                <w:szCs w:val="22"/>
              </w:rPr>
              <w:t xml:space="preserve">Early Learning and Childcare </w:t>
            </w:r>
            <w:proofErr w:type="spellStart"/>
            <w:r w:rsidR="000D6F12" w:rsidRPr="001A096A">
              <w:rPr>
                <w:szCs w:val="22"/>
              </w:rPr>
              <w:t>Centres</w:t>
            </w:r>
            <w:proofErr w:type="spellEnd"/>
            <w:r w:rsidRPr="008215CB">
              <w:rPr>
                <w:szCs w:val="22"/>
              </w:rPr>
              <w:t xml:space="preserve"> beyond the first 18 already operating and under construction. </w:t>
            </w:r>
          </w:p>
          <w:p w14:paraId="20DB0ACD" w14:textId="77777777" w:rsidR="0049084A" w:rsidRPr="008215CB" w:rsidRDefault="0049084A" w:rsidP="002E2EEC">
            <w:pPr>
              <w:keepNext/>
              <w:spacing w:before="60"/>
              <w:rPr>
                <w:rFonts w:asciiTheme="majorHAnsi" w:hAnsiTheme="majorHAnsi"/>
                <w:szCs w:val="22"/>
              </w:rPr>
            </w:pPr>
          </w:p>
        </w:tc>
        <w:tc>
          <w:tcPr>
            <w:tcW w:w="1843" w:type="dxa"/>
            <w:tcBorders>
              <w:left w:val="single" w:sz="4" w:space="0" w:color="F2F2F2" w:themeColor="background1" w:themeShade="F2"/>
              <w:bottom w:val="nil"/>
              <w:right w:val="single" w:sz="4" w:space="0" w:color="FFFFFF" w:themeColor="background1"/>
            </w:tcBorders>
          </w:tcPr>
          <w:p w14:paraId="0E3A106D" w14:textId="77777777" w:rsidR="0049084A" w:rsidRPr="005F09F9" w:rsidRDefault="0049084A" w:rsidP="002E2EEC">
            <w:pPr>
              <w:keepNext/>
              <w:spacing w:before="60"/>
              <w:jc w:val="right"/>
              <w:rPr>
                <w:b/>
                <w:bCs/>
                <w:szCs w:val="22"/>
              </w:rPr>
            </w:pPr>
            <w:r>
              <w:rPr>
                <w:b/>
                <w:bCs/>
                <w:szCs w:val="22"/>
              </w:rPr>
              <w:t>DE</w:t>
            </w:r>
          </w:p>
        </w:tc>
      </w:tr>
      <w:tr w:rsidR="0049084A" w:rsidRPr="008215CB" w14:paraId="7BBF9A25" w14:textId="77777777" w:rsidTr="00F56D19">
        <w:tc>
          <w:tcPr>
            <w:tcW w:w="704" w:type="dxa"/>
            <w:tcBorders>
              <w:top w:val="nil"/>
              <w:left w:val="single" w:sz="4" w:space="0" w:color="FFFFFF" w:themeColor="background1"/>
              <w:bottom w:val="nil"/>
              <w:right w:val="nil"/>
            </w:tcBorders>
          </w:tcPr>
          <w:p w14:paraId="3C168E0F" w14:textId="77777777" w:rsidR="0049084A" w:rsidRPr="00FB552D" w:rsidRDefault="0049084A" w:rsidP="002E2EEC">
            <w:pPr>
              <w:keepNext/>
              <w:rPr>
                <w:b/>
                <w:bCs/>
                <w:szCs w:val="22"/>
              </w:rPr>
            </w:pPr>
            <w:r w:rsidRPr="00FB552D">
              <w:rPr>
                <w:b/>
                <w:bCs/>
                <w:szCs w:val="22"/>
              </w:rPr>
              <w:t>8.2</w:t>
            </w:r>
          </w:p>
        </w:tc>
        <w:tc>
          <w:tcPr>
            <w:tcW w:w="6804" w:type="dxa"/>
            <w:tcBorders>
              <w:top w:val="nil"/>
              <w:left w:val="nil"/>
              <w:bottom w:val="nil"/>
              <w:right w:val="single" w:sz="4" w:space="0" w:color="F2F2F2" w:themeColor="background1" w:themeShade="F2"/>
            </w:tcBorders>
          </w:tcPr>
          <w:p w14:paraId="4854B00A" w14:textId="0F0117E3" w:rsidR="0049084A" w:rsidRPr="008215CB" w:rsidRDefault="0049084A" w:rsidP="002E2EEC">
            <w:pPr>
              <w:keepNext/>
              <w:rPr>
                <w:szCs w:val="22"/>
              </w:rPr>
            </w:pPr>
            <w:r w:rsidRPr="008215CB">
              <w:rPr>
                <w:rFonts w:ascii="Aptos" w:eastAsia="Aptos" w:hAnsi="Aptos" w:cs="Aptos"/>
                <w:szCs w:val="22"/>
              </w:rPr>
              <w:t xml:space="preserve">Transition operation of the 18 </w:t>
            </w:r>
            <w:r w:rsidR="009F4829" w:rsidRPr="001A096A">
              <w:rPr>
                <w:szCs w:val="22"/>
              </w:rPr>
              <w:t>Early Learning and Childcare Centre</w:t>
            </w:r>
            <w:r w:rsidR="00AA6EA5" w:rsidRPr="001A096A">
              <w:rPr>
                <w:szCs w:val="22"/>
              </w:rPr>
              <w:t xml:space="preserve"> </w:t>
            </w:r>
            <w:r w:rsidRPr="001A096A">
              <w:rPr>
                <w:rFonts w:ascii="Aptos" w:eastAsia="Aptos" w:hAnsi="Aptos" w:cs="Aptos"/>
                <w:szCs w:val="22"/>
              </w:rPr>
              <w:t>sites</w:t>
            </w:r>
            <w:r w:rsidRPr="008215CB">
              <w:rPr>
                <w:rFonts w:ascii="Aptos" w:eastAsia="Aptos" w:hAnsi="Aptos" w:cs="Aptos"/>
                <w:szCs w:val="22"/>
              </w:rPr>
              <w:t xml:space="preserve"> to non-government service providers over time. </w:t>
            </w:r>
          </w:p>
          <w:p w14:paraId="73F23A42" w14:textId="77777777" w:rsidR="0049084A" w:rsidRPr="008215CB" w:rsidRDefault="0049084A" w:rsidP="002E2EEC">
            <w:pPr>
              <w:keepNext/>
              <w:rPr>
                <w:rFonts w:asciiTheme="majorHAnsi" w:hAnsiTheme="majorHAnsi"/>
                <w:szCs w:val="22"/>
              </w:rPr>
            </w:pPr>
          </w:p>
        </w:tc>
        <w:tc>
          <w:tcPr>
            <w:tcW w:w="1843" w:type="dxa"/>
            <w:tcBorders>
              <w:top w:val="nil"/>
              <w:left w:val="single" w:sz="4" w:space="0" w:color="F2F2F2" w:themeColor="background1" w:themeShade="F2"/>
              <w:bottom w:val="nil"/>
              <w:right w:val="single" w:sz="4" w:space="0" w:color="FFFFFF" w:themeColor="background1"/>
            </w:tcBorders>
          </w:tcPr>
          <w:p w14:paraId="2EB1F2E2" w14:textId="77777777" w:rsidR="0049084A" w:rsidRPr="005F09F9" w:rsidRDefault="0049084A" w:rsidP="002E2EEC">
            <w:pPr>
              <w:keepNext/>
              <w:jc w:val="right"/>
              <w:rPr>
                <w:b/>
                <w:bCs/>
                <w:szCs w:val="22"/>
              </w:rPr>
            </w:pPr>
            <w:r>
              <w:rPr>
                <w:b/>
                <w:bCs/>
                <w:szCs w:val="22"/>
              </w:rPr>
              <w:t>DE</w:t>
            </w:r>
          </w:p>
        </w:tc>
      </w:tr>
      <w:tr w:rsidR="0049084A" w:rsidRPr="008215CB" w14:paraId="0A468B71" w14:textId="77777777" w:rsidTr="00F56D19">
        <w:tc>
          <w:tcPr>
            <w:tcW w:w="704" w:type="dxa"/>
            <w:tcBorders>
              <w:top w:val="nil"/>
              <w:left w:val="single" w:sz="4" w:space="0" w:color="FFFFFF" w:themeColor="background1"/>
              <w:bottom w:val="nil"/>
              <w:right w:val="nil"/>
            </w:tcBorders>
          </w:tcPr>
          <w:p w14:paraId="008979AD" w14:textId="77777777" w:rsidR="0049084A" w:rsidRPr="00FB552D" w:rsidRDefault="0049084A" w:rsidP="002E2EEC">
            <w:pPr>
              <w:keepNext/>
              <w:rPr>
                <w:b/>
                <w:bCs/>
                <w:szCs w:val="22"/>
              </w:rPr>
            </w:pPr>
            <w:r w:rsidRPr="00FB552D">
              <w:rPr>
                <w:b/>
                <w:bCs/>
                <w:szCs w:val="22"/>
              </w:rPr>
              <w:t>8.3</w:t>
            </w:r>
          </w:p>
        </w:tc>
        <w:tc>
          <w:tcPr>
            <w:tcW w:w="6804" w:type="dxa"/>
            <w:tcBorders>
              <w:top w:val="nil"/>
              <w:left w:val="nil"/>
              <w:bottom w:val="nil"/>
              <w:right w:val="single" w:sz="4" w:space="0" w:color="F2F2F2" w:themeColor="background1" w:themeShade="F2"/>
            </w:tcBorders>
          </w:tcPr>
          <w:p w14:paraId="350D9B9E" w14:textId="332F93E9" w:rsidR="0049084A" w:rsidRPr="008215CB" w:rsidRDefault="0049084A" w:rsidP="002E2EEC">
            <w:pPr>
              <w:keepNext/>
              <w:rPr>
                <w:szCs w:val="22"/>
              </w:rPr>
            </w:pPr>
            <w:r w:rsidRPr="008215CB">
              <w:rPr>
                <w:szCs w:val="22"/>
              </w:rPr>
              <w:t xml:space="preserve">Consolidate industry support activities currently delivered by </w:t>
            </w:r>
            <w:r w:rsidR="0073341F">
              <w:rPr>
                <w:szCs w:val="22"/>
              </w:rPr>
              <w:t xml:space="preserve">the </w:t>
            </w:r>
            <w:r w:rsidR="00EF717A" w:rsidRPr="00790130">
              <w:rPr>
                <w:szCs w:val="22"/>
              </w:rPr>
              <w:t>Department of Jobs, Skills, Industry and Regions</w:t>
            </w:r>
            <w:r w:rsidR="00EF717A" w:rsidRPr="00525D6D">
              <w:rPr>
                <w:szCs w:val="22"/>
              </w:rPr>
              <w:t xml:space="preserve"> (</w:t>
            </w:r>
            <w:r w:rsidRPr="008215CB">
              <w:rPr>
                <w:szCs w:val="22"/>
              </w:rPr>
              <w:t>DJSIR</w:t>
            </w:r>
            <w:r w:rsidR="00EF717A">
              <w:rPr>
                <w:szCs w:val="22"/>
              </w:rPr>
              <w:t>)</w:t>
            </w:r>
            <w:r w:rsidRPr="008215CB">
              <w:rPr>
                <w:szCs w:val="22"/>
              </w:rPr>
              <w:t>,</w:t>
            </w:r>
            <w:r w:rsidR="00525D6D">
              <w:rPr>
                <w:szCs w:val="22"/>
              </w:rPr>
              <w:t xml:space="preserve"> </w:t>
            </w:r>
            <w:r w:rsidR="00525D6D" w:rsidRPr="00790130">
              <w:rPr>
                <w:szCs w:val="22"/>
              </w:rPr>
              <w:t>Department of Energy, Environment and Climate Action</w:t>
            </w:r>
            <w:r w:rsidRPr="008215CB">
              <w:rPr>
                <w:szCs w:val="22"/>
              </w:rPr>
              <w:t xml:space="preserve"> </w:t>
            </w:r>
            <w:r w:rsidR="00525D6D">
              <w:rPr>
                <w:szCs w:val="22"/>
              </w:rPr>
              <w:t>(</w:t>
            </w:r>
            <w:r w:rsidRPr="008215CB">
              <w:rPr>
                <w:szCs w:val="22"/>
              </w:rPr>
              <w:t>DEECA</w:t>
            </w:r>
            <w:r w:rsidR="00525D6D">
              <w:rPr>
                <w:szCs w:val="22"/>
              </w:rPr>
              <w:t>)</w:t>
            </w:r>
            <w:r w:rsidRPr="008215CB">
              <w:rPr>
                <w:szCs w:val="22"/>
              </w:rPr>
              <w:t xml:space="preserve"> and their portfolio entities into Invest Victoria and reduce overall investment in th</w:t>
            </w:r>
            <w:r w:rsidR="00D6125E">
              <w:rPr>
                <w:szCs w:val="22"/>
              </w:rPr>
              <w:t>is activity</w:t>
            </w:r>
            <w:r w:rsidRPr="008215CB">
              <w:rPr>
                <w:szCs w:val="22"/>
              </w:rPr>
              <w:t>.</w:t>
            </w:r>
          </w:p>
          <w:p w14:paraId="6617D7F6" w14:textId="77777777" w:rsidR="0049084A" w:rsidRPr="008215CB" w:rsidRDefault="0049084A" w:rsidP="002E2EEC">
            <w:pPr>
              <w:keepNext/>
              <w:rPr>
                <w:rFonts w:asciiTheme="majorHAnsi" w:hAnsiTheme="majorHAnsi"/>
                <w:szCs w:val="22"/>
              </w:rPr>
            </w:pPr>
          </w:p>
        </w:tc>
        <w:tc>
          <w:tcPr>
            <w:tcW w:w="1843" w:type="dxa"/>
            <w:tcBorders>
              <w:top w:val="nil"/>
              <w:left w:val="single" w:sz="4" w:space="0" w:color="F2F2F2" w:themeColor="background1" w:themeShade="F2"/>
              <w:bottom w:val="nil"/>
              <w:right w:val="single" w:sz="4" w:space="0" w:color="FFFFFF" w:themeColor="background1"/>
            </w:tcBorders>
          </w:tcPr>
          <w:p w14:paraId="3BC4DC5C" w14:textId="56F4BE01" w:rsidR="0049084A" w:rsidRPr="005F09F9" w:rsidRDefault="0049084A" w:rsidP="002E2EEC">
            <w:pPr>
              <w:keepNext/>
              <w:jc w:val="right"/>
              <w:rPr>
                <w:b/>
                <w:bCs/>
                <w:szCs w:val="22"/>
              </w:rPr>
            </w:pPr>
            <w:r>
              <w:rPr>
                <w:b/>
                <w:bCs/>
                <w:szCs w:val="22"/>
              </w:rPr>
              <w:t>D</w:t>
            </w:r>
            <w:r w:rsidR="0027193F">
              <w:rPr>
                <w:b/>
                <w:bCs/>
                <w:szCs w:val="22"/>
              </w:rPr>
              <w:t>JSIR</w:t>
            </w:r>
            <w:r w:rsidR="00F56D19">
              <w:rPr>
                <w:b/>
                <w:bCs/>
                <w:szCs w:val="22"/>
              </w:rPr>
              <w:t xml:space="preserve"> / </w:t>
            </w:r>
            <w:r w:rsidR="00CB6FF9" w:rsidRPr="00C3798C">
              <w:rPr>
                <w:b/>
                <w:szCs w:val="22"/>
              </w:rPr>
              <w:t>DTF</w:t>
            </w:r>
          </w:p>
        </w:tc>
      </w:tr>
      <w:tr w:rsidR="0049084A" w:rsidRPr="008215CB" w14:paraId="280E75CE" w14:textId="77777777" w:rsidTr="00F56D19">
        <w:tc>
          <w:tcPr>
            <w:tcW w:w="704" w:type="dxa"/>
            <w:tcBorders>
              <w:top w:val="nil"/>
              <w:left w:val="single" w:sz="4" w:space="0" w:color="FFFFFF" w:themeColor="background1"/>
              <w:bottom w:val="nil"/>
              <w:right w:val="nil"/>
            </w:tcBorders>
          </w:tcPr>
          <w:p w14:paraId="4F60359B" w14:textId="77777777" w:rsidR="0049084A" w:rsidRPr="00FB552D" w:rsidRDefault="0049084A" w:rsidP="002E2EEC">
            <w:pPr>
              <w:keepNext/>
              <w:rPr>
                <w:b/>
                <w:bCs/>
                <w:szCs w:val="22"/>
              </w:rPr>
            </w:pPr>
            <w:r w:rsidRPr="00FB552D">
              <w:rPr>
                <w:b/>
                <w:bCs/>
                <w:szCs w:val="22"/>
              </w:rPr>
              <w:t>8.4</w:t>
            </w:r>
          </w:p>
        </w:tc>
        <w:tc>
          <w:tcPr>
            <w:tcW w:w="6804" w:type="dxa"/>
            <w:tcBorders>
              <w:top w:val="nil"/>
              <w:left w:val="nil"/>
              <w:bottom w:val="nil"/>
              <w:right w:val="single" w:sz="4" w:space="0" w:color="F2F2F2" w:themeColor="background1" w:themeShade="F2"/>
            </w:tcBorders>
          </w:tcPr>
          <w:p w14:paraId="38F5670E" w14:textId="310B15D5" w:rsidR="0049084A" w:rsidRPr="008215CB" w:rsidRDefault="0049084A" w:rsidP="002E2EEC">
            <w:pPr>
              <w:keepNext/>
              <w:rPr>
                <w:szCs w:val="22"/>
              </w:rPr>
            </w:pPr>
            <w:r w:rsidRPr="008215CB">
              <w:rPr>
                <w:szCs w:val="22"/>
              </w:rPr>
              <w:t xml:space="preserve">Consolidate </w:t>
            </w:r>
            <w:proofErr w:type="spellStart"/>
            <w:r w:rsidRPr="008215CB">
              <w:rPr>
                <w:szCs w:val="22"/>
              </w:rPr>
              <w:t>LaunchVic’s</w:t>
            </w:r>
            <w:proofErr w:type="spellEnd"/>
            <w:r w:rsidRPr="008215CB">
              <w:rPr>
                <w:szCs w:val="22"/>
              </w:rPr>
              <w:t xml:space="preserve"> grant and facilitation and capacity uplift program activity into Invest Victoria and abolish </w:t>
            </w:r>
            <w:proofErr w:type="spellStart"/>
            <w:r w:rsidRPr="008215CB">
              <w:rPr>
                <w:szCs w:val="22"/>
              </w:rPr>
              <w:t>LaunchVic</w:t>
            </w:r>
            <w:proofErr w:type="spellEnd"/>
            <w:r w:rsidRPr="008215CB">
              <w:rPr>
                <w:szCs w:val="22"/>
              </w:rPr>
              <w:t xml:space="preserve"> as a standalone entity</w:t>
            </w:r>
            <w:r w:rsidR="00985FA0">
              <w:rPr>
                <w:szCs w:val="22"/>
              </w:rPr>
              <w:t>.</w:t>
            </w:r>
            <w:r w:rsidRPr="008215CB">
              <w:rPr>
                <w:szCs w:val="22"/>
              </w:rPr>
              <w:t xml:space="preserve"> </w:t>
            </w:r>
          </w:p>
          <w:p w14:paraId="397F6592" w14:textId="77777777" w:rsidR="0049084A" w:rsidRPr="008215CB" w:rsidRDefault="0049084A" w:rsidP="002E2EEC">
            <w:pPr>
              <w:keepNext/>
              <w:rPr>
                <w:rFonts w:asciiTheme="majorHAnsi" w:hAnsiTheme="majorHAnsi"/>
                <w:szCs w:val="22"/>
              </w:rPr>
            </w:pPr>
          </w:p>
        </w:tc>
        <w:tc>
          <w:tcPr>
            <w:tcW w:w="1843" w:type="dxa"/>
            <w:tcBorders>
              <w:top w:val="nil"/>
              <w:left w:val="single" w:sz="4" w:space="0" w:color="F2F2F2" w:themeColor="background1" w:themeShade="F2"/>
              <w:bottom w:val="nil"/>
              <w:right w:val="single" w:sz="4" w:space="0" w:color="FFFFFF" w:themeColor="background1"/>
            </w:tcBorders>
          </w:tcPr>
          <w:p w14:paraId="67685194" w14:textId="77777777" w:rsidR="0049084A" w:rsidRPr="005F09F9" w:rsidRDefault="0049084A" w:rsidP="002E2EEC">
            <w:pPr>
              <w:keepNext/>
              <w:jc w:val="right"/>
              <w:rPr>
                <w:b/>
                <w:bCs/>
                <w:szCs w:val="22"/>
              </w:rPr>
            </w:pPr>
            <w:r>
              <w:rPr>
                <w:b/>
                <w:bCs/>
                <w:szCs w:val="22"/>
              </w:rPr>
              <w:t>DJSIR</w:t>
            </w:r>
          </w:p>
        </w:tc>
      </w:tr>
      <w:tr w:rsidR="0049084A" w:rsidRPr="008215CB" w14:paraId="58DFABA7" w14:textId="77777777" w:rsidTr="00F56D19">
        <w:tc>
          <w:tcPr>
            <w:tcW w:w="704" w:type="dxa"/>
            <w:tcBorders>
              <w:top w:val="nil"/>
              <w:left w:val="single" w:sz="4" w:space="0" w:color="FFFFFF" w:themeColor="background1"/>
              <w:bottom w:val="nil"/>
              <w:right w:val="nil"/>
            </w:tcBorders>
          </w:tcPr>
          <w:p w14:paraId="4DCA2DE9" w14:textId="77777777" w:rsidR="0049084A" w:rsidRPr="00FB552D" w:rsidRDefault="0049084A" w:rsidP="002E2EEC">
            <w:pPr>
              <w:keepNext/>
              <w:rPr>
                <w:b/>
                <w:bCs/>
                <w:szCs w:val="22"/>
              </w:rPr>
            </w:pPr>
            <w:r w:rsidRPr="00FB552D">
              <w:rPr>
                <w:b/>
                <w:bCs/>
                <w:szCs w:val="22"/>
              </w:rPr>
              <w:t>8.5</w:t>
            </w:r>
          </w:p>
        </w:tc>
        <w:tc>
          <w:tcPr>
            <w:tcW w:w="6804" w:type="dxa"/>
            <w:tcBorders>
              <w:top w:val="nil"/>
              <w:left w:val="nil"/>
              <w:bottom w:val="nil"/>
              <w:right w:val="single" w:sz="4" w:space="0" w:color="F2F2F2" w:themeColor="background1" w:themeShade="F2"/>
            </w:tcBorders>
          </w:tcPr>
          <w:p w14:paraId="605027D2" w14:textId="77777777" w:rsidR="0049084A" w:rsidRPr="008215CB" w:rsidRDefault="0049084A" w:rsidP="002E2EEC">
            <w:pPr>
              <w:keepNext/>
              <w:rPr>
                <w:szCs w:val="22"/>
              </w:rPr>
            </w:pPr>
            <w:r w:rsidRPr="008215CB">
              <w:rPr>
                <w:szCs w:val="22"/>
              </w:rPr>
              <w:t xml:space="preserve">As part of the government’s current </w:t>
            </w:r>
            <w:proofErr w:type="spellStart"/>
            <w:r w:rsidRPr="008215CB">
              <w:rPr>
                <w:szCs w:val="22"/>
              </w:rPr>
              <w:t>Commercialisation</w:t>
            </w:r>
            <w:proofErr w:type="spellEnd"/>
            <w:r w:rsidRPr="008215CB">
              <w:rPr>
                <w:szCs w:val="22"/>
              </w:rPr>
              <w:t xml:space="preserve"> and Innovation Review:</w:t>
            </w:r>
          </w:p>
          <w:p w14:paraId="7E149DDE" w14:textId="31056B8D" w:rsidR="0049084A" w:rsidRPr="008215CB" w:rsidRDefault="0049084A" w:rsidP="00825A6C">
            <w:pPr>
              <w:pStyle w:val="ListParagraph"/>
              <w:keepNext/>
              <w:numPr>
                <w:ilvl w:val="0"/>
                <w:numId w:val="54"/>
              </w:numPr>
              <w:spacing w:before="240" w:after="160" w:line="278" w:lineRule="auto"/>
              <w:ind w:left="458" w:hanging="425"/>
              <w:contextualSpacing w:val="0"/>
              <w:rPr>
                <w:szCs w:val="22"/>
              </w:rPr>
            </w:pPr>
            <w:r w:rsidRPr="008215CB">
              <w:rPr>
                <w:szCs w:val="22"/>
              </w:rPr>
              <w:t xml:space="preserve">consolidate the management of existing equity investments currently with </w:t>
            </w:r>
            <w:proofErr w:type="spellStart"/>
            <w:r w:rsidRPr="008215CB">
              <w:rPr>
                <w:szCs w:val="22"/>
              </w:rPr>
              <w:t>LaunchVic</w:t>
            </w:r>
            <w:proofErr w:type="spellEnd"/>
            <w:r w:rsidRPr="008215CB">
              <w:rPr>
                <w:szCs w:val="22"/>
              </w:rPr>
              <w:t xml:space="preserve"> and DTF into one entity</w:t>
            </w:r>
            <w:r w:rsidR="0038396C">
              <w:rPr>
                <w:szCs w:val="22"/>
              </w:rPr>
              <w:t xml:space="preserve"> </w:t>
            </w:r>
            <w:r w:rsidR="006E05C2">
              <w:rPr>
                <w:szCs w:val="22"/>
              </w:rPr>
              <w:t xml:space="preserve">– </w:t>
            </w:r>
            <w:r w:rsidRPr="008215CB">
              <w:rPr>
                <w:szCs w:val="22"/>
              </w:rPr>
              <w:t>Breakthrough</w:t>
            </w:r>
            <w:r w:rsidR="00A7168E">
              <w:rPr>
                <w:szCs w:val="22"/>
              </w:rPr>
              <w:t> </w:t>
            </w:r>
            <w:r w:rsidRPr="008215CB">
              <w:rPr>
                <w:szCs w:val="22"/>
              </w:rPr>
              <w:t>Victoria</w:t>
            </w:r>
          </w:p>
          <w:p w14:paraId="331DEB14" w14:textId="67885C90" w:rsidR="0049084A" w:rsidRPr="00F72F14" w:rsidRDefault="0049084A" w:rsidP="00825A6C">
            <w:pPr>
              <w:pStyle w:val="ListParagraph"/>
              <w:keepNext/>
              <w:numPr>
                <w:ilvl w:val="0"/>
                <w:numId w:val="54"/>
              </w:numPr>
              <w:spacing w:after="160" w:line="278" w:lineRule="auto"/>
              <w:ind w:left="458" w:hanging="425"/>
              <w:contextualSpacing w:val="0"/>
              <w:rPr>
                <w:rFonts w:asciiTheme="majorHAnsi" w:hAnsiTheme="majorHAnsi"/>
                <w:szCs w:val="22"/>
              </w:rPr>
            </w:pPr>
            <w:r w:rsidRPr="008215CB">
              <w:rPr>
                <w:szCs w:val="22"/>
              </w:rPr>
              <w:t>reduce overall investment and the level of risk exposure from equity funds investment by government.</w:t>
            </w:r>
          </w:p>
        </w:tc>
        <w:tc>
          <w:tcPr>
            <w:tcW w:w="1843" w:type="dxa"/>
            <w:tcBorders>
              <w:top w:val="nil"/>
              <w:left w:val="single" w:sz="4" w:space="0" w:color="F2F2F2" w:themeColor="background1" w:themeShade="F2"/>
              <w:bottom w:val="nil"/>
              <w:right w:val="single" w:sz="4" w:space="0" w:color="FFFFFF" w:themeColor="background1"/>
            </w:tcBorders>
          </w:tcPr>
          <w:p w14:paraId="1DD03DCD" w14:textId="17D7C391" w:rsidR="0049084A" w:rsidRPr="005F09F9" w:rsidRDefault="0049084A" w:rsidP="002E2EEC">
            <w:pPr>
              <w:keepNext/>
              <w:jc w:val="right"/>
              <w:rPr>
                <w:b/>
                <w:bCs/>
                <w:szCs w:val="22"/>
              </w:rPr>
            </w:pPr>
            <w:r>
              <w:rPr>
                <w:b/>
                <w:bCs/>
                <w:szCs w:val="22"/>
              </w:rPr>
              <w:t>DJSIR</w:t>
            </w:r>
            <w:r w:rsidR="00F56D19">
              <w:rPr>
                <w:b/>
                <w:bCs/>
                <w:szCs w:val="22"/>
              </w:rPr>
              <w:t xml:space="preserve"> / </w:t>
            </w:r>
            <w:r w:rsidR="00CF2323" w:rsidRPr="00C3798C">
              <w:rPr>
                <w:b/>
                <w:szCs w:val="22"/>
              </w:rPr>
              <w:t>DPC</w:t>
            </w:r>
          </w:p>
        </w:tc>
      </w:tr>
      <w:tr w:rsidR="0049084A" w:rsidRPr="008215CB" w14:paraId="76EE7E9E" w14:textId="77777777" w:rsidTr="00F56D19">
        <w:tc>
          <w:tcPr>
            <w:tcW w:w="704" w:type="dxa"/>
            <w:tcBorders>
              <w:top w:val="nil"/>
              <w:left w:val="single" w:sz="4" w:space="0" w:color="FFFFFF" w:themeColor="background1"/>
              <w:bottom w:val="nil"/>
              <w:right w:val="nil"/>
            </w:tcBorders>
          </w:tcPr>
          <w:p w14:paraId="17C8F8C4" w14:textId="77777777" w:rsidR="0049084A" w:rsidRPr="00FB552D" w:rsidRDefault="0049084A" w:rsidP="002E2EEC">
            <w:pPr>
              <w:keepNext/>
              <w:rPr>
                <w:b/>
                <w:bCs/>
                <w:szCs w:val="22"/>
              </w:rPr>
            </w:pPr>
            <w:r w:rsidRPr="00FB552D">
              <w:rPr>
                <w:b/>
                <w:bCs/>
                <w:szCs w:val="22"/>
              </w:rPr>
              <w:t>8.6</w:t>
            </w:r>
          </w:p>
        </w:tc>
        <w:tc>
          <w:tcPr>
            <w:tcW w:w="6804" w:type="dxa"/>
            <w:tcBorders>
              <w:top w:val="nil"/>
              <w:left w:val="nil"/>
              <w:bottom w:val="nil"/>
              <w:right w:val="single" w:sz="4" w:space="0" w:color="F2F2F2" w:themeColor="background1" w:themeShade="F2"/>
            </w:tcBorders>
          </w:tcPr>
          <w:p w14:paraId="13FC3B8A" w14:textId="54B330E4" w:rsidR="0049084A" w:rsidRPr="008215CB" w:rsidRDefault="0049084A" w:rsidP="002E2EEC">
            <w:pPr>
              <w:keepNext/>
              <w:rPr>
                <w:szCs w:val="22"/>
              </w:rPr>
            </w:pPr>
            <w:r w:rsidRPr="008215CB">
              <w:rPr>
                <w:szCs w:val="22"/>
              </w:rPr>
              <w:t>Mandate and accelerate shared service reforms across the TAFE sector over the next 3–4 years, focusing on common platforms, digital</w:t>
            </w:r>
            <w:r w:rsidR="004728B5">
              <w:rPr>
                <w:szCs w:val="22"/>
              </w:rPr>
              <w:t> </w:t>
            </w:r>
            <w:r w:rsidRPr="008215CB">
              <w:rPr>
                <w:szCs w:val="22"/>
              </w:rPr>
              <w:t>infrastructure and administrative functions, building on existing efforts.</w:t>
            </w:r>
          </w:p>
          <w:p w14:paraId="4E84E9C9" w14:textId="77777777" w:rsidR="0049084A" w:rsidRPr="008215CB" w:rsidRDefault="0049084A" w:rsidP="002E2EEC">
            <w:pPr>
              <w:keepNext/>
              <w:rPr>
                <w:rFonts w:asciiTheme="majorHAnsi" w:hAnsiTheme="majorHAnsi"/>
                <w:szCs w:val="22"/>
              </w:rPr>
            </w:pPr>
          </w:p>
        </w:tc>
        <w:tc>
          <w:tcPr>
            <w:tcW w:w="1843" w:type="dxa"/>
            <w:tcBorders>
              <w:top w:val="nil"/>
              <w:left w:val="single" w:sz="4" w:space="0" w:color="F2F2F2" w:themeColor="background1" w:themeShade="F2"/>
              <w:bottom w:val="nil"/>
              <w:right w:val="single" w:sz="4" w:space="0" w:color="FFFFFF" w:themeColor="background1"/>
            </w:tcBorders>
          </w:tcPr>
          <w:p w14:paraId="5C0996E4" w14:textId="77777777" w:rsidR="0049084A" w:rsidRPr="005F09F9" w:rsidRDefault="0049084A" w:rsidP="002E2EEC">
            <w:pPr>
              <w:keepNext/>
              <w:jc w:val="right"/>
              <w:rPr>
                <w:b/>
                <w:bCs/>
                <w:szCs w:val="22"/>
              </w:rPr>
            </w:pPr>
            <w:r>
              <w:rPr>
                <w:b/>
                <w:bCs/>
                <w:szCs w:val="22"/>
              </w:rPr>
              <w:t>DJSIR</w:t>
            </w:r>
          </w:p>
        </w:tc>
      </w:tr>
      <w:tr w:rsidR="0049084A" w:rsidRPr="008215CB" w14:paraId="15C8645E" w14:textId="77777777" w:rsidTr="00F56D19">
        <w:tc>
          <w:tcPr>
            <w:tcW w:w="704" w:type="dxa"/>
            <w:tcBorders>
              <w:top w:val="nil"/>
              <w:left w:val="single" w:sz="4" w:space="0" w:color="FFFFFF" w:themeColor="background1"/>
              <w:bottom w:val="nil"/>
              <w:right w:val="nil"/>
            </w:tcBorders>
          </w:tcPr>
          <w:p w14:paraId="367C72C7" w14:textId="77777777" w:rsidR="0049084A" w:rsidRPr="00FB552D" w:rsidRDefault="0049084A" w:rsidP="002E2EEC">
            <w:pPr>
              <w:keepNext/>
              <w:rPr>
                <w:b/>
                <w:bCs/>
                <w:szCs w:val="22"/>
              </w:rPr>
            </w:pPr>
            <w:r w:rsidRPr="00FB552D">
              <w:rPr>
                <w:b/>
                <w:bCs/>
                <w:szCs w:val="22"/>
              </w:rPr>
              <w:t>8.7</w:t>
            </w:r>
          </w:p>
        </w:tc>
        <w:tc>
          <w:tcPr>
            <w:tcW w:w="6804" w:type="dxa"/>
            <w:tcBorders>
              <w:top w:val="nil"/>
              <w:left w:val="nil"/>
              <w:bottom w:val="nil"/>
              <w:right w:val="single" w:sz="4" w:space="0" w:color="F2F2F2" w:themeColor="background1" w:themeShade="F2"/>
            </w:tcBorders>
          </w:tcPr>
          <w:p w14:paraId="5F4C0E0A" w14:textId="77777777" w:rsidR="0049084A" w:rsidRPr="008215CB" w:rsidRDefault="0049084A" w:rsidP="002E2EEC">
            <w:pPr>
              <w:keepNext/>
              <w:rPr>
                <w:szCs w:val="22"/>
              </w:rPr>
            </w:pPr>
            <w:r w:rsidRPr="008215CB">
              <w:rPr>
                <w:szCs w:val="22"/>
              </w:rPr>
              <w:t xml:space="preserve">After 3-4 years, and based on progress and outcomes of shared services implementation, consider further TAFE consolidation opportunities, ranging from targeted mergers to a single TAFE entity. </w:t>
            </w:r>
          </w:p>
          <w:p w14:paraId="03C375FF" w14:textId="77777777" w:rsidR="0049084A" w:rsidRPr="008215CB" w:rsidRDefault="0049084A" w:rsidP="002E2EEC">
            <w:pPr>
              <w:keepNext/>
              <w:rPr>
                <w:rFonts w:asciiTheme="majorHAnsi" w:hAnsiTheme="majorHAnsi"/>
                <w:szCs w:val="22"/>
              </w:rPr>
            </w:pPr>
          </w:p>
        </w:tc>
        <w:tc>
          <w:tcPr>
            <w:tcW w:w="1843" w:type="dxa"/>
            <w:tcBorders>
              <w:top w:val="nil"/>
              <w:left w:val="single" w:sz="4" w:space="0" w:color="F2F2F2" w:themeColor="background1" w:themeShade="F2"/>
              <w:bottom w:val="nil"/>
              <w:right w:val="single" w:sz="4" w:space="0" w:color="FFFFFF" w:themeColor="background1"/>
            </w:tcBorders>
          </w:tcPr>
          <w:p w14:paraId="7C925B60" w14:textId="77777777" w:rsidR="0049084A" w:rsidRPr="005F09F9" w:rsidRDefault="0049084A" w:rsidP="002E2EEC">
            <w:pPr>
              <w:keepNext/>
              <w:jc w:val="right"/>
              <w:rPr>
                <w:b/>
                <w:bCs/>
                <w:szCs w:val="22"/>
              </w:rPr>
            </w:pPr>
            <w:r>
              <w:rPr>
                <w:b/>
                <w:bCs/>
                <w:szCs w:val="22"/>
              </w:rPr>
              <w:t>DJSIR</w:t>
            </w:r>
          </w:p>
        </w:tc>
      </w:tr>
      <w:tr w:rsidR="0049084A" w:rsidRPr="008215CB" w14:paraId="18326DA5" w14:textId="77777777" w:rsidTr="00F56D19">
        <w:tc>
          <w:tcPr>
            <w:tcW w:w="704" w:type="dxa"/>
            <w:tcBorders>
              <w:top w:val="nil"/>
              <w:left w:val="single" w:sz="4" w:space="0" w:color="FFFFFF" w:themeColor="background1"/>
              <w:bottom w:val="nil"/>
              <w:right w:val="nil"/>
            </w:tcBorders>
          </w:tcPr>
          <w:p w14:paraId="43BF329B" w14:textId="77777777" w:rsidR="0049084A" w:rsidRPr="00FB552D" w:rsidRDefault="0049084A" w:rsidP="002E2EEC">
            <w:pPr>
              <w:keepNext/>
              <w:rPr>
                <w:b/>
                <w:bCs/>
                <w:szCs w:val="22"/>
              </w:rPr>
            </w:pPr>
            <w:r w:rsidRPr="00FB552D">
              <w:rPr>
                <w:b/>
                <w:bCs/>
                <w:szCs w:val="22"/>
              </w:rPr>
              <w:t>8.8</w:t>
            </w:r>
          </w:p>
        </w:tc>
        <w:tc>
          <w:tcPr>
            <w:tcW w:w="6804" w:type="dxa"/>
            <w:tcBorders>
              <w:top w:val="nil"/>
              <w:left w:val="nil"/>
              <w:bottom w:val="nil"/>
              <w:right w:val="single" w:sz="4" w:space="0" w:color="F2F2F2" w:themeColor="background1" w:themeShade="F2"/>
            </w:tcBorders>
          </w:tcPr>
          <w:p w14:paraId="19053097" w14:textId="77777777" w:rsidR="0049084A" w:rsidRDefault="0049084A" w:rsidP="002E2EEC">
            <w:pPr>
              <w:keepNext/>
              <w:rPr>
                <w:szCs w:val="22"/>
              </w:rPr>
            </w:pPr>
            <w:r w:rsidRPr="008215CB">
              <w:rPr>
                <w:szCs w:val="22"/>
              </w:rPr>
              <w:t xml:space="preserve">Immediately develop and implement a long-term asset strategy to sell </w:t>
            </w:r>
            <w:proofErr w:type="spellStart"/>
            <w:r w:rsidRPr="008215CB">
              <w:rPr>
                <w:szCs w:val="22"/>
              </w:rPr>
              <w:t>under-utilised</w:t>
            </w:r>
            <w:proofErr w:type="spellEnd"/>
            <w:r w:rsidRPr="008215CB">
              <w:rPr>
                <w:szCs w:val="22"/>
              </w:rPr>
              <w:t xml:space="preserve"> TAFE assets.</w:t>
            </w:r>
          </w:p>
          <w:p w14:paraId="7725C0E2" w14:textId="77777777" w:rsidR="0049084A" w:rsidRPr="008215CB" w:rsidRDefault="0049084A" w:rsidP="002E2EEC">
            <w:pPr>
              <w:keepNext/>
              <w:rPr>
                <w:rFonts w:asciiTheme="majorHAnsi" w:hAnsiTheme="majorHAnsi"/>
                <w:szCs w:val="22"/>
              </w:rPr>
            </w:pPr>
          </w:p>
        </w:tc>
        <w:tc>
          <w:tcPr>
            <w:tcW w:w="1843" w:type="dxa"/>
            <w:tcBorders>
              <w:top w:val="nil"/>
              <w:left w:val="single" w:sz="4" w:space="0" w:color="F2F2F2" w:themeColor="background1" w:themeShade="F2"/>
              <w:bottom w:val="nil"/>
              <w:right w:val="single" w:sz="4" w:space="0" w:color="FFFFFF" w:themeColor="background1"/>
            </w:tcBorders>
          </w:tcPr>
          <w:p w14:paraId="7E65887F" w14:textId="77777777" w:rsidR="0049084A" w:rsidRPr="005F09F9" w:rsidRDefault="0049084A" w:rsidP="002E2EEC">
            <w:pPr>
              <w:keepNext/>
              <w:jc w:val="right"/>
              <w:rPr>
                <w:b/>
                <w:bCs/>
                <w:szCs w:val="22"/>
              </w:rPr>
            </w:pPr>
            <w:r>
              <w:rPr>
                <w:b/>
                <w:bCs/>
                <w:szCs w:val="22"/>
              </w:rPr>
              <w:t>DJSIR</w:t>
            </w:r>
          </w:p>
        </w:tc>
      </w:tr>
      <w:tr w:rsidR="0049084A" w:rsidRPr="008215CB" w14:paraId="18EF484A" w14:textId="77777777" w:rsidTr="00F56D19">
        <w:tc>
          <w:tcPr>
            <w:tcW w:w="704" w:type="dxa"/>
            <w:tcBorders>
              <w:top w:val="nil"/>
              <w:left w:val="single" w:sz="4" w:space="0" w:color="FFFFFF" w:themeColor="background1"/>
              <w:bottom w:val="nil"/>
              <w:right w:val="nil"/>
            </w:tcBorders>
          </w:tcPr>
          <w:p w14:paraId="61A51002" w14:textId="77777777" w:rsidR="0049084A" w:rsidRPr="00FB552D" w:rsidRDefault="0049084A" w:rsidP="002E2EEC">
            <w:pPr>
              <w:keepNext/>
              <w:rPr>
                <w:b/>
                <w:bCs/>
                <w:szCs w:val="22"/>
              </w:rPr>
            </w:pPr>
            <w:r w:rsidRPr="00FB552D">
              <w:rPr>
                <w:b/>
                <w:bCs/>
                <w:szCs w:val="22"/>
              </w:rPr>
              <w:t>8.9</w:t>
            </w:r>
          </w:p>
        </w:tc>
        <w:tc>
          <w:tcPr>
            <w:tcW w:w="6804" w:type="dxa"/>
            <w:tcBorders>
              <w:top w:val="nil"/>
              <w:left w:val="nil"/>
              <w:bottom w:val="nil"/>
              <w:right w:val="single" w:sz="4" w:space="0" w:color="F2F2F2" w:themeColor="background1" w:themeShade="F2"/>
            </w:tcBorders>
          </w:tcPr>
          <w:p w14:paraId="1463F7FE" w14:textId="07D242BB" w:rsidR="0049084A" w:rsidRPr="008215CB" w:rsidRDefault="0049084A" w:rsidP="002E2EEC">
            <w:pPr>
              <w:keepNext/>
              <w:rPr>
                <w:rFonts w:ascii="Aptos" w:eastAsia="Aptos" w:hAnsi="Aptos" w:cs="Aptos"/>
                <w:szCs w:val="22"/>
              </w:rPr>
            </w:pPr>
            <w:r w:rsidRPr="008215CB">
              <w:rPr>
                <w:rFonts w:ascii="Aptos" w:eastAsia="Aptos" w:hAnsi="Aptos" w:cs="Aptos"/>
                <w:color w:val="000000" w:themeColor="text1"/>
                <w:szCs w:val="22"/>
              </w:rPr>
              <w:t xml:space="preserve">Update and implement the </w:t>
            </w:r>
            <w:r w:rsidR="00F253EC">
              <w:rPr>
                <w:rFonts w:ascii="Aptos" w:eastAsia="Aptos" w:hAnsi="Aptos" w:cs="Aptos"/>
                <w:color w:val="000000" w:themeColor="text1"/>
                <w:szCs w:val="22"/>
              </w:rPr>
              <w:t xml:space="preserve">VPS </w:t>
            </w:r>
            <w:r w:rsidRPr="008215CB">
              <w:rPr>
                <w:rFonts w:ascii="Aptos" w:eastAsia="Aptos" w:hAnsi="Aptos" w:cs="Aptos"/>
                <w:color w:val="000000" w:themeColor="text1"/>
                <w:szCs w:val="22"/>
              </w:rPr>
              <w:t xml:space="preserve">Flexible Work Policy and guidance to set clearer expectations about the default position of 3 days in the </w:t>
            </w:r>
            <w:proofErr w:type="gramStart"/>
            <w:r w:rsidRPr="008215CB">
              <w:rPr>
                <w:rFonts w:ascii="Aptos" w:eastAsia="Aptos" w:hAnsi="Aptos" w:cs="Aptos"/>
                <w:color w:val="000000" w:themeColor="text1"/>
                <w:szCs w:val="22"/>
              </w:rPr>
              <w:t>office</w:t>
            </w:r>
            <w:r w:rsidR="00652EDD">
              <w:rPr>
                <w:rFonts w:ascii="Aptos" w:eastAsia="Aptos" w:hAnsi="Aptos" w:cs="Aptos"/>
                <w:color w:val="000000" w:themeColor="text1"/>
                <w:szCs w:val="22"/>
              </w:rPr>
              <w:t>,</w:t>
            </w:r>
            <w:r w:rsidRPr="008215CB">
              <w:rPr>
                <w:rFonts w:ascii="Aptos" w:eastAsia="Aptos" w:hAnsi="Aptos" w:cs="Aptos"/>
                <w:color w:val="000000" w:themeColor="text1"/>
                <w:szCs w:val="22"/>
              </w:rPr>
              <w:t xml:space="preserve"> and</w:t>
            </w:r>
            <w:proofErr w:type="gramEnd"/>
            <w:r w:rsidRPr="008215CB">
              <w:rPr>
                <w:rFonts w:ascii="Aptos" w:eastAsia="Aptos" w:hAnsi="Aptos" w:cs="Aptos"/>
                <w:color w:val="000000" w:themeColor="text1"/>
                <w:szCs w:val="22"/>
              </w:rPr>
              <w:t xml:space="preserve"> provide practical guidance and tools for managers to support adherence. </w:t>
            </w:r>
          </w:p>
          <w:p w14:paraId="5A2D87E4" w14:textId="77777777" w:rsidR="0049084A" w:rsidRPr="008215CB" w:rsidRDefault="0049084A" w:rsidP="002E2EEC">
            <w:pPr>
              <w:keepNext/>
              <w:rPr>
                <w:rFonts w:asciiTheme="majorHAnsi" w:hAnsiTheme="majorHAnsi"/>
                <w:szCs w:val="22"/>
              </w:rPr>
            </w:pPr>
          </w:p>
        </w:tc>
        <w:tc>
          <w:tcPr>
            <w:tcW w:w="1843" w:type="dxa"/>
            <w:tcBorders>
              <w:top w:val="nil"/>
              <w:left w:val="single" w:sz="4" w:space="0" w:color="F2F2F2" w:themeColor="background1" w:themeShade="F2"/>
              <w:bottom w:val="nil"/>
              <w:right w:val="single" w:sz="4" w:space="0" w:color="FFFFFF" w:themeColor="background1"/>
            </w:tcBorders>
          </w:tcPr>
          <w:p w14:paraId="1FC30DA5" w14:textId="124DA618" w:rsidR="0049084A" w:rsidRPr="005F09F9" w:rsidRDefault="00455DDC" w:rsidP="002E2EEC">
            <w:pPr>
              <w:keepNext/>
              <w:jc w:val="right"/>
              <w:rPr>
                <w:b/>
                <w:bCs/>
                <w:szCs w:val="22"/>
              </w:rPr>
            </w:pPr>
            <w:r>
              <w:rPr>
                <w:b/>
                <w:bCs/>
                <w:szCs w:val="22"/>
              </w:rPr>
              <w:t>VPSC</w:t>
            </w:r>
            <w:r w:rsidR="00F56D19">
              <w:rPr>
                <w:b/>
                <w:bCs/>
                <w:szCs w:val="22"/>
              </w:rPr>
              <w:t xml:space="preserve"> / </w:t>
            </w:r>
            <w:r w:rsidR="0049084A">
              <w:rPr>
                <w:b/>
                <w:bCs/>
                <w:szCs w:val="22"/>
              </w:rPr>
              <w:t>D</w:t>
            </w:r>
            <w:r>
              <w:rPr>
                <w:b/>
                <w:bCs/>
                <w:szCs w:val="22"/>
              </w:rPr>
              <w:t>PC</w:t>
            </w:r>
          </w:p>
        </w:tc>
      </w:tr>
      <w:tr w:rsidR="0049084A" w:rsidRPr="008215CB" w14:paraId="2F413BC7" w14:textId="77777777" w:rsidTr="00F56D19">
        <w:tc>
          <w:tcPr>
            <w:tcW w:w="704" w:type="dxa"/>
            <w:tcBorders>
              <w:top w:val="nil"/>
              <w:left w:val="single" w:sz="4" w:space="0" w:color="FFFFFF" w:themeColor="background1"/>
              <w:bottom w:val="nil"/>
              <w:right w:val="nil"/>
            </w:tcBorders>
          </w:tcPr>
          <w:p w14:paraId="2EB4EE17" w14:textId="77777777" w:rsidR="0049084A" w:rsidRPr="00FB552D" w:rsidRDefault="0049084A" w:rsidP="002E2EEC">
            <w:pPr>
              <w:keepNext/>
              <w:rPr>
                <w:b/>
                <w:bCs/>
                <w:szCs w:val="22"/>
              </w:rPr>
            </w:pPr>
            <w:r w:rsidRPr="00FB552D">
              <w:rPr>
                <w:b/>
                <w:bCs/>
                <w:szCs w:val="22"/>
              </w:rPr>
              <w:lastRenderedPageBreak/>
              <w:t>8.10</w:t>
            </w:r>
          </w:p>
        </w:tc>
        <w:tc>
          <w:tcPr>
            <w:tcW w:w="6804" w:type="dxa"/>
            <w:tcBorders>
              <w:top w:val="nil"/>
              <w:left w:val="nil"/>
              <w:bottom w:val="nil"/>
              <w:right w:val="single" w:sz="4" w:space="0" w:color="F2F2F2" w:themeColor="background1" w:themeShade="F2"/>
            </w:tcBorders>
          </w:tcPr>
          <w:p w14:paraId="6E1EAC76" w14:textId="41CD03F9" w:rsidR="0049084A" w:rsidRPr="008215CB" w:rsidRDefault="0049084A" w:rsidP="002E2EEC">
            <w:pPr>
              <w:keepNext/>
              <w:rPr>
                <w:rFonts w:ascii="Aptos" w:eastAsia="Aptos" w:hAnsi="Aptos" w:cs="Aptos"/>
                <w:szCs w:val="22"/>
              </w:rPr>
            </w:pPr>
            <w:r w:rsidRPr="008215CB">
              <w:rPr>
                <w:rFonts w:ascii="Aptos" w:eastAsia="Aptos" w:hAnsi="Aptos" w:cs="Aptos"/>
                <w:color w:val="000000" w:themeColor="text1"/>
                <w:szCs w:val="22"/>
              </w:rPr>
              <w:t xml:space="preserve">Require DGS to provide </w:t>
            </w:r>
            <w:r w:rsidR="00FC5519">
              <w:rPr>
                <w:rFonts w:ascii="Aptos" w:eastAsia="Aptos" w:hAnsi="Aptos" w:cs="Aptos"/>
                <w:color w:val="000000" w:themeColor="text1"/>
                <w:szCs w:val="22"/>
              </w:rPr>
              <w:t>S</w:t>
            </w:r>
            <w:r w:rsidRPr="008215CB">
              <w:rPr>
                <w:rFonts w:ascii="Aptos" w:eastAsia="Aptos" w:hAnsi="Aptos" w:cs="Aptos"/>
                <w:color w:val="000000" w:themeColor="text1"/>
                <w:szCs w:val="22"/>
              </w:rPr>
              <w:t>ecretaries with attendance data for relevant offices on a quarterly basis.</w:t>
            </w:r>
          </w:p>
          <w:p w14:paraId="29CB2F58" w14:textId="77777777" w:rsidR="0049084A" w:rsidRPr="008215CB" w:rsidRDefault="0049084A" w:rsidP="002E2EEC">
            <w:pPr>
              <w:keepNext/>
              <w:rPr>
                <w:rFonts w:asciiTheme="majorHAnsi" w:hAnsiTheme="majorHAnsi"/>
                <w:szCs w:val="22"/>
              </w:rPr>
            </w:pPr>
          </w:p>
        </w:tc>
        <w:tc>
          <w:tcPr>
            <w:tcW w:w="1843" w:type="dxa"/>
            <w:tcBorders>
              <w:top w:val="nil"/>
              <w:left w:val="single" w:sz="4" w:space="0" w:color="F2F2F2" w:themeColor="background1" w:themeShade="F2"/>
              <w:bottom w:val="nil"/>
              <w:right w:val="single" w:sz="4" w:space="0" w:color="FFFFFF" w:themeColor="background1"/>
            </w:tcBorders>
          </w:tcPr>
          <w:p w14:paraId="72E3FBD6" w14:textId="61040514" w:rsidR="0049084A" w:rsidRPr="005F09F9" w:rsidRDefault="0049084A" w:rsidP="002E2EEC">
            <w:pPr>
              <w:keepNext/>
              <w:jc w:val="right"/>
              <w:rPr>
                <w:b/>
                <w:bCs/>
                <w:szCs w:val="22"/>
              </w:rPr>
            </w:pPr>
            <w:r w:rsidRPr="00C3798C">
              <w:rPr>
                <w:b/>
                <w:szCs w:val="22"/>
              </w:rPr>
              <w:t>D</w:t>
            </w:r>
            <w:r w:rsidR="00826E3F" w:rsidRPr="00C3798C">
              <w:rPr>
                <w:b/>
                <w:szCs w:val="22"/>
              </w:rPr>
              <w:t>GS</w:t>
            </w:r>
          </w:p>
        </w:tc>
      </w:tr>
      <w:tr w:rsidR="0049084A" w:rsidRPr="008215CB" w14:paraId="05314706" w14:textId="77777777" w:rsidTr="00F56D19">
        <w:tc>
          <w:tcPr>
            <w:tcW w:w="704" w:type="dxa"/>
            <w:tcBorders>
              <w:top w:val="nil"/>
              <w:left w:val="single" w:sz="4" w:space="0" w:color="FFFFFF" w:themeColor="background1"/>
              <w:bottom w:val="nil"/>
              <w:right w:val="nil"/>
            </w:tcBorders>
          </w:tcPr>
          <w:p w14:paraId="749EFEA8" w14:textId="77777777" w:rsidR="0049084A" w:rsidRPr="00FB552D" w:rsidRDefault="0049084A" w:rsidP="002E2EEC">
            <w:pPr>
              <w:keepNext/>
              <w:rPr>
                <w:b/>
                <w:bCs/>
                <w:szCs w:val="22"/>
              </w:rPr>
            </w:pPr>
            <w:r w:rsidRPr="00FB552D">
              <w:rPr>
                <w:b/>
                <w:bCs/>
                <w:szCs w:val="22"/>
              </w:rPr>
              <w:t>8.11</w:t>
            </w:r>
          </w:p>
        </w:tc>
        <w:tc>
          <w:tcPr>
            <w:tcW w:w="6804" w:type="dxa"/>
            <w:tcBorders>
              <w:top w:val="nil"/>
              <w:left w:val="nil"/>
              <w:bottom w:val="nil"/>
              <w:right w:val="single" w:sz="4" w:space="0" w:color="F2F2F2" w:themeColor="background1" w:themeShade="F2"/>
            </w:tcBorders>
          </w:tcPr>
          <w:p w14:paraId="129C6A2C" w14:textId="77777777" w:rsidR="0049084A" w:rsidRPr="008215CB" w:rsidRDefault="0049084A" w:rsidP="002E2EEC">
            <w:pPr>
              <w:keepNext/>
              <w:rPr>
                <w:rFonts w:ascii="Aptos" w:eastAsia="Aptos" w:hAnsi="Aptos" w:cs="Aptos"/>
                <w:szCs w:val="22"/>
              </w:rPr>
            </w:pPr>
            <w:r w:rsidRPr="008215CB">
              <w:rPr>
                <w:rFonts w:ascii="Aptos" w:eastAsia="Aptos" w:hAnsi="Aptos" w:cs="Aptos"/>
                <w:color w:val="000000" w:themeColor="text1"/>
                <w:szCs w:val="22"/>
              </w:rPr>
              <w:t>Reduce the current accommodation footprint and related expenses to support a 3 days per week office presence.</w:t>
            </w:r>
          </w:p>
          <w:p w14:paraId="15A1C645" w14:textId="77777777" w:rsidR="0049084A" w:rsidRPr="008215CB" w:rsidRDefault="0049084A" w:rsidP="002E2EEC">
            <w:pPr>
              <w:keepNext/>
              <w:rPr>
                <w:rFonts w:asciiTheme="majorHAnsi" w:hAnsiTheme="majorHAnsi"/>
                <w:szCs w:val="22"/>
              </w:rPr>
            </w:pPr>
          </w:p>
        </w:tc>
        <w:tc>
          <w:tcPr>
            <w:tcW w:w="1843" w:type="dxa"/>
            <w:tcBorders>
              <w:top w:val="nil"/>
              <w:left w:val="single" w:sz="4" w:space="0" w:color="F2F2F2" w:themeColor="background1" w:themeShade="F2"/>
              <w:bottom w:val="nil"/>
              <w:right w:val="single" w:sz="4" w:space="0" w:color="FFFFFF" w:themeColor="background1"/>
            </w:tcBorders>
          </w:tcPr>
          <w:p w14:paraId="7A4005F3" w14:textId="77777777" w:rsidR="0049084A" w:rsidRPr="005F09F9" w:rsidRDefault="0049084A" w:rsidP="002E2EEC">
            <w:pPr>
              <w:keepNext/>
              <w:jc w:val="right"/>
              <w:rPr>
                <w:b/>
                <w:bCs/>
                <w:szCs w:val="22"/>
              </w:rPr>
            </w:pPr>
            <w:r>
              <w:rPr>
                <w:b/>
                <w:bCs/>
                <w:szCs w:val="22"/>
              </w:rPr>
              <w:t>DGS</w:t>
            </w:r>
          </w:p>
        </w:tc>
      </w:tr>
      <w:tr w:rsidR="0049084A" w:rsidRPr="008215CB" w14:paraId="61623A24" w14:textId="77777777" w:rsidTr="00F56D19">
        <w:tc>
          <w:tcPr>
            <w:tcW w:w="704" w:type="dxa"/>
            <w:tcBorders>
              <w:top w:val="nil"/>
              <w:left w:val="single" w:sz="4" w:space="0" w:color="FFFFFF" w:themeColor="background1"/>
              <w:bottom w:val="nil"/>
              <w:right w:val="nil"/>
            </w:tcBorders>
          </w:tcPr>
          <w:p w14:paraId="4E7E5B83" w14:textId="77777777" w:rsidR="0049084A" w:rsidRPr="00FB552D" w:rsidRDefault="0049084A" w:rsidP="002E2EEC">
            <w:pPr>
              <w:keepNext/>
              <w:rPr>
                <w:b/>
                <w:bCs/>
                <w:szCs w:val="22"/>
              </w:rPr>
            </w:pPr>
            <w:r w:rsidRPr="00FB552D">
              <w:rPr>
                <w:b/>
                <w:bCs/>
                <w:szCs w:val="22"/>
              </w:rPr>
              <w:t>8.12</w:t>
            </w:r>
          </w:p>
        </w:tc>
        <w:tc>
          <w:tcPr>
            <w:tcW w:w="6804" w:type="dxa"/>
            <w:tcBorders>
              <w:top w:val="nil"/>
              <w:left w:val="nil"/>
              <w:bottom w:val="nil"/>
              <w:right w:val="single" w:sz="4" w:space="0" w:color="F2F2F2" w:themeColor="background1" w:themeShade="F2"/>
            </w:tcBorders>
          </w:tcPr>
          <w:p w14:paraId="0D57A002" w14:textId="77777777" w:rsidR="0049084A" w:rsidRDefault="0049084A" w:rsidP="002E2EEC">
            <w:pPr>
              <w:keepNext/>
              <w:rPr>
                <w:rFonts w:ascii="Aptos" w:eastAsia="Aptos" w:hAnsi="Aptos" w:cs="Aptos"/>
                <w:color w:val="000000" w:themeColor="text1"/>
                <w:szCs w:val="22"/>
              </w:rPr>
            </w:pPr>
            <w:r w:rsidRPr="008215CB">
              <w:rPr>
                <w:rFonts w:ascii="Aptos" w:eastAsia="Aptos" w:hAnsi="Aptos" w:cs="Aptos"/>
                <w:color w:val="000000" w:themeColor="text1"/>
                <w:szCs w:val="22"/>
              </w:rPr>
              <w:t>Implement an immediate plan to reduce costs in current accommodation, including mothballing unused floors, consolidating weekend access of all buildings to only support existing demand, and adjusting building and maintenance services accordingly.</w:t>
            </w:r>
          </w:p>
          <w:p w14:paraId="6089A27B" w14:textId="52474CF1" w:rsidR="00D353F2" w:rsidRPr="008215CB" w:rsidRDefault="00D353F2" w:rsidP="002E2EEC">
            <w:pPr>
              <w:keepNext/>
              <w:rPr>
                <w:rFonts w:asciiTheme="majorHAnsi" w:hAnsiTheme="majorHAnsi"/>
                <w:szCs w:val="22"/>
              </w:rPr>
            </w:pPr>
          </w:p>
        </w:tc>
        <w:tc>
          <w:tcPr>
            <w:tcW w:w="1843" w:type="dxa"/>
            <w:tcBorders>
              <w:top w:val="nil"/>
              <w:left w:val="single" w:sz="4" w:space="0" w:color="F2F2F2" w:themeColor="background1" w:themeShade="F2"/>
              <w:bottom w:val="nil"/>
              <w:right w:val="single" w:sz="4" w:space="0" w:color="FFFFFF" w:themeColor="background1"/>
            </w:tcBorders>
          </w:tcPr>
          <w:p w14:paraId="1B2B261F" w14:textId="77777777" w:rsidR="0049084A" w:rsidRPr="005F09F9" w:rsidRDefault="0049084A" w:rsidP="002E2EEC">
            <w:pPr>
              <w:keepNext/>
              <w:jc w:val="right"/>
              <w:rPr>
                <w:b/>
                <w:bCs/>
                <w:szCs w:val="22"/>
              </w:rPr>
            </w:pPr>
            <w:r>
              <w:rPr>
                <w:b/>
                <w:bCs/>
                <w:szCs w:val="22"/>
              </w:rPr>
              <w:t>DGS</w:t>
            </w:r>
          </w:p>
        </w:tc>
      </w:tr>
      <w:tr w:rsidR="0049084A" w:rsidRPr="008215CB" w14:paraId="2A9B2E9E" w14:textId="77777777" w:rsidTr="00F56D19">
        <w:tc>
          <w:tcPr>
            <w:tcW w:w="704" w:type="dxa"/>
            <w:tcBorders>
              <w:top w:val="nil"/>
              <w:left w:val="single" w:sz="4" w:space="0" w:color="FFFFFF" w:themeColor="background1"/>
              <w:bottom w:val="nil"/>
              <w:right w:val="nil"/>
            </w:tcBorders>
          </w:tcPr>
          <w:p w14:paraId="105D70D7" w14:textId="77777777" w:rsidR="0049084A" w:rsidRPr="00FB552D" w:rsidRDefault="0049084A" w:rsidP="002E2EEC">
            <w:pPr>
              <w:keepNext/>
              <w:rPr>
                <w:b/>
                <w:bCs/>
                <w:szCs w:val="22"/>
              </w:rPr>
            </w:pPr>
            <w:r w:rsidRPr="00FB552D">
              <w:rPr>
                <w:b/>
                <w:bCs/>
                <w:szCs w:val="22"/>
              </w:rPr>
              <w:t>8.13</w:t>
            </w:r>
          </w:p>
        </w:tc>
        <w:tc>
          <w:tcPr>
            <w:tcW w:w="6804" w:type="dxa"/>
            <w:tcBorders>
              <w:top w:val="nil"/>
              <w:left w:val="nil"/>
              <w:bottom w:val="nil"/>
              <w:right w:val="single" w:sz="4" w:space="0" w:color="F2F2F2" w:themeColor="background1" w:themeShade="F2"/>
            </w:tcBorders>
          </w:tcPr>
          <w:p w14:paraId="6BBEA1F3" w14:textId="220C6FD8" w:rsidR="0049084A" w:rsidRDefault="0049084A" w:rsidP="002E2EEC">
            <w:pPr>
              <w:keepNext/>
              <w:rPr>
                <w:szCs w:val="22"/>
              </w:rPr>
            </w:pPr>
            <w:r w:rsidRPr="008215CB">
              <w:rPr>
                <w:szCs w:val="22"/>
              </w:rPr>
              <w:t xml:space="preserve">Cease </w:t>
            </w:r>
            <w:r w:rsidR="00F83E76">
              <w:rPr>
                <w:szCs w:val="22"/>
              </w:rPr>
              <w:t>outdated</w:t>
            </w:r>
            <w:r w:rsidRPr="008215CB">
              <w:rPr>
                <w:szCs w:val="22"/>
              </w:rPr>
              <w:t xml:space="preserve"> Student Resource Package funding lines and redirect funding to support alternative, higher-priority school needs.</w:t>
            </w:r>
          </w:p>
          <w:p w14:paraId="0B57C9D0" w14:textId="77777777" w:rsidR="0049084A" w:rsidRPr="008215CB" w:rsidRDefault="0049084A" w:rsidP="002E2EEC">
            <w:pPr>
              <w:keepNext/>
              <w:rPr>
                <w:rFonts w:asciiTheme="majorHAnsi" w:hAnsiTheme="majorHAnsi"/>
                <w:szCs w:val="22"/>
              </w:rPr>
            </w:pPr>
          </w:p>
        </w:tc>
        <w:tc>
          <w:tcPr>
            <w:tcW w:w="1843" w:type="dxa"/>
            <w:tcBorders>
              <w:top w:val="nil"/>
              <w:left w:val="single" w:sz="4" w:space="0" w:color="F2F2F2" w:themeColor="background1" w:themeShade="F2"/>
              <w:bottom w:val="nil"/>
              <w:right w:val="single" w:sz="4" w:space="0" w:color="FFFFFF" w:themeColor="background1"/>
            </w:tcBorders>
          </w:tcPr>
          <w:p w14:paraId="41E5DEA5" w14:textId="77777777" w:rsidR="0049084A" w:rsidRPr="005F09F9" w:rsidRDefault="0049084A" w:rsidP="002E2EEC">
            <w:pPr>
              <w:keepNext/>
              <w:jc w:val="right"/>
              <w:rPr>
                <w:b/>
                <w:bCs/>
                <w:szCs w:val="22"/>
              </w:rPr>
            </w:pPr>
            <w:r>
              <w:rPr>
                <w:b/>
                <w:bCs/>
                <w:szCs w:val="22"/>
              </w:rPr>
              <w:t>DE</w:t>
            </w:r>
          </w:p>
        </w:tc>
      </w:tr>
      <w:tr w:rsidR="0049084A" w:rsidRPr="008215CB" w14:paraId="37EA621A" w14:textId="77777777" w:rsidTr="00F56D19">
        <w:tc>
          <w:tcPr>
            <w:tcW w:w="704" w:type="dxa"/>
            <w:tcBorders>
              <w:top w:val="nil"/>
              <w:left w:val="single" w:sz="4" w:space="0" w:color="FFFFFF" w:themeColor="background1"/>
              <w:bottom w:val="nil"/>
              <w:right w:val="nil"/>
            </w:tcBorders>
          </w:tcPr>
          <w:p w14:paraId="1E58329A" w14:textId="77777777" w:rsidR="0049084A" w:rsidRPr="00FB552D" w:rsidRDefault="0049084A" w:rsidP="002E2EEC">
            <w:pPr>
              <w:keepNext/>
              <w:rPr>
                <w:b/>
                <w:bCs/>
                <w:szCs w:val="22"/>
              </w:rPr>
            </w:pPr>
            <w:r w:rsidRPr="00FB552D">
              <w:rPr>
                <w:b/>
                <w:bCs/>
                <w:szCs w:val="22"/>
              </w:rPr>
              <w:t>8.14</w:t>
            </w:r>
          </w:p>
        </w:tc>
        <w:tc>
          <w:tcPr>
            <w:tcW w:w="6804" w:type="dxa"/>
            <w:tcBorders>
              <w:top w:val="nil"/>
              <w:left w:val="nil"/>
              <w:bottom w:val="nil"/>
              <w:right w:val="single" w:sz="4" w:space="0" w:color="F2F2F2" w:themeColor="background1" w:themeShade="F2"/>
            </w:tcBorders>
          </w:tcPr>
          <w:p w14:paraId="3899F132" w14:textId="0228FE0A" w:rsidR="0049084A" w:rsidRDefault="0049084A" w:rsidP="002E2EEC">
            <w:pPr>
              <w:keepNext/>
              <w:rPr>
                <w:szCs w:val="22"/>
              </w:rPr>
            </w:pPr>
            <w:r w:rsidRPr="008215CB">
              <w:rPr>
                <w:szCs w:val="22"/>
              </w:rPr>
              <w:t>Cease Secondary Instrumental Music Program funding.</w:t>
            </w:r>
          </w:p>
          <w:p w14:paraId="04C6EE4C" w14:textId="77777777" w:rsidR="0049084A" w:rsidRPr="008215CB" w:rsidRDefault="0049084A" w:rsidP="002E2EEC">
            <w:pPr>
              <w:keepNext/>
              <w:rPr>
                <w:rFonts w:asciiTheme="majorHAnsi" w:hAnsiTheme="majorHAnsi"/>
                <w:szCs w:val="22"/>
              </w:rPr>
            </w:pPr>
          </w:p>
        </w:tc>
        <w:tc>
          <w:tcPr>
            <w:tcW w:w="1843" w:type="dxa"/>
            <w:tcBorders>
              <w:top w:val="nil"/>
              <w:left w:val="single" w:sz="4" w:space="0" w:color="F2F2F2" w:themeColor="background1" w:themeShade="F2"/>
              <w:bottom w:val="nil"/>
              <w:right w:val="single" w:sz="4" w:space="0" w:color="FFFFFF" w:themeColor="background1"/>
            </w:tcBorders>
          </w:tcPr>
          <w:p w14:paraId="5EB098FF" w14:textId="77777777" w:rsidR="0049084A" w:rsidRPr="005F09F9" w:rsidRDefault="0049084A" w:rsidP="002E2EEC">
            <w:pPr>
              <w:keepNext/>
              <w:jc w:val="right"/>
              <w:rPr>
                <w:b/>
                <w:bCs/>
                <w:szCs w:val="22"/>
              </w:rPr>
            </w:pPr>
            <w:r>
              <w:rPr>
                <w:b/>
                <w:bCs/>
                <w:szCs w:val="22"/>
              </w:rPr>
              <w:t>DE</w:t>
            </w:r>
          </w:p>
        </w:tc>
      </w:tr>
      <w:tr w:rsidR="0049084A" w:rsidRPr="008215CB" w14:paraId="2409C7B2" w14:textId="77777777" w:rsidTr="00F56D19">
        <w:tc>
          <w:tcPr>
            <w:tcW w:w="704" w:type="dxa"/>
            <w:tcBorders>
              <w:top w:val="nil"/>
              <w:left w:val="single" w:sz="4" w:space="0" w:color="FFFFFF" w:themeColor="background1"/>
              <w:bottom w:val="nil"/>
              <w:right w:val="nil"/>
            </w:tcBorders>
          </w:tcPr>
          <w:p w14:paraId="35C255C3" w14:textId="77777777" w:rsidR="0049084A" w:rsidRPr="00FB552D" w:rsidRDefault="0049084A" w:rsidP="002E2EEC">
            <w:pPr>
              <w:keepNext/>
              <w:rPr>
                <w:b/>
                <w:bCs/>
                <w:szCs w:val="22"/>
              </w:rPr>
            </w:pPr>
            <w:r w:rsidRPr="00FB552D">
              <w:rPr>
                <w:b/>
                <w:bCs/>
                <w:szCs w:val="22"/>
              </w:rPr>
              <w:t>8.15</w:t>
            </w:r>
          </w:p>
        </w:tc>
        <w:tc>
          <w:tcPr>
            <w:tcW w:w="6804" w:type="dxa"/>
            <w:tcBorders>
              <w:top w:val="nil"/>
              <w:left w:val="nil"/>
              <w:bottom w:val="nil"/>
              <w:right w:val="single" w:sz="4" w:space="0" w:color="F2F2F2" w:themeColor="background1" w:themeShade="F2"/>
            </w:tcBorders>
          </w:tcPr>
          <w:p w14:paraId="7B60FD44" w14:textId="77FC12D0" w:rsidR="0049084A" w:rsidRDefault="0049084A" w:rsidP="002E2EEC">
            <w:pPr>
              <w:keepNext/>
              <w:rPr>
                <w:szCs w:val="22"/>
              </w:rPr>
            </w:pPr>
            <w:r w:rsidRPr="008215CB">
              <w:rPr>
                <w:szCs w:val="22"/>
              </w:rPr>
              <w:t xml:space="preserve">Cease </w:t>
            </w:r>
            <w:r w:rsidR="00B05D9D">
              <w:rPr>
                <w:szCs w:val="22"/>
              </w:rPr>
              <w:t>the</w:t>
            </w:r>
            <w:r w:rsidRPr="008215CB">
              <w:rPr>
                <w:szCs w:val="22"/>
              </w:rPr>
              <w:t xml:space="preserve"> current funding model for Victoria’s 31 Local Learning and Employment Networks.</w:t>
            </w:r>
          </w:p>
          <w:p w14:paraId="52E11B54" w14:textId="77777777" w:rsidR="0049084A" w:rsidRPr="008215CB" w:rsidRDefault="0049084A" w:rsidP="002E2EEC">
            <w:pPr>
              <w:keepNext/>
              <w:rPr>
                <w:rFonts w:asciiTheme="majorHAnsi" w:hAnsiTheme="majorHAnsi"/>
                <w:szCs w:val="22"/>
              </w:rPr>
            </w:pPr>
          </w:p>
        </w:tc>
        <w:tc>
          <w:tcPr>
            <w:tcW w:w="1843" w:type="dxa"/>
            <w:tcBorders>
              <w:top w:val="nil"/>
              <w:left w:val="single" w:sz="4" w:space="0" w:color="F2F2F2" w:themeColor="background1" w:themeShade="F2"/>
              <w:bottom w:val="nil"/>
              <w:right w:val="single" w:sz="4" w:space="0" w:color="FFFFFF" w:themeColor="background1"/>
            </w:tcBorders>
          </w:tcPr>
          <w:p w14:paraId="20E248A6" w14:textId="77777777" w:rsidR="0049084A" w:rsidRPr="005F09F9" w:rsidRDefault="0049084A" w:rsidP="002E2EEC">
            <w:pPr>
              <w:keepNext/>
              <w:jc w:val="right"/>
              <w:rPr>
                <w:b/>
                <w:bCs/>
                <w:szCs w:val="22"/>
              </w:rPr>
            </w:pPr>
            <w:r>
              <w:rPr>
                <w:b/>
                <w:bCs/>
                <w:szCs w:val="22"/>
              </w:rPr>
              <w:t>DE</w:t>
            </w:r>
          </w:p>
        </w:tc>
      </w:tr>
      <w:tr w:rsidR="0049084A" w:rsidRPr="008215CB" w14:paraId="41B93B49" w14:textId="77777777" w:rsidTr="00F56D19">
        <w:tc>
          <w:tcPr>
            <w:tcW w:w="704" w:type="dxa"/>
            <w:tcBorders>
              <w:top w:val="nil"/>
              <w:left w:val="single" w:sz="4" w:space="0" w:color="FFFFFF" w:themeColor="background1"/>
              <w:bottom w:val="nil"/>
              <w:right w:val="nil"/>
            </w:tcBorders>
          </w:tcPr>
          <w:p w14:paraId="263EC4C4" w14:textId="77777777" w:rsidR="0049084A" w:rsidRPr="00FB552D" w:rsidRDefault="0049084A" w:rsidP="002E2EEC">
            <w:pPr>
              <w:keepNext/>
              <w:rPr>
                <w:b/>
                <w:bCs/>
                <w:szCs w:val="22"/>
              </w:rPr>
            </w:pPr>
            <w:r w:rsidRPr="00FB552D">
              <w:rPr>
                <w:b/>
                <w:bCs/>
                <w:szCs w:val="22"/>
              </w:rPr>
              <w:t>8.16</w:t>
            </w:r>
          </w:p>
        </w:tc>
        <w:tc>
          <w:tcPr>
            <w:tcW w:w="6804" w:type="dxa"/>
            <w:tcBorders>
              <w:top w:val="nil"/>
              <w:left w:val="nil"/>
              <w:bottom w:val="nil"/>
              <w:right w:val="single" w:sz="4" w:space="0" w:color="F2F2F2" w:themeColor="background1" w:themeShade="F2"/>
            </w:tcBorders>
          </w:tcPr>
          <w:p w14:paraId="510F6985" w14:textId="6230FCDC" w:rsidR="0049084A" w:rsidRDefault="0049084A" w:rsidP="002E2EEC">
            <w:pPr>
              <w:keepNext/>
              <w:rPr>
                <w:szCs w:val="22"/>
              </w:rPr>
            </w:pPr>
            <w:r w:rsidRPr="008215CB">
              <w:rPr>
                <w:szCs w:val="22"/>
              </w:rPr>
              <w:t xml:space="preserve">Change the funding model for </w:t>
            </w:r>
            <w:r w:rsidR="007D5EFE">
              <w:rPr>
                <w:szCs w:val="22"/>
              </w:rPr>
              <w:t xml:space="preserve">the </w:t>
            </w:r>
            <w:r w:rsidRPr="008215CB">
              <w:rPr>
                <w:szCs w:val="22"/>
              </w:rPr>
              <w:t>English as an Additional Language program from a proxy-based funding model to a student proficiency-based funding model.</w:t>
            </w:r>
          </w:p>
          <w:p w14:paraId="574FF6BF" w14:textId="77777777" w:rsidR="0049084A" w:rsidRPr="008215CB" w:rsidRDefault="0049084A" w:rsidP="002E2EEC">
            <w:pPr>
              <w:keepNext/>
              <w:rPr>
                <w:rFonts w:asciiTheme="majorHAnsi" w:hAnsiTheme="majorHAnsi"/>
                <w:szCs w:val="22"/>
              </w:rPr>
            </w:pPr>
          </w:p>
        </w:tc>
        <w:tc>
          <w:tcPr>
            <w:tcW w:w="1843" w:type="dxa"/>
            <w:tcBorders>
              <w:top w:val="nil"/>
              <w:left w:val="single" w:sz="4" w:space="0" w:color="F2F2F2" w:themeColor="background1" w:themeShade="F2"/>
              <w:bottom w:val="nil"/>
              <w:right w:val="single" w:sz="4" w:space="0" w:color="FFFFFF" w:themeColor="background1"/>
            </w:tcBorders>
          </w:tcPr>
          <w:p w14:paraId="31B9D8A7" w14:textId="77777777" w:rsidR="0049084A" w:rsidRPr="005F09F9" w:rsidRDefault="0049084A" w:rsidP="002E2EEC">
            <w:pPr>
              <w:keepNext/>
              <w:jc w:val="right"/>
              <w:rPr>
                <w:b/>
                <w:bCs/>
                <w:szCs w:val="22"/>
              </w:rPr>
            </w:pPr>
            <w:r>
              <w:rPr>
                <w:b/>
                <w:bCs/>
                <w:szCs w:val="22"/>
              </w:rPr>
              <w:t>DE</w:t>
            </w:r>
          </w:p>
        </w:tc>
      </w:tr>
      <w:tr w:rsidR="0049084A" w:rsidRPr="008215CB" w14:paraId="1FCAD9E3" w14:textId="77777777" w:rsidTr="00F56D19">
        <w:tc>
          <w:tcPr>
            <w:tcW w:w="704" w:type="dxa"/>
            <w:tcBorders>
              <w:top w:val="nil"/>
              <w:left w:val="single" w:sz="4" w:space="0" w:color="FFFFFF" w:themeColor="background1"/>
              <w:bottom w:val="nil"/>
              <w:right w:val="nil"/>
            </w:tcBorders>
          </w:tcPr>
          <w:p w14:paraId="7A243755" w14:textId="77777777" w:rsidR="0049084A" w:rsidRPr="00FB552D" w:rsidRDefault="0049084A" w:rsidP="002E2EEC">
            <w:pPr>
              <w:keepNext/>
              <w:rPr>
                <w:b/>
                <w:bCs/>
                <w:szCs w:val="22"/>
              </w:rPr>
            </w:pPr>
            <w:r w:rsidRPr="00FB552D">
              <w:rPr>
                <w:b/>
                <w:bCs/>
                <w:szCs w:val="22"/>
              </w:rPr>
              <w:t>8.17</w:t>
            </w:r>
          </w:p>
        </w:tc>
        <w:tc>
          <w:tcPr>
            <w:tcW w:w="6804" w:type="dxa"/>
            <w:tcBorders>
              <w:top w:val="nil"/>
              <w:left w:val="nil"/>
              <w:bottom w:val="nil"/>
              <w:right w:val="single" w:sz="4" w:space="0" w:color="F2F2F2" w:themeColor="background1" w:themeShade="F2"/>
            </w:tcBorders>
          </w:tcPr>
          <w:p w14:paraId="5A6BB396" w14:textId="77777777" w:rsidR="0049084A" w:rsidRDefault="0049084A" w:rsidP="002E2EEC">
            <w:pPr>
              <w:keepNext/>
              <w:rPr>
                <w:szCs w:val="22"/>
              </w:rPr>
            </w:pPr>
            <w:r w:rsidRPr="008215CB">
              <w:rPr>
                <w:szCs w:val="22"/>
              </w:rPr>
              <w:t>Cease the Doctors in Secondary Schools program.</w:t>
            </w:r>
          </w:p>
          <w:p w14:paraId="70D55722" w14:textId="77777777" w:rsidR="0049084A" w:rsidRPr="008215CB" w:rsidRDefault="0049084A" w:rsidP="002E2EEC">
            <w:pPr>
              <w:keepNext/>
              <w:rPr>
                <w:rFonts w:asciiTheme="majorHAnsi" w:hAnsiTheme="majorHAnsi"/>
                <w:szCs w:val="22"/>
              </w:rPr>
            </w:pPr>
          </w:p>
        </w:tc>
        <w:tc>
          <w:tcPr>
            <w:tcW w:w="1843" w:type="dxa"/>
            <w:tcBorders>
              <w:top w:val="nil"/>
              <w:left w:val="single" w:sz="4" w:space="0" w:color="F2F2F2" w:themeColor="background1" w:themeShade="F2"/>
              <w:bottom w:val="nil"/>
              <w:right w:val="single" w:sz="4" w:space="0" w:color="FFFFFF" w:themeColor="background1"/>
            </w:tcBorders>
          </w:tcPr>
          <w:p w14:paraId="437CA4CB" w14:textId="77777777" w:rsidR="0049084A" w:rsidRPr="005F09F9" w:rsidRDefault="0049084A" w:rsidP="002E2EEC">
            <w:pPr>
              <w:keepNext/>
              <w:jc w:val="right"/>
              <w:rPr>
                <w:b/>
                <w:bCs/>
                <w:szCs w:val="22"/>
              </w:rPr>
            </w:pPr>
            <w:r>
              <w:rPr>
                <w:b/>
                <w:bCs/>
                <w:szCs w:val="22"/>
              </w:rPr>
              <w:t>DE</w:t>
            </w:r>
          </w:p>
        </w:tc>
      </w:tr>
      <w:tr w:rsidR="0049084A" w:rsidRPr="008215CB" w14:paraId="5F7E987F" w14:textId="77777777" w:rsidTr="00F56D19">
        <w:tc>
          <w:tcPr>
            <w:tcW w:w="704" w:type="dxa"/>
            <w:tcBorders>
              <w:top w:val="nil"/>
              <w:left w:val="single" w:sz="4" w:space="0" w:color="FFFFFF" w:themeColor="background1"/>
              <w:bottom w:val="nil"/>
              <w:right w:val="nil"/>
            </w:tcBorders>
          </w:tcPr>
          <w:p w14:paraId="4415A0A6" w14:textId="77777777" w:rsidR="0049084A" w:rsidRPr="00FB552D" w:rsidRDefault="0049084A" w:rsidP="002E2EEC">
            <w:pPr>
              <w:keepNext/>
              <w:rPr>
                <w:b/>
                <w:bCs/>
                <w:szCs w:val="22"/>
              </w:rPr>
            </w:pPr>
            <w:r w:rsidRPr="00FB552D">
              <w:rPr>
                <w:b/>
                <w:bCs/>
                <w:szCs w:val="22"/>
              </w:rPr>
              <w:t>8.18</w:t>
            </w:r>
          </w:p>
        </w:tc>
        <w:tc>
          <w:tcPr>
            <w:tcW w:w="6804" w:type="dxa"/>
            <w:tcBorders>
              <w:top w:val="nil"/>
              <w:left w:val="nil"/>
              <w:bottom w:val="nil"/>
              <w:right w:val="single" w:sz="4" w:space="0" w:color="F2F2F2" w:themeColor="background1" w:themeShade="F2"/>
            </w:tcBorders>
          </w:tcPr>
          <w:p w14:paraId="0CC0C937" w14:textId="31BAB699" w:rsidR="0049084A" w:rsidRPr="008215CB" w:rsidRDefault="0049084A" w:rsidP="002E2EEC">
            <w:pPr>
              <w:keepNext/>
              <w:rPr>
                <w:szCs w:val="22"/>
              </w:rPr>
            </w:pPr>
            <w:r w:rsidRPr="008215CB">
              <w:rPr>
                <w:szCs w:val="22"/>
              </w:rPr>
              <w:t>Cease the COVID-19 paid special leave</w:t>
            </w:r>
            <w:r w:rsidR="00AD22DB">
              <w:rPr>
                <w:szCs w:val="22"/>
              </w:rPr>
              <w:t xml:space="preserve"> for health workers</w:t>
            </w:r>
            <w:r w:rsidRPr="008215CB">
              <w:rPr>
                <w:szCs w:val="22"/>
              </w:rPr>
              <w:t>.</w:t>
            </w:r>
          </w:p>
          <w:p w14:paraId="5AF3EC57" w14:textId="77777777" w:rsidR="0049084A" w:rsidRPr="008215CB" w:rsidRDefault="0049084A" w:rsidP="002E2EEC">
            <w:pPr>
              <w:keepNext/>
              <w:rPr>
                <w:rFonts w:asciiTheme="majorHAnsi" w:hAnsiTheme="majorHAnsi"/>
                <w:szCs w:val="22"/>
              </w:rPr>
            </w:pPr>
          </w:p>
        </w:tc>
        <w:tc>
          <w:tcPr>
            <w:tcW w:w="1843" w:type="dxa"/>
            <w:tcBorders>
              <w:top w:val="nil"/>
              <w:left w:val="single" w:sz="4" w:space="0" w:color="F2F2F2" w:themeColor="background1" w:themeShade="F2"/>
              <w:bottom w:val="nil"/>
              <w:right w:val="single" w:sz="4" w:space="0" w:color="FFFFFF" w:themeColor="background1"/>
            </w:tcBorders>
          </w:tcPr>
          <w:p w14:paraId="5ABEA9A2" w14:textId="77777777" w:rsidR="0049084A" w:rsidRPr="005F09F9" w:rsidRDefault="0049084A" w:rsidP="002E2EEC">
            <w:pPr>
              <w:keepNext/>
              <w:jc w:val="right"/>
              <w:rPr>
                <w:b/>
                <w:bCs/>
                <w:szCs w:val="22"/>
              </w:rPr>
            </w:pPr>
            <w:r>
              <w:rPr>
                <w:b/>
                <w:bCs/>
                <w:szCs w:val="22"/>
              </w:rPr>
              <w:t>DH</w:t>
            </w:r>
          </w:p>
        </w:tc>
      </w:tr>
      <w:tr w:rsidR="0049084A" w:rsidRPr="008215CB" w14:paraId="7B3D4F62" w14:textId="77777777" w:rsidTr="00F56D19">
        <w:tc>
          <w:tcPr>
            <w:tcW w:w="704" w:type="dxa"/>
            <w:tcBorders>
              <w:top w:val="nil"/>
              <w:left w:val="single" w:sz="4" w:space="0" w:color="FFFFFF" w:themeColor="background1"/>
              <w:bottom w:val="nil"/>
              <w:right w:val="nil"/>
            </w:tcBorders>
          </w:tcPr>
          <w:p w14:paraId="16AD2884" w14:textId="77777777" w:rsidR="0049084A" w:rsidRPr="00FB552D" w:rsidRDefault="0049084A" w:rsidP="002E2EEC">
            <w:pPr>
              <w:keepNext/>
              <w:rPr>
                <w:b/>
                <w:bCs/>
                <w:szCs w:val="22"/>
              </w:rPr>
            </w:pPr>
            <w:r w:rsidRPr="00FB552D">
              <w:rPr>
                <w:b/>
                <w:bCs/>
                <w:szCs w:val="22"/>
              </w:rPr>
              <w:t>8.19</w:t>
            </w:r>
          </w:p>
        </w:tc>
        <w:tc>
          <w:tcPr>
            <w:tcW w:w="6804" w:type="dxa"/>
            <w:tcBorders>
              <w:top w:val="nil"/>
              <w:left w:val="nil"/>
              <w:bottom w:val="nil"/>
              <w:right w:val="single" w:sz="4" w:space="0" w:color="F2F2F2" w:themeColor="background1" w:themeShade="F2"/>
            </w:tcBorders>
          </w:tcPr>
          <w:p w14:paraId="0BF80468" w14:textId="5AE357AE" w:rsidR="0049084A" w:rsidRDefault="0049084A" w:rsidP="002E2EEC">
            <w:pPr>
              <w:keepNext/>
              <w:rPr>
                <w:rFonts w:ascii="Aptos" w:eastAsia="Aptos" w:hAnsi="Aptos" w:cs="Aptos"/>
                <w:color w:val="000000" w:themeColor="text1"/>
                <w:szCs w:val="22"/>
              </w:rPr>
            </w:pPr>
            <w:r w:rsidRPr="008215CB">
              <w:rPr>
                <w:rFonts w:ascii="Aptos" w:eastAsia="Aptos" w:hAnsi="Aptos" w:cs="Aptos"/>
                <w:color w:val="000000" w:themeColor="text1"/>
                <w:szCs w:val="22"/>
              </w:rPr>
              <w:t xml:space="preserve">Maintain Smile Squad activity and funding at 2024-25 levels and </w:t>
            </w:r>
            <w:r w:rsidR="00AD22DB" w:rsidRPr="00CA5F8C">
              <w:rPr>
                <w:rFonts w:ascii="Aptos" w:eastAsia="Aptos" w:hAnsi="Aptos" w:cs="Aptos"/>
                <w:color w:val="000000" w:themeColor="text1"/>
                <w:szCs w:val="22"/>
              </w:rPr>
              <w:t>focus on core service delivery</w:t>
            </w:r>
            <w:r w:rsidRPr="008215CB">
              <w:rPr>
                <w:rFonts w:ascii="Aptos" w:eastAsia="Aptos" w:hAnsi="Aptos" w:cs="Aptos"/>
                <w:color w:val="000000" w:themeColor="text1"/>
                <w:szCs w:val="22"/>
              </w:rPr>
              <w:t>.</w:t>
            </w:r>
          </w:p>
          <w:p w14:paraId="44CDC2F4" w14:textId="77777777" w:rsidR="0049084A" w:rsidRPr="008215CB" w:rsidRDefault="0049084A" w:rsidP="002E2EEC">
            <w:pPr>
              <w:keepNext/>
              <w:rPr>
                <w:rFonts w:asciiTheme="majorHAnsi" w:hAnsiTheme="majorHAnsi"/>
                <w:szCs w:val="22"/>
              </w:rPr>
            </w:pPr>
          </w:p>
        </w:tc>
        <w:tc>
          <w:tcPr>
            <w:tcW w:w="1843" w:type="dxa"/>
            <w:tcBorders>
              <w:top w:val="nil"/>
              <w:left w:val="single" w:sz="4" w:space="0" w:color="F2F2F2" w:themeColor="background1" w:themeShade="F2"/>
              <w:bottom w:val="nil"/>
              <w:right w:val="single" w:sz="4" w:space="0" w:color="FFFFFF" w:themeColor="background1"/>
            </w:tcBorders>
          </w:tcPr>
          <w:p w14:paraId="24BCD4D2" w14:textId="77777777" w:rsidR="0049084A" w:rsidRPr="005F09F9" w:rsidRDefault="0049084A" w:rsidP="002E2EEC">
            <w:pPr>
              <w:keepNext/>
              <w:jc w:val="right"/>
              <w:rPr>
                <w:b/>
                <w:bCs/>
                <w:szCs w:val="22"/>
              </w:rPr>
            </w:pPr>
            <w:r>
              <w:rPr>
                <w:b/>
                <w:bCs/>
                <w:szCs w:val="22"/>
              </w:rPr>
              <w:t>DH</w:t>
            </w:r>
          </w:p>
        </w:tc>
      </w:tr>
      <w:tr w:rsidR="0049084A" w:rsidRPr="008215CB" w14:paraId="6625D1DD" w14:textId="77777777" w:rsidTr="00F56D19">
        <w:tc>
          <w:tcPr>
            <w:tcW w:w="704" w:type="dxa"/>
            <w:tcBorders>
              <w:top w:val="nil"/>
              <w:left w:val="single" w:sz="4" w:space="0" w:color="FFFFFF" w:themeColor="background1"/>
              <w:bottom w:val="nil"/>
              <w:right w:val="nil"/>
            </w:tcBorders>
          </w:tcPr>
          <w:p w14:paraId="7A1B4D4C" w14:textId="77777777" w:rsidR="0049084A" w:rsidRPr="00FB552D" w:rsidRDefault="0049084A" w:rsidP="002E2EEC">
            <w:pPr>
              <w:keepNext/>
              <w:rPr>
                <w:b/>
                <w:bCs/>
                <w:szCs w:val="22"/>
              </w:rPr>
            </w:pPr>
            <w:r w:rsidRPr="00FB552D">
              <w:rPr>
                <w:b/>
                <w:bCs/>
                <w:szCs w:val="22"/>
              </w:rPr>
              <w:t>8.20</w:t>
            </w:r>
          </w:p>
        </w:tc>
        <w:tc>
          <w:tcPr>
            <w:tcW w:w="6804" w:type="dxa"/>
            <w:tcBorders>
              <w:top w:val="nil"/>
              <w:left w:val="nil"/>
              <w:bottom w:val="nil"/>
              <w:right w:val="single" w:sz="4" w:space="0" w:color="F2F2F2" w:themeColor="background1" w:themeShade="F2"/>
            </w:tcBorders>
          </w:tcPr>
          <w:p w14:paraId="04714FA1" w14:textId="1C6A9FAA" w:rsidR="0049084A" w:rsidRDefault="0049084A" w:rsidP="002E2EEC">
            <w:pPr>
              <w:keepNext/>
              <w:rPr>
                <w:szCs w:val="22"/>
              </w:rPr>
            </w:pPr>
            <w:r>
              <w:rPr>
                <w:szCs w:val="22"/>
              </w:rPr>
              <w:t>Cease grants to Melbourne City Council for transport initiatives</w:t>
            </w:r>
            <w:r w:rsidR="00B05D9D">
              <w:rPr>
                <w:szCs w:val="22"/>
              </w:rPr>
              <w:t>.</w:t>
            </w:r>
          </w:p>
          <w:p w14:paraId="0A088013" w14:textId="77777777" w:rsidR="0049084A" w:rsidRPr="008215CB" w:rsidRDefault="0049084A" w:rsidP="002E2EEC">
            <w:pPr>
              <w:keepNext/>
              <w:rPr>
                <w:rFonts w:asciiTheme="majorHAnsi" w:hAnsiTheme="majorHAnsi"/>
                <w:szCs w:val="22"/>
              </w:rPr>
            </w:pPr>
          </w:p>
        </w:tc>
        <w:tc>
          <w:tcPr>
            <w:tcW w:w="1843" w:type="dxa"/>
            <w:tcBorders>
              <w:top w:val="nil"/>
              <w:left w:val="single" w:sz="4" w:space="0" w:color="F2F2F2" w:themeColor="background1" w:themeShade="F2"/>
              <w:bottom w:val="nil"/>
              <w:right w:val="single" w:sz="4" w:space="0" w:color="FFFFFF" w:themeColor="background1"/>
            </w:tcBorders>
          </w:tcPr>
          <w:p w14:paraId="03260F4E" w14:textId="77777777" w:rsidR="0049084A" w:rsidRPr="005F09F9" w:rsidRDefault="0049084A" w:rsidP="002E2EEC">
            <w:pPr>
              <w:keepNext/>
              <w:jc w:val="right"/>
              <w:rPr>
                <w:b/>
                <w:bCs/>
                <w:szCs w:val="22"/>
              </w:rPr>
            </w:pPr>
            <w:r>
              <w:rPr>
                <w:b/>
                <w:bCs/>
                <w:szCs w:val="22"/>
              </w:rPr>
              <w:t>DTP</w:t>
            </w:r>
          </w:p>
        </w:tc>
      </w:tr>
      <w:tr w:rsidR="0049084A" w:rsidRPr="008215CB" w14:paraId="53AB81FE" w14:textId="77777777" w:rsidTr="00F56D19">
        <w:tc>
          <w:tcPr>
            <w:tcW w:w="704" w:type="dxa"/>
            <w:tcBorders>
              <w:top w:val="nil"/>
              <w:left w:val="single" w:sz="4" w:space="0" w:color="FFFFFF" w:themeColor="background1"/>
              <w:bottom w:val="nil"/>
              <w:right w:val="nil"/>
            </w:tcBorders>
          </w:tcPr>
          <w:p w14:paraId="53F103C5" w14:textId="77777777" w:rsidR="0049084A" w:rsidRPr="00FB552D" w:rsidRDefault="0049084A" w:rsidP="002E2EEC">
            <w:pPr>
              <w:keepNext/>
              <w:rPr>
                <w:b/>
                <w:bCs/>
                <w:szCs w:val="22"/>
              </w:rPr>
            </w:pPr>
            <w:r w:rsidRPr="00FB552D">
              <w:rPr>
                <w:b/>
                <w:bCs/>
                <w:szCs w:val="22"/>
              </w:rPr>
              <w:t>8.21</w:t>
            </w:r>
          </w:p>
        </w:tc>
        <w:tc>
          <w:tcPr>
            <w:tcW w:w="6804" w:type="dxa"/>
            <w:tcBorders>
              <w:top w:val="nil"/>
              <w:left w:val="nil"/>
              <w:bottom w:val="nil"/>
              <w:right w:val="single" w:sz="4" w:space="0" w:color="F2F2F2" w:themeColor="background1" w:themeShade="F2"/>
            </w:tcBorders>
          </w:tcPr>
          <w:p w14:paraId="602A9067" w14:textId="12E40F4A" w:rsidR="0049084A" w:rsidRPr="008215CB" w:rsidRDefault="0049084A" w:rsidP="002E2EEC">
            <w:pPr>
              <w:keepNext/>
              <w:ind w:left="22"/>
              <w:rPr>
                <w:szCs w:val="22"/>
              </w:rPr>
            </w:pPr>
            <w:r w:rsidRPr="008215CB">
              <w:rPr>
                <w:rFonts w:ascii="Aptos" w:eastAsia="Aptos" w:hAnsi="Aptos" w:cs="Aptos"/>
                <w:color w:val="000000" w:themeColor="text1"/>
                <w:szCs w:val="22"/>
              </w:rPr>
              <w:t xml:space="preserve">Improve contract management processes and recoup underspent funds from Community Service </w:t>
            </w:r>
            <w:proofErr w:type="spellStart"/>
            <w:r w:rsidRPr="008215CB">
              <w:rPr>
                <w:rFonts w:ascii="Aptos" w:eastAsia="Aptos" w:hAnsi="Aptos" w:cs="Aptos"/>
                <w:color w:val="000000" w:themeColor="text1"/>
                <w:szCs w:val="22"/>
              </w:rPr>
              <w:t>Organisations</w:t>
            </w:r>
            <w:proofErr w:type="spellEnd"/>
            <w:r w:rsidRPr="008215CB">
              <w:rPr>
                <w:rFonts w:ascii="Aptos" w:eastAsia="Aptos" w:hAnsi="Aptos" w:cs="Aptos"/>
                <w:color w:val="000000" w:themeColor="text1"/>
                <w:szCs w:val="22"/>
              </w:rPr>
              <w:t xml:space="preserve"> that have not delivered on service target deliverables in service agreements.  </w:t>
            </w:r>
          </w:p>
          <w:p w14:paraId="5BF2B893" w14:textId="77777777" w:rsidR="0049084A" w:rsidRPr="008215CB" w:rsidRDefault="0049084A" w:rsidP="002E2EEC">
            <w:pPr>
              <w:keepNext/>
              <w:rPr>
                <w:szCs w:val="22"/>
              </w:rPr>
            </w:pPr>
          </w:p>
        </w:tc>
        <w:tc>
          <w:tcPr>
            <w:tcW w:w="1843" w:type="dxa"/>
            <w:tcBorders>
              <w:top w:val="nil"/>
              <w:left w:val="single" w:sz="4" w:space="0" w:color="F2F2F2" w:themeColor="background1" w:themeShade="F2"/>
              <w:bottom w:val="nil"/>
              <w:right w:val="single" w:sz="4" w:space="0" w:color="FFFFFF" w:themeColor="background1"/>
            </w:tcBorders>
          </w:tcPr>
          <w:p w14:paraId="099FD498" w14:textId="77777777" w:rsidR="0049084A" w:rsidRPr="005F09F9" w:rsidRDefault="0049084A" w:rsidP="002E2EEC">
            <w:pPr>
              <w:keepNext/>
              <w:jc w:val="right"/>
              <w:rPr>
                <w:b/>
                <w:bCs/>
                <w:szCs w:val="22"/>
              </w:rPr>
            </w:pPr>
            <w:r>
              <w:rPr>
                <w:b/>
                <w:bCs/>
                <w:szCs w:val="22"/>
              </w:rPr>
              <w:t>DFFH</w:t>
            </w:r>
          </w:p>
        </w:tc>
      </w:tr>
      <w:tr w:rsidR="0049084A" w:rsidRPr="008215CB" w14:paraId="7238401F" w14:textId="77777777" w:rsidTr="00AE3F56">
        <w:tc>
          <w:tcPr>
            <w:tcW w:w="704" w:type="dxa"/>
            <w:tcBorders>
              <w:top w:val="nil"/>
              <w:left w:val="single" w:sz="4" w:space="0" w:color="FFFFFF" w:themeColor="background1"/>
              <w:right w:val="nil"/>
            </w:tcBorders>
          </w:tcPr>
          <w:p w14:paraId="75A6BEA5" w14:textId="77777777" w:rsidR="0049084A" w:rsidRPr="00FB552D" w:rsidRDefault="0049084A" w:rsidP="002E2EEC">
            <w:pPr>
              <w:keepNext/>
              <w:spacing w:after="60"/>
              <w:rPr>
                <w:b/>
                <w:bCs/>
                <w:szCs w:val="22"/>
              </w:rPr>
            </w:pPr>
            <w:r w:rsidRPr="00FB552D">
              <w:rPr>
                <w:b/>
                <w:bCs/>
                <w:szCs w:val="22"/>
              </w:rPr>
              <w:t>8.22</w:t>
            </w:r>
          </w:p>
        </w:tc>
        <w:tc>
          <w:tcPr>
            <w:tcW w:w="6804" w:type="dxa"/>
            <w:tcBorders>
              <w:top w:val="nil"/>
              <w:left w:val="nil"/>
              <w:right w:val="single" w:sz="4" w:space="0" w:color="F2F2F2" w:themeColor="background1" w:themeShade="F2"/>
            </w:tcBorders>
          </w:tcPr>
          <w:p w14:paraId="18ECA3D3" w14:textId="22D6EE0D" w:rsidR="0049084A" w:rsidRPr="008215CB" w:rsidRDefault="0049084A" w:rsidP="002E2EEC">
            <w:pPr>
              <w:keepNext/>
              <w:spacing w:after="60"/>
              <w:ind w:left="22"/>
              <w:rPr>
                <w:rFonts w:ascii="Aptos" w:eastAsia="Aptos" w:hAnsi="Aptos" w:cs="Aptos"/>
                <w:color w:val="000000" w:themeColor="text1"/>
                <w:szCs w:val="22"/>
              </w:rPr>
            </w:pPr>
            <w:r w:rsidRPr="008215CB">
              <w:rPr>
                <w:rFonts w:ascii="Aptos" w:eastAsia="Aptos" w:hAnsi="Aptos" w:cs="Aptos"/>
                <w:color w:val="000000" w:themeColor="text1"/>
                <w:szCs w:val="22"/>
              </w:rPr>
              <w:t xml:space="preserve">Reduce funding to the Better Boating </w:t>
            </w:r>
            <w:r w:rsidR="00373F4A">
              <w:rPr>
                <w:rFonts w:ascii="Aptos" w:eastAsia="Aptos" w:hAnsi="Aptos" w:cs="Aptos"/>
                <w:color w:val="000000" w:themeColor="text1"/>
                <w:szCs w:val="22"/>
              </w:rPr>
              <w:t>F</w:t>
            </w:r>
            <w:r w:rsidRPr="008215CB">
              <w:rPr>
                <w:rFonts w:ascii="Aptos" w:eastAsia="Aptos" w:hAnsi="Aptos" w:cs="Aptos"/>
                <w:color w:val="000000" w:themeColor="text1"/>
                <w:szCs w:val="22"/>
              </w:rPr>
              <w:t>und</w:t>
            </w:r>
            <w:r w:rsidR="00AF2729">
              <w:rPr>
                <w:rFonts w:ascii="Aptos" w:eastAsia="Aptos" w:hAnsi="Aptos" w:cs="Aptos"/>
                <w:color w:val="000000" w:themeColor="text1"/>
                <w:szCs w:val="22"/>
              </w:rPr>
              <w:t>.</w:t>
            </w:r>
          </w:p>
        </w:tc>
        <w:tc>
          <w:tcPr>
            <w:tcW w:w="1843" w:type="dxa"/>
            <w:tcBorders>
              <w:top w:val="nil"/>
              <w:left w:val="single" w:sz="4" w:space="0" w:color="F2F2F2" w:themeColor="background1" w:themeShade="F2"/>
              <w:right w:val="single" w:sz="4" w:space="0" w:color="FFFFFF" w:themeColor="background1"/>
            </w:tcBorders>
          </w:tcPr>
          <w:p w14:paraId="49558E13" w14:textId="73EADA8F" w:rsidR="0049084A" w:rsidRPr="005F09F9" w:rsidRDefault="0049084A" w:rsidP="002E2EEC">
            <w:pPr>
              <w:keepNext/>
              <w:spacing w:after="60"/>
              <w:jc w:val="right"/>
              <w:rPr>
                <w:b/>
                <w:bCs/>
                <w:szCs w:val="22"/>
              </w:rPr>
            </w:pPr>
            <w:r>
              <w:rPr>
                <w:b/>
                <w:bCs/>
                <w:szCs w:val="22"/>
              </w:rPr>
              <w:t>DJSIR</w:t>
            </w:r>
          </w:p>
        </w:tc>
      </w:tr>
    </w:tbl>
    <w:p w14:paraId="5ED59CFE" w14:textId="4E9B4AE1" w:rsidR="00CF2D41" w:rsidRDefault="00CF2D41"/>
    <w:p w14:paraId="36946C76" w14:textId="77777777" w:rsidR="00CF2D41" w:rsidRDefault="00CF2D41">
      <w:r>
        <w:br w:type="page"/>
      </w:r>
    </w:p>
    <w:tbl>
      <w:tblPr>
        <w:tblStyle w:val="TableGrid"/>
        <w:tblW w:w="9351" w:type="dxa"/>
        <w:tblLayout w:type="fixed"/>
        <w:tblLook w:val="04A0" w:firstRow="1" w:lastRow="0" w:firstColumn="1" w:lastColumn="0" w:noHBand="0" w:noVBand="1"/>
      </w:tblPr>
      <w:tblGrid>
        <w:gridCol w:w="704"/>
        <w:gridCol w:w="6804"/>
        <w:gridCol w:w="1843"/>
      </w:tblGrid>
      <w:tr w:rsidR="0049084A" w:rsidRPr="008215CB" w14:paraId="7F7563CE" w14:textId="77777777" w:rsidTr="00C73948">
        <w:trPr>
          <w:trHeight w:val="454"/>
        </w:trPr>
        <w:tc>
          <w:tcPr>
            <w:tcW w:w="9351" w:type="dxa"/>
            <w:gridSpan w:val="3"/>
            <w:tcBorders>
              <w:top w:val="single" w:sz="2" w:space="0" w:color="auto"/>
              <w:left w:val="single" w:sz="4" w:space="0" w:color="FFFFFF" w:themeColor="background1"/>
              <w:right w:val="single" w:sz="4" w:space="0" w:color="FFFFFF" w:themeColor="background1"/>
            </w:tcBorders>
            <w:shd w:val="clear" w:color="auto" w:fill="E7E6E6"/>
          </w:tcPr>
          <w:p w14:paraId="131DF60F" w14:textId="13CF834F" w:rsidR="0049084A" w:rsidRPr="00463B8C" w:rsidRDefault="0049084A" w:rsidP="0052796B">
            <w:pPr>
              <w:tabs>
                <w:tab w:val="left" w:pos="5785"/>
              </w:tabs>
              <w:spacing w:before="60"/>
              <w:rPr>
                <w:b/>
                <w:bCs/>
                <w:szCs w:val="22"/>
              </w:rPr>
            </w:pPr>
            <w:r>
              <w:rPr>
                <w:b/>
                <w:bCs/>
                <w:szCs w:val="22"/>
              </w:rPr>
              <w:lastRenderedPageBreak/>
              <w:t xml:space="preserve">Chapter 9: </w:t>
            </w:r>
            <w:r w:rsidRPr="00463B8C">
              <w:rPr>
                <w:b/>
                <w:bCs/>
                <w:szCs w:val="22"/>
              </w:rPr>
              <w:t>Implementation</w:t>
            </w:r>
          </w:p>
        </w:tc>
      </w:tr>
      <w:tr w:rsidR="0049084A" w:rsidRPr="008215CB" w14:paraId="092CAB12" w14:textId="77777777" w:rsidTr="00F56D19">
        <w:trPr>
          <w:trHeight w:val="454"/>
        </w:trPr>
        <w:tc>
          <w:tcPr>
            <w:tcW w:w="7508" w:type="dxa"/>
            <w:gridSpan w:val="2"/>
            <w:tcBorders>
              <w:left w:val="single" w:sz="4" w:space="0" w:color="FFFFFF" w:themeColor="background1"/>
              <w:bottom w:val="single" w:sz="4" w:space="0" w:color="auto"/>
              <w:right w:val="single" w:sz="12" w:space="0" w:color="FFFFFF" w:themeColor="background1"/>
            </w:tcBorders>
          </w:tcPr>
          <w:p w14:paraId="5582C52E" w14:textId="77777777" w:rsidR="0049084A" w:rsidRPr="008215CB" w:rsidRDefault="0049084A" w:rsidP="0052796B">
            <w:pPr>
              <w:spacing w:before="60"/>
              <w:ind w:left="22"/>
              <w:rPr>
                <w:rFonts w:ascii="Aptos" w:eastAsia="Aptos" w:hAnsi="Aptos" w:cs="Aptos"/>
                <w:color w:val="000000" w:themeColor="text1"/>
                <w:szCs w:val="22"/>
              </w:rPr>
            </w:pPr>
            <w:r w:rsidRPr="00336BE0">
              <w:rPr>
                <w:b/>
                <w:bCs/>
                <w:szCs w:val="22"/>
              </w:rPr>
              <w:t>Recommendation</w:t>
            </w:r>
          </w:p>
        </w:tc>
        <w:tc>
          <w:tcPr>
            <w:tcW w:w="1843" w:type="dxa"/>
            <w:tcBorders>
              <w:left w:val="single" w:sz="12" w:space="0" w:color="FFFFFF" w:themeColor="background1"/>
              <w:bottom w:val="single" w:sz="4" w:space="0" w:color="auto"/>
              <w:right w:val="single" w:sz="4" w:space="0" w:color="FFFFFF" w:themeColor="background1"/>
            </w:tcBorders>
          </w:tcPr>
          <w:p w14:paraId="14D34C8E" w14:textId="1AED1BC8" w:rsidR="0049084A" w:rsidRPr="008215CB" w:rsidRDefault="0049084A" w:rsidP="0052796B">
            <w:pPr>
              <w:spacing w:before="60"/>
              <w:jc w:val="right"/>
              <w:rPr>
                <w:szCs w:val="22"/>
              </w:rPr>
            </w:pPr>
            <w:r w:rsidRPr="00336BE0">
              <w:rPr>
                <w:b/>
                <w:bCs/>
                <w:szCs w:val="22"/>
              </w:rPr>
              <w:t>Accountability</w:t>
            </w:r>
          </w:p>
        </w:tc>
      </w:tr>
      <w:tr w:rsidR="0049084A" w:rsidRPr="008215CB" w14:paraId="5A1E36B5" w14:textId="77777777" w:rsidTr="00F56D19">
        <w:tc>
          <w:tcPr>
            <w:tcW w:w="704" w:type="dxa"/>
            <w:tcBorders>
              <w:left w:val="single" w:sz="4" w:space="0" w:color="FFFFFF" w:themeColor="background1"/>
              <w:bottom w:val="nil"/>
              <w:right w:val="nil"/>
            </w:tcBorders>
          </w:tcPr>
          <w:p w14:paraId="11AB8FF5" w14:textId="77777777" w:rsidR="0049084A" w:rsidRPr="00AB314D" w:rsidRDefault="0049084A" w:rsidP="0052796B">
            <w:pPr>
              <w:spacing w:before="60"/>
              <w:rPr>
                <w:b/>
                <w:bCs/>
                <w:szCs w:val="22"/>
              </w:rPr>
            </w:pPr>
            <w:r w:rsidRPr="00AB314D">
              <w:rPr>
                <w:b/>
                <w:bCs/>
                <w:szCs w:val="22"/>
              </w:rPr>
              <w:t>9.1</w:t>
            </w:r>
          </w:p>
        </w:tc>
        <w:tc>
          <w:tcPr>
            <w:tcW w:w="6804" w:type="dxa"/>
            <w:tcBorders>
              <w:left w:val="nil"/>
              <w:bottom w:val="nil"/>
              <w:right w:val="single" w:sz="4" w:space="0" w:color="F2F2F2" w:themeColor="background1" w:themeShade="F2"/>
            </w:tcBorders>
          </w:tcPr>
          <w:p w14:paraId="0CD8550E" w14:textId="0674C95C" w:rsidR="0049084A" w:rsidRPr="008215CB" w:rsidRDefault="0049084A" w:rsidP="0052796B">
            <w:pPr>
              <w:spacing w:before="60" w:after="160" w:line="278" w:lineRule="auto"/>
              <w:ind w:left="23"/>
              <w:rPr>
                <w:rFonts w:ascii="Aptos" w:eastAsia="Aptos" w:hAnsi="Aptos" w:cs="Aptos"/>
                <w:color w:val="000000" w:themeColor="text1"/>
                <w:szCs w:val="22"/>
              </w:rPr>
            </w:pPr>
            <w:r w:rsidRPr="008215CB">
              <w:rPr>
                <w:rFonts w:ascii="Aptos" w:eastAsia="Aptos" w:hAnsi="Aptos" w:cs="Aptos"/>
                <w:color w:val="000000" w:themeColor="text1"/>
                <w:szCs w:val="22"/>
              </w:rPr>
              <w:t xml:space="preserve">Establish a dedicated delivery unit within </w:t>
            </w:r>
            <w:r w:rsidR="00BE5E77">
              <w:rPr>
                <w:rFonts w:ascii="Aptos" w:eastAsia="Aptos" w:hAnsi="Aptos" w:cs="Aptos"/>
                <w:color w:val="000000" w:themeColor="text1"/>
                <w:szCs w:val="22"/>
              </w:rPr>
              <w:t>DTF</w:t>
            </w:r>
            <w:r w:rsidRPr="008215CB">
              <w:rPr>
                <w:rFonts w:ascii="Aptos" w:eastAsia="Aptos" w:hAnsi="Aptos" w:cs="Aptos"/>
                <w:color w:val="000000" w:themeColor="text1"/>
                <w:szCs w:val="22"/>
              </w:rPr>
              <w:t xml:space="preserve"> to plan, implement, monitor</w:t>
            </w:r>
            <w:r w:rsidR="002A2BC9">
              <w:rPr>
                <w:rFonts w:ascii="Aptos" w:eastAsia="Aptos" w:hAnsi="Aptos" w:cs="Aptos"/>
                <w:color w:val="000000" w:themeColor="text1"/>
                <w:szCs w:val="22"/>
              </w:rPr>
              <w:t xml:space="preserve"> </w:t>
            </w:r>
            <w:r w:rsidR="002A2BC9" w:rsidRPr="00790130">
              <w:rPr>
                <w:rFonts w:ascii="Aptos" w:eastAsia="Aptos" w:hAnsi="Aptos" w:cs="Aptos"/>
                <w:color w:val="000000" w:themeColor="text1"/>
                <w:szCs w:val="22"/>
              </w:rPr>
              <w:t xml:space="preserve">and </w:t>
            </w:r>
            <w:r w:rsidR="002A2BC9" w:rsidRPr="00CA5F8C">
              <w:rPr>
                <w:rFonts w:ascii="Aptos" w:eastAsia="Aptos" w:hAnsi="Aptos" w:cs="Aptos"/>
                <w:color w:val="000000" w:themeColor="text1"/>
                <w:szCs w:val="22"/>
              </w:rPr>
              <w:t>report</w:t>
            </w:r>
            <w:r w:rsidR="00AB0FF6" w:rsidRPr="00CA5F8C">
              <w:rPr>
                <w:rFonts w:ascii="Aptos" w:eastAsia="Aptos" w:hAnsi="Aptos" w:cs="Aptos"/>
                <w:color w:val="000000" w:themeColor="text1"/>
                <w:szCs w:val="22"/>
              </w:rPr>
              <w:t xml:space="preserve"> </w:t>
            </w:r>
            <w:r w:rsidR="00BE7D7D" w:rsidRPr="00CA5F8C">
              <w:rPr>
                <w:rFonts w:ascii="Aptos" w:eastAsia="Aptos" w:hAnsi="Aptos" w:cs="Aptos"/>
                <w:color w:val="000000" w:themeColor="text1"/>
                <w:szCs w:val="22"/>
              </w:rPr>
              <w:t>to VSB and the budget committee</w:t>
            </w:r>
            <w:r w:rsidR="00BE7D7D">
              <w:rPr>
                <w:rFonts w:ascii="Aptos" w:eastAsia="Aptos" w:hAnsi="Aptos" w:cs="Aptos"/>
                <w:color w:val="000000" w:themeColor="text1"/>
                <w:szCs w:val="22"/>
              </w:rPr>
              <w:t xml:space="preserve"> </w:t>
            </w:r>
            <w:r w:rsidR="00AB0FF6">
              <w:rPr>
                <w:rFonts w:ascii="Aptos" w:eastAsia="Aptos" w:hAnsi="Aptos" w:cs="Aptos"/>
                <w:color w:val="000000" w:themeColor="text1"/>
                <w:szCs w:val="22"/>
              </w:rPr>
              <w:t>on</w:t>
            </w:r>
            <w:r w:rsidRPr="008215CB">
              <w:rPr>
                <w:rFonts w:ascii="Aptos" w:eastAsia="Aptos" w:hAnsi="Aptos" w:cs="Aptos"/>
                <w:color w:val="000000" w:themeColor="text1"/>
                <w:szCs w:val="22"/>
              </w:rPr>
              <w:t xml:space="preserve"> implementation of recommendations of this Review for </w:t>
            </w:r>
            <w:r w:rsidR="00AB0FF6">
              <w:rPr>
                <w:rFonts w:ascii="Aptos" w:eastAsia="Aptos" w:hAnsi="Aptos" w:cs="Aptos"/>
                <w:color w:val="000000" w:themeColor="text1"/>
                <w:szCs w:val="22"/>
              </w:rPr>
              <w:t xml:space="preserve">at least </w:t>
            </w:r>
            <w:r w:rsidRPr="008215CB">
              <w:rPr>
                <w:rFonts w:ascii="Aptos" w:eastAsia="Aptos" w:hAnsi="Aptos" w:cs="Aptos"/>
                <w:color w:val="000000" w:themeColor="text1"/>
                <w:szCs w:val="22"/>
              </w:rPr>
              <w:t>the first two years.</w:t>
            </w:r>
          </w:p>
        </w:tc>
        <w:tc>
          <w:tcPr>
            <w:tcW w:w="1843" w:type="dxa"/>
            <w:tcBorders>
              <w:left w:val="single" w:sz="4" w:space="0" w:color="F2F2F2" w:themeColor="background1" w:themeShade="F2"/>
              <w:bottom w:val="nil"/>
              <w:right w:val="single" w:sz="4" w:space="0" w:color="FFFFFF" w:themeColor="background1"/>
            </w:tcBorders>
          </w:tcPr>
          <w:p w14:paraId="6243B25B" w14:textId="77777777" w:rsidR="0049084A" w:rsidRPr="00C3798C" w:rsidRDefault="0049084A" w:rsidP="0052796B">
            <w:pPr>
              <w:spacing w:before="60"/>
              <w:jc w:val="right"/>
              <w:rPr>
                <w:b/>
                <w:szCs w:val="22"/>
              </w:rPr>
            </w:pPr>
            <w:r w:rsidRPr="00C3798C">
              <w:rPr>
                <w:b/>
                <w:szCs w:val="22"/>
              </w:rPr>
              <w:t>DTF</w:t>
            </w:r>
          </w:p>
        </w:tc>
      </w:tr>
      <w:tr w:rsidR="0049084A" w:rsidRPr="008215CB" w14:paraId="72740531" w14:textId="77777777" w:rsidTr="00F56D19">
        <w:tc>
          <w:tcPr>
            <w:tcW w:w="704" w:type="dxa"/>
            <w:tcBorders>
              <w:top w:val="nil"/>
              <w:left w:val="single" w:sz="4" w:space="0" w:color="FFFFFF" w:themeColor="background1"/>
              <w:bottom w:val="nil"/>
              <w:right w:val="nil"/>
            </w:tcBorders>
          </w:tcPr>
          <w:p w14:paraId="54259BF0" w14:textId="77777777" w:rsidR="0049084A" w:rsidRPr="00AB314D" w:rsidRDefault="0049084A" w:rsidP="00352512">
            <w:pPr>
              <w:rPr>
                <w:b/>
                <w:bCs/>
                <w:szCs w:val="22"/>
              </w:rPr>
            </w:pPr>
            <w:r w:rsidRPr="00AB314D">
              <w:rPr>
                <w:b/>
                <w:bCs/>
                <w:szCs w:val="22"/>
              </w:rPr>
              <w:t>9.2</w:t>
            </w:r>
          </w:p>
        </w:tc>
        <w:tc>
          <w:tcPr>
            <w:tcW w:w="6804" w:type="dxa"/>
            <w:tcBorders>
              <w:top w:val="nil"/>
              <w:left w:val="nil"/>
              <w:bottom w:val="nil"/>
              <w:right w:val="single" w:sz="4" w:space="0" w:color="F2F2F2" w:themeColor="background1" w:themeShade="F2"/>
            </w:tcBorders>
          </w:tcPr>
          <w:p w14:paraId="369FC8E0" w14:textId="02CF42D7" w:rsidR="0049084A" w:rsidRPr="008215CB" w:rsidRDefault="0049084A" w:rsidP="00F72F14">
            <w:pPr>
              <w:spacing w:after="160" w:line="278" w:lineRule="auto"/>
              <w:ind w:left="23"/>
              <w:rPr>
                <w:rFonts w:ascii="Aptos" w:eastAsia="Aptos" w:hAnsi="Aptos" w:cs="Aptos"/>
                <w:color w:val="000000" w:themeColor="text1"/>
                <w:szCs w:val="22"/>
              </w:rPr>
            </w:pPr>
            <w:r w:rsidRPr="008215CB">
              <w:rPr>
                <w:rFonts w:ascii="Aptos" w:eastAsia="Aptos" w:hAnsi="Aptos" w:cs="Aptos"/>
                <w:color w:val="000000" w:themeColor="text1"/>
                <w:szCs w:val="22"/>
              </w:rPr>
              <w:t xml:space="preserve">Empower and support departmental Secretaries to </w:t>
            </w:r>
            <w:proofErr w:type="spellStart"/>
            <w:r w:rsidRPr="008215CB">
              <w:rPr>
                <w:rFonts w:ascii="Aptos" w:eastAsia="Aptos" w:hAnsi="Aptos" w:cs="Aptos"/>
                <w:color w:val="000000" w:themeColor="text1"/>
                <w:szCs w:val="22"/>
              </w:rPr>
              <w:t>prioritise</w:t>
            </w:r>
            <w:proofErr w:type="spellEnd"/>
            <w:r w:rsidRPr="008215CB">
              <w:rPr>
                <w:rFonts w:ascii="Aptos" w:eastAsia="Aptos" w:hAnsi="Aptos" w:cs="Aptos"/>
                <w:color w:val="000000" w:themeColor="text1"/>
                <w:szCs w:val="22"/>
              </w:rPr>
              <w:t xml:space="preserve"> and implement reforms in their departments and associated entities. </w:t>
            </w:r>
          </w:p>
        </w:tc>
        <w:tc>
          <w:tcPr>
            <w:tcW w:w="1843" w:type="dxa"/>
            <w:tcBorders>
              <w:top w:val="nil"/>
              <w:left w:val="single" w:sz="4" w:space="0" w:color="F2F2F2" w:themeColor="background1" w:themeShade="F2"/>
              <w:bottom w:val="nil"/>
              <w:right w:val="single" w:sz="4" w:space="0" w:color="FFFFFF" w:themeColor="background1"/>
            </w:tcBorders>
          </w:tcPr>
          <w:p w14:paraId="2AEA1D55" w14:textId="69B8CBB8" w:rsidR="0049084A" w:rsidRPr="00AB314D" w:rsidRDefault="00377005" w:rsidP="006B359A">
            <w:pPr>
              <w:jc w:val="right"/>
              <w:rPr>
                <w:b/>
                <w:bCs/>
                <w:szCs w:val="22"/>
              </w:rPr>
            </w:pPr>
            <w:r w:rsidRPr="00C3798C">
              <w:rPr>
                <w:b/>
                <w:szCs w:val="22"/>
              </w:rPr>
              <w:t>DPC</w:t>
            </w:r>
            <w:r w:rsidR="00F56D19">
              <w:rPr>
                <w:b/>
                <w:bCs/>
                <w:szCs w:val="22"/>
              </w:rPr>
              <w:t xml:space="preserve"> / </w:t>
            </w:r>
            <w:r w:rsidRPr="00C3798C">
              <w:rPr>
                <w:b/>
                <w:szCs w:val="22"/>
              </w:rPr>
              <w:t>DTF</w:t>
            </w:r>
          </w:p>
        </w:tc>
      </w:tr>
      <w:tr w:rsidR="0049084A" w:rsidRPr="008215CB" w14:paraId="327B6B4B" w14:textId="77777777" w:rsidTr="00F56D19">
        <w:tc>
          <w:tcPr>
            <w:tcW w:w="704" w:type="dxa"/>
            <w:tcBorders>
              <w:top w:val="nil"/>
              <w:left w:val="single" w:sz="4" w:space="0" w:color="FFFFFF" w:themeColor="background1"/>
              <w:right w:val="nil"/>
            </w:tcBorders>
          </w:tcPr>
          <w:p w14:paraId="67F8154B" w14:textId="77777777" w:rsidR="0049084A" w:rsidRPr="00AB314D" w:rsidRDefault="0049084A" w:rsidP="0052796B">
            <w:pPr>
              <w:spacing w:afterLines="60" w:after="144"/>
              <w:rPr>
                <w:b/>
                <w:bCs/>
                <w:szCs w:val="22"/>
              </w:rPr>
            </w:pPr>
            <w:r w:rsidRPr="00AB314D">
              <w:rPr>
                <w:b/>
                <w:bCs/>
                <w:szCs w:val="22"/>
              </w:rPr>
              <w:t>9.3</w:t>
            </w:r>
          </w:p>
        </w:tc>
        <w:tc>
          <w:tcPr>
            <w:tcW w:w="6804" w:type="dxa"/>
            <w:tcBorders>
              <w:top w:val="nil"/>
              <w:left w:val="nil"/>
              <w:right w:val="single" w:sz="4" w:space="0" w:color="F2F2F2" w:themeColor="background1" w:themeShade="F2"/>
            </w:tcBorders>
          </w:tcPr>
          <w:p w14:paraId="3355DF0D" w14:textId="3D150464" w:rsidR="0049084A" w:rsidRPr="008215CB" w:rsidRDefault="00D647FE" w:rsidP="0052796B">
            <w:pPr>
              <w:spacing w:afterLines="60" w:after="144" w:line="278" w:lineRule="auto"/>
              <w:ind w:left="23"/>
              <w:rPr>
                <w:rFonts w:ascii="Aptos" w:eastAsia="Aptos" w:hAnsi="Aptos" w:cs="Aptos"/>
                <w:color w:val="000000" w:themeColor="text1"/>
                <w:szCs w:val="22"/>
              </w:rPr>
            </w:pPr>
            <w:proofErr w:type="spellStart"/>
            <w:r w:rsidRPr="00CA5F8C">
              <w:rPr>
                <w:rFonts w:eastAsia="Aptos" w:cs="Aptos"/>
                <w:color w:val="000000" w:themeColor="text1"/>
                <w:szCs w:val="22"/>
              </w:rPr>
              <w:t>Recognise</w:t>
            </w:r>
            <w:proofErr w:type="spellEnd"/>
            <w:r w:rsidR="0049084A" w:rsidRPr="198F9016">
              <w:rPr>
                <w:rFonts w:eastAsia="Aptos" w:cs="Aptos"/>
                <w:color w:val="000000" w:themeColor="text1"/>
                <w:szCs w:val="22"/>
              </w:rPr>
              <w:t xml:space="preserve"> </w:t>
            </w:r>
            <w:r w:rsidR="0032705C">
              <w:rPr>
                <w:szCs w:val="22"/>
              </w:rPr>
              <w:t>VSB</w:t>
            </w:r>
            <w:r w:rsidR="0049084A" w:rsidRPr="198F9016">
              <w:rPr>
                <w:szCs w:val="22"/>
              </w:rPr>
              <w:t xml:space="preserve"> as </w:t>
            </w:r>
            <w:r w:rsidR="008E3835">
              <w:rPr>
                <w:szCs w:val="22"/>
              </w:rPr>
              <w:t>a</w:t>
            </w:r>
            <w:r w:rsidR="0049084A" w:rsidRPr="198F9016">
              <w:rPr>
                <w:szCs w:val="22"/>
              </w:rPr>
              <w:t xml:space="preserve"> key governance forum </w:t>
            </w:r>
            <w:r w:rsidR="0049084A" w:rsidRPr="00CA5F8C">
              <w:rPr>
                <w:szCs w:val="22"/>
              </w:rPr>
              <w:t xml:space="preserve">to </w:t>
            </w:r>
            <w:r w:rsidRPr="00CA5F8C">
              <w:rPr>
                <w:szCs w:val="22"/>
              </w:rPr>
              <w:t>help</w:t>
            </w:r>
            <w:r w:rsidR="0049084A">
              <w:rPr>
                <w:szCs w:val="22"/>
              </w:rPr>
              <w:t xml:space="preserve"> </w:t>
            </w:r>
            <w:r w:rsidR="0049084A" w:rsidRPr="198F9016">
              <w:rPr>
                <w:szCs w:val="22"/>
              </w:rPr>
              <w:t>steward system-wide reform alignment and accountability, review reform performance and risks, and champion consistent reform expectations across portfolios</w:t>
            </w:r>
            <w:r w:rsidR="0049084A" w:rsidRPr="00D647FE">
              <w:rPr>
                <w:szCs w:val="22"/>
              </w:rPr>
              <w:t>.</w:t>
            </w:r>
          </w:p>
        </w:tc>
        <w:tc>
          <w:tcPr>
            <w:tcW w:w="1843" w:type="dxa"/>
            <w:tcBorders>
              <w:top w:val="nil"/>
              <w:left w:val="single" w:sz="4" w:space="0" w:color="F2F2F2" w:themeColor="background1" w:themeShade="F2"/>
              <w:right w:val="single" w:sz="4" w:space="0" w:color="FFFFFF" w:themeColor="background1"/>
            </w:tcBorders>
          </w:tcPr>
          <w:p w14:paraId="005AB26B" w14:textId="6163E140" w:rsidR="0049084A" w:rsidRPr="00AB314D" w:rsidRDefault="00D05FE1" w:rsidP="0052796B">
            <w:pPr>
              <w:spacing w:afterLines="60" w:after="144"/>
              <w:jc w:val="right"/>
              <w:rPr>
                <w:b/>
                <w:bCs/>
                <w:szCs w:val="22"/>
              </w:rPr>
            </w:pPr>
            <w:r w:rsidRPr="00C3798C">
              <w:rPr>
                <w:b/>
                <w:szCs w:val="22"/>
              </w:rPr>
              <w:t>DPC</w:t>
            </w:r>
            <w:r w:rsidR="00F56D19">
              <w:rPr>
                <w:b/>
                <w:bCs/>
                <w:szCs w:val="22"/>
              </w:rPr>
              <w:t xml:space="preserve"> / </w:t>
            </w:r>
            <w:r w:rsidRPr="00C3798C">
              <w:rPr>
                <w:b/>
                <w:szCs w:val="22"/>
              </w:rPr>
              <w:t>DTF</w:t>
            </w:r>
          </w:p>
        </w:tc>
      </w:tr>
    </w:tbl>
    <w:p w14:paraId="44F547F2" w14:textId="77777777" w:rsidR="00CE5E89" w:rsidRDefault="00CE5E89" w:rsidP="00CE5E89">
      <w:bookmarkStart w:id="10" w:name="_Toc202523961"/>
    </w:p>
    <w:p w14:paraId="627734F0" w14:textId="77777777" w:rsidR="00CE5E89" w:rsidRDefault="00CE5E89" w:rsidP="00CE5E89">
      <w:r>
        <w:br w:type="page"/>
      </w:r>
    </w:p>
    <w:p w14:paraId="778E11B6" w14:textId="77777777" w:rsidR="00055289" w:rsidRDefault="00055289" w:rsidP="00BF0538">
      <w:r>
        <w:lastRenderedPageBreak/>
        <w:br w:type="page"/>
      </w:r>
    </w:p>
    <w:p w14:paraId="513AA5AE" w14:textId="210C7FC3" w:rsidR="00434E81" w:rsidRDefault="0068471A" w:rsidP="00434E81">
      <w:pPr>
        <w:pStyle w:val="Heading1"/>
        <w:rPr>
          <w:rFonts w:ascii="Aptos" w:eastAsia="Aptos" w:hAnsi="Aptos" w:cs="Aptos"/>
          <w:bCs/>
          <w:color w:val="000000" w:themeColor="text1"/>
        </w:rPr>
      </w:pPr>
      <w:bookmarkStart w:id="11" w:name="_Toc214911981"/>
      <w:r>
        <w:lastRenderedPageBreak/>
        <w:t xml:space="preserve">Chapter 2: </w:t>
      </w:r>
      <w:r w:rsidR="000568EF">
        <w:t xml:space="preserve"> </w:t>
      </w:r>
      <w:r w:rsidR="00434E81">
        <w:t xml:space="preserve">The </w:t>
      </w:r>
      <w:r w:rsidR="000558BB">
        <w:t>o</w:t>
      </w:r>
      <w:r w:rsidR="00434E81">
        <w:t>pportunity of this Review</w:t>
      </w:r>
      <w:bookmarkEnd w:id="10"/>
      <w:bookmarkEnd w:id="11"/>
    </w:p>
    <w:p w14:paraId="51F2E937" w14:textId="77777777" w:rsidR="00434E81" w:rsidRDefault="00434E81" w:rsidP="00651561">
      <w:pPr>
        <w:spacing w:before="160" w:after="80"/>
        <w:rPr>
          <w:rFonts w:asciiTheme="majorHAnsi" w:hAnsiTheme="majorHAnsi"/>
          <w:b/>
          <w:color w:val="0F4761" w:themeColor="accent1" w:themeShade="BF"/>
          <w:sz w:val="32"/>
          <w:szCs w:val="32"/>
        </w:rPr>
      </w:pPr>
      <w:r w:rsidRPr="00651561">
        <w:rPr>
          <w:rFonts w:asciiTheme="majorHAnsi" w:hAnsiTheme="majorHAnsi"/>
          <w:b/>
          <w:color w:val="0F4761" w:themeColor="accent1" w:themeShade="BF"/>
          <w:sz w:val="32"/>
          <w:szCs w:val="32"/>
        </w:rPr>
        <w:t>Key points </w:t>
      </w:r>
    </w:p>
    <w:p w14:paraId="58E51AE4" w14:textId="248F4AFF" w:rsidR="00DE5625" w:rsidRPr="001E52E6" w:rsidRDefault="00DE5625" w:rsidP="001E52E6">
      <w:pPr>
        <w:pStyle w:val="ShadedBoxBullet"/>
      </w:pPr>
      <w:r w:rsidRPr="00011A04">
        <w:t xml:space="preserve">The </w:t>
      </w:r>
      <w:r w:rsidRPr="001E52E6">
        <w:t>Victorian Government commissioned this Review to help support its commitment</w:t>
      </w:r>
      <w:r w:rsidR="00D84EC8">
        <w:t> </w:t>
      </w:r>
      <w:r w:rsidRPr="001E52E6">
        <w:t xml:space="preserve">to responsible financial management and delivering high quality services to Victorians. </w:t>
      </w:r>
    </w:p>
    <w:p w14:paraId="68457594" w14:textId="40FB6045" w:rsidR="00DE5625" w:rsidRPr="001E52E6" w:rsidRDefault="00DE5625" w:rsidP="001E52E6">
      <w:pPr>
        <w:pStyle w:val="ShadedBoxBullet"/>
      </w:pPr>
      <w:r w:rsidRPr="001E52E6">
        <w:t>As shown in the 2025/26 Victorian Budget, the government is making progress on</w:t>
      </w:r>
      <w:r w:rsidR="00181A15">
        <w:t> </w:t>
      </w:r>
      <w:r w:rsidRPr="001E52E6">
        <w:t xml:space="preserve">delivering its fiscal strategy. However, the budget remains under significant pressure. </w:t>
      </w:r>
    </w:p>
    <w:p w14:paraId="4BBCA1B5" w14:textId="42DEDEA2" w:rsidR="00DE5625" w:rsidRPr="001E52E6" w:rsidRDefault="00DE5625" w:rsidP="001E52E6">
      <w:pPr>
        <w:pStyle w:val="ShadedBoxBullet"/>
      </w:pPr>
      <w:r w:rsidRPr="001E52E6">
        <w:t>Debt is creating inflexibility in the state’s budget and will constrain the government’s ability to deliver on its policy goals unless strong fiscal discipline is maintained. Economic growth and revenue opportunities are important but will not be sufficient to</w:t>
      </w:r>
      <w:r w:rsidR="00D84EC8">
        <w:t> </w:t>
      </w:r>
      <w:r w:rsidRPr="001E52E6">
        <w:t xml:space="preserve">address the challenges. </w:t>
      </w:r>
    </w:p>
    <w:p w14:paraId="1E9468A9" w14:textId="38B8E637" w:rsidR="00DE5625" w:rsidRPr="001E52E6" w:rsidRDefault="00DE5625" w:rsidP="001E52E6">
      <w:pPr>
        <w:pStyle w:val="ShadedBoxBullet"/>
      </w:pPr>
      <w:r w:rsidRPr="001E52E6">
        <w:t>There has not been a systemic review of the Victorian budget practices, programs, staffing and entities for many years. Ways of working that were necessary during the pandemic are still having an impact. A reset is needed for contemporary and effective</w:t>
      </w:r>
      <w:r w:rsidR="00C44883">
        <w:t> </w:t>
      </w:r>
      <w:r w:rsidRPr="001E52E6">
        <w:t>operations.</w:t>
      </w:r>
    </w:p>
    <w:p w14:paraId="217F1DB7" w14:textId="43E14519" w:rsidR="00DE5625" w:rsidRPr="00665AF6" w:rsidRDefault="00DE5625" w:rsidP="00665AF6">
      <w:pPr>
        <w:pStyle w:val="ShadedBoxBullet"/>
        <w:spacing w:before="120"/>
      </w:pPr>
      <w:r w:rsidRPr="001E52E6">
        <w:t>Spending reductions and strategic, structural reform are the optimal way to enable a</w:t>
      </w:r>
      <w:r w:rsidR="0021482F">
        <w:t> </w:t>
      </w:r>
      <w:r w:rsidRPr="001E52E6">
        <w:t>focus on the provision of excellent</w:t>
      </w:r>
      <w:r w:rsidRPr="009B4B17">
        <w:t xml:space="preserve"> core</w:t>
      </w:r>
      <w:r w:rsidRPr="00CF25BA">
        <w:t xml:space="preserve"> services and a stronger, more confident economic environment.  </w:t>
      </w:r>
    </w:p>
    <w:p w14:paraId="276F6450" w14:textId="77777777" w:rsidR="00AC498D" w:rsidRDefault="005038AF" w:rsidP="007A4B85">
      <w:pPr>
        <w:pStyle w:val="Heading2"/>
        <w:spacing w:before="360"/>
      </w:pPr>
      <w:bookmarkStart w:id="12" w:name="_Toc202523962"/>
      <w:bookmarkStart w:id="13" w:name="_Toc214911982"/>
      <w:r>
        <w:t xml:space="preserve">2.1   </w:t>
      </w:r>
      <w:r w:rsidR="00434E81">
        <w:t>Introduction</w:t>
      </w:r>
      <w:bookmarkEnd w:id="12"/>
      <w:bookmarkEnd w:id="13"/>
    </w:p>
    <w:p w14:paraId="6FC42B24" w14:textId="77777777" w:rsidR="00000376" w:rsidRDefault="00000376" w:rsidP="00434E81">
      <w:pPr>
        <w:sectPr w:rsidR="00000376" w:rsidSect="00AE6104">
          <w:type w:val="continuous"/>
          <w:pgSz w:w="11906" w:h="16838"/>
          <w:pgMar w:top="1440" w:right="1440" w:bottom="1440" w:left="1440" w:header="708" w:footer="708" w:gutter="0"/>
          <w:cols w:space="708"/>
          <w:docGrid w:linePitch="360"/>
          <w15:footnoteColumns w:val="1"/>
        </w:sectPr>
      </w:pPr>
    </w:p>
    <w:p w14:paraId="6786A84A" w14:textId="6D5D1805" w:rsidR="00434E81" w:rsidRPr="00A84BA6" w:rsidRDefault="00434E81" w:rsidP="00434E81">
      <w:r>
        <w:t xml:space="preserve">The Independent Review of the Victorian Public Service was commissioned by the Treasurer, Jaclyn Symes MP, and commenced formally on 20 February 2025.  </w:t>
      </w:r>
    </w:p>
    <w:p w14:paraId="33F2FC2B" w14:textId="4832507A" w:rsidR="00434E81" w:rsidRPr="00A84BA6" w:rsidRDefault="00434E81" w:rsidP="00434E81">
      <w:r w:rsidRPr="00A84BA6">
        <w:t xml:space="preserve">The Review </w:t>
      </w:r>
      <w:r>
        <w:t>was</w:t>
      </w:r>
      <w:r w:rsidRPr="00A84BA6">
        <w:t xml:space="preserve"> led by Helen Silver AO, supported by a small team of analysts, over a </w:t>
      </w:r>
      <w:r w:rsidR="006E05C2">
        <w:t>4</w:t>
      </w:r>
      <w:r w:rsidRPr="00A84BA6">
        <w:t>-month</w:t>
      </w:r>
      <w:r>
        <w:t xml:space="preserve"> </w:t>
      </w:r>
      <w:r w:rsidRPr="00A84BA6">
        <w:t>period.</w:t>
      </w:r>
    </w:p>
    <w:p w14:paraId="0BC0DCEF" w14:textId="63204B10" w:rsidR="00434E81" w:rsidRPr="00C05CF0" w:rsidRDefault="00434E81" w:rsidP="00434E81">
      <w:r w:rsidRPr="00A84BA6">
        <w:t xml:space="preserve">The formal task of the Review is set out in the Terms of </w:t>
      </w:r>
      <w:r>
        <w:t>Reference (</w:t>
      </w:r>
      <w:r w:rsidRPr="004528F3">
        <w:t>Appendix A</w:t>
      </w:r>
      <w:r>
        <w:t xml:space="preserve">). In summary, the Review was asked to provide </w:t>
      </w:r>
      <w:r w:rsidRPr="00C05CF0">
        <w:t xml:space="preserve">recommendations on how to right-size program expenditure, consolidate public entities, and return the VPS towards its pre-pandemic share of employment. The focus of the Review is on the operating expenditure of the Victorian budget. </w:t>
      </w:r>
    </w:p>
    <w:p w14:paraId="00E8721A" w14:textId="45DE02E8" w:rsidR="00434E81" w:rsidRDefault="00434E81" w:rsidP="00434E81">
      <w:r w:rsidRPr="00C05CF0">
        <w:t>In interpreting and addressing its Terms of Reference, the Review has started from principles</w:t>
      </w:r>
      <w:r>
        <w:t xml:space="preserve"> of strong public financial management and good public policy. The Review has considered the government’s current budget position and its challenges over the coming years, and its current fiscal strategy and budget management processes. The Review has also considered the broader landscape of public entities, along with the current size and structure of the VPS and the increasingly outdated systems, processes and tools it is asked to use to undertake its work.</w:t>
      </w:r>
    </w:p>
    <w:p w14:paraId="706E088A" w14:textId="137FB400" w:rsidR="00434E81" w:rsidRDefault="00434E81" w:rsidP="00434E81">
      <w:r>
        <w:t xml:space="preserve">It is not possible to make recommendations to reduce inefficiencies and overlap, </w:t>
      </w:r>
      <w:r w:rsidR="007A4B85">
        <w:br w:type="column"/>
      </w:r>
      <w:r w:rsidR="00C14B45">
        <w:lastRenderedPageBreak/>
        <w:t>r</w:t>
      </w:r>
      <w:r>
        <w:t xml:space="preserve">emove programs, and </w:t>
      </w:r>
      <w:r w:rsidRPr="00141AB5">
        <w:t>reduce the size of the VPS without looking at the big picture. Operating expenditure does not occur in a</w:t>
      </w:r>
      <w:r w:rsidR="00B62286">
        <w:t> </w:t>
      </w:r>
      <w:proofErr w:type="gramStart"/>
      <w:r w:rsidRPr="00141AB5">
        <w:t>vacuum</w:t>
      </w:r>
      <w:proofErr w:type="gramEnd"/>
      <w:r>
        <w:t xml:space="preserve"> and t</w:t>
      </w:r>
      <w:r w:rsidRPr="00141AB5">
        <w:t xml:space="preserve">he VPS does not work in isolation to the government’s commitments.  </w:t>
      </w:r>
    </w:p>
    <w:p w14:paraId="484A7FB5" w14:textId="45B71389" w:rsidR="00434E81" w:rsidRPr="00141AB5" w:rsidRDefault="00434E81" w:rsidP="00434E81">
      <w:r w:rsidRPr="00141AB5">
        <w:t xml:space="preserve">It is also important to recognise the sheer scale of the VPS and the public sector in Victoria: the public sector </w:t>
      </w:r>
      <w:r>
        <w:t>represents</w:t>
      </w:r>
      <w:r w:rsidRPr="00141AB5">
        <w:t xml:space="preserve"> </w:t>
      </w:r>
      <w:r>
        <w:t>around</w:t>
      </w:r>
      <w:r w:rsidRPr="00141AB5">
        <w:t xml:space="preserve"> 10 per cent of Victoria’s workforce</w:t>
      </w:r>
      <w:r w:rsidR="00370BED">
        <w:t>,</w:t>
      </w:r>
      <w:r w:rsidRPr="00141AB5">
        <w:t xml:space="preserve"> comprising more than 380</w:t>
      </w:r>
      <w:r>
        <w:t>,</w:t>
      </w:r>
      <w:r w:rsidRPr="00141AB5">
        <w:t>000 employees, and the VPS employs more than 57</w:t>
      </w:r>
      <w:r>
        <w:t>,</w:t>
      </w:r>
      <w:r w:rsidRPr="00141AB5">
        <w:t xml:space="preserve">000 of these. This is an enormous enterprise and therefore change needs to be thoughtful and strategic, avoiding perverse outcomes and supporting continued quality service delivery for Victorians.  </w:t>
      </w:r>
    </w:p>
    <w:p w14:paraId="6D122595" w14:textId="77777777" w:rsidR="00434E81" w:rsidRPr="00D0515B" w:rsidRDefault="00434E81" w:rsidP="00434E81">
      <w:r w:rsidRPr="00141AB5">
        <w:t xml:space="preserve">This starting point and considerations are important because they put into context the extent of spending reductions and </w:t>
      </w:r>
      <w:r w:rsidRPr="00D0515B">
        <w:t xml:space="preserve">structural reforms needed over the forward estimates and beyond. </w:t>
      </w:r>
    </w:p>
    <w:p w14:paraId="6C38B55E" w14:textId="33064831" w:rsidR="00434E81" w:rsidRPr="00D0515B" w:rsidRDefault="00434E81" w:rsidP="00434E81">
      <w:r w:rsidRPr="00D0515B">
        <w:t>There has not been a holistic, substantial review of Victorian budget practices, programs, staffing and entities for many years. Practices and institutions are now becoming outdated, and some ways of working that were necessary at the height of</w:t>
      </w:r>
      <w:r w:rsidR="000C3DAB">
        <w:t> </w:t>
      </w:r>
      <w:r w:rsidRPr="00D0515B">
        <w:t xml:space="preserve">the COVID-19 pandemic are still having an impact. </w:t>
      </w:r>
    </w:p>
    <w:p w14:paraId="5692DB3F" w14:textId="77777777" w:rsidR="00434E81" w:rsidRPr="00D0515B" w:rsidRDefault="00434E81" w:rsidP="00434E81">
      <w:r w:rsidRPr="00D0515B">
        <w:t xml:space="preserve">This Review is a timely and real opportunity to consider the whole picture of </w:t>
      </w:r>
      <w:r w:rsidRPr="00D0515B">
        <w:t xml:space="preserve">government’s operating expenditure and more contemporary approaches to budget management and public service, to avoid current budget challenges becoming a budget crisis.  </w:t>
      </w:r>
    </w:p>
    <w:p w14:paraId="16BEEF93" w14:textId="46B56796" w:rsidR="00DF10AC" w:rsidRDefault="00434E81" w:rsidP="00434E81">
      <w:r w:rsidRPr="00D0515B">
        <w:t>Recommendations made by this Review are</w:t>
      </w:r>
      <w:r w:rsidRPr="00141AB5">
        <w:t xml:space="preserve"> not cuts for cuts’ sake. The Review is acutely aware of the dedicated VPS </w:t>
      </w:r>
      <w:r w:rsidR="00F029AA">
        <w:t>staff</w:t>
      </w:r>
      <w:r w:rsidRPr="00141AB5">
        <w:t xml:space="preserve"> who work hard to deliver on the government’s commitments and priorities. The Review believes there are major opportunities to narrow the priorities to the delivery of excellent core services, and to create space for innovation. </w:t>
      </w:r>
    </w:p>
    <w:p w14:paraId="43A8B294" w14:textId="62222E09" w:rsidR="00FF6EA4" w:rsidRPr="00141AB5" w:rsidRDefault="00434E81" w:rsidP="00434E81">
      <w:r w:rsidRPr="00141AB5">
        <w:t xml:space="preserve">Recommendations will mean change for all VPS departments, non-departmental entities and </w:t>
      </w:r>
      <w:proofErr w:type="gramStart"/>
      <w:r w:rsidRPr="00141AB5">
        <w:t>a number of</w:t>
      </w:r>
      <w:proofErr w:type="gramEnd"/>
      <w:r w:rsidRPr="00141AB5">
        <w:t xml:space="preserve"> public sector entities.</w:t>
      </w:r>
      <w:r w:rsidR="00FF6EA4">
        <w:t xml:space="preserve"> </w:t>
      </w:r>
      <w:r w:rsidR="00F578BD" w:rsidRPr="006C5C35">
        <w:t>A summary</w:t>
      </w:r>
      <w:r w:rsidR="00FF6EA4" w:rsidRPr="006C5C35">
        <w:t xml:space="preserve"> of all </w:t>
      </w:r>
      <w:r w:rsidR="00F578BD" w:rsidRPr="006C5C35">
        <w:t>department</w:t>
      </w:r>
      <w:r w:rsidR="009865BE" w:rsidRPr="006C5C35">
        <w:t xml:space="preserve">s’ </w:t>
      </w:r>
      <w:r w:rsidR="00A64661" w:rsidRPr="006C5C35">
        <w:rPr>
          <w:rFonts w:ascii="Aptos" w:eastAsia="Aptos" w:hAnsi="Aptos" w:cs="Aptos"/>
          <w:color w:val="000000" w:themeColor="text1"/>
        </w:rPr>
        <w:t>expenditure</w:t>
      </w:r>
      <w:r w:rsidR="009865BE" w:rsidRPr="006C5C35">
        <w:rPr>
          <w:rFonts w:ascii="Aptos" w:eastAsia="Aptos" w:hAnsi="Aptos" w:cs="Aptos"/>
          <w:color w:val="000000" w:themeColor="text1"/>
        </w:rPr>
        <w:t>,</w:t>
      </w:r>
      <w:r w:rsidR="00A64661" w:rsidRPr="006C5C35">
        <w:rPr>
          <w:rFonts w:ascii="Aptos" w:eastAsia="Aptos" w:hAnsi="Aptos" w:cs="Aptos"/>
          <w:color w:val="000000" w:themeColor="text1"/>
        </w:rPr>
        <w:t xml:space="preserve"> </w:t>
      </w:r>
      <w:r w:rsidR="002D6D0D" w:rsidRPr="006C5C35">
        <w:rPr>
          <w:rFonts w:ascii="Aptos" w:eastAsia="Aptos" w:hAnsi="Aptos" w:cs="Aptos"/>
          <w:color w:val="000000" w:themeColor="text1"/>
        </w:rPr>
        <w:t>workforce</w:t>
      </w:r>
      <w:r w:rsidR="00A64661" w:rsidRPr="006C5C35">
        <w:rPr>
          <w:rFonts w:ascii="Aptos" w:eastAsia="Aptos" w:hAnsi="Aptos" w:cs="Aptos"/>
          <w:color w:val="000000" w:themeColor="text1"/>
        </w:rPr>
        <w:t xml:space="preserve"> size and composition</w:t>
      </w:r>
      <w:r w:rsidR="00DF10AC" w:rsidRPr="006C5C35">
        <w:rPr>
          <w:rFonts w:ascii="Aptos" w:eastAsia="Aptos" w:hAnsi="Aptos" w:cs="Aptos"/>
          <w:color w:val="000000" w:themeColor="text1"/>
        </w:rPr>
        <w:t xml:space="preserve"> and</w:t>
      </w:r>
      <w:r w:rsidR="00A64661" w:rsidRPr="006C5C35">
        <w:rPr>
          <w:rFonts w:ascii="Aptos" w:eastAsia="Aptos" w:hAnsi="Aptos" w:cs="Aptos"/>
          <w:color w:val="000000" w:themeColor="text1"/>
        </w:rPr>
        <w:t xml:space="preserve"> demand pressures</w:t>
      </w:r>
      <w:r w:rsidR="00E3202F" w:rsidRPr="006C5C35">
        <w:rPr>
          <w:rFonts w:ascii="Aptos" w:eastAsia="Aptos" w:hAnsi="Aptos" w:cs="Aptos"/>
          <w:color w:val="000000" w:themeColor="text1"/>
        </w:rPr>
        <w:t xml:space="preserve">, along with the Review’s </w:t>
      </w:r>
      <w:r w:rsidR="00DF10AC" w:rsidRPr="006C5C35">
        <w:rPr>
          <w:rFonts w:ascii="Aptos" w:eastAsia="Aptos" w:hAnsi="Aptos" w:cs="Aptos"/>
          <w:color w:val="000000" w:themeColor="text1"/>
        </w:rPr>
        <w:t>total</w:t>
      </w:r>
      <w:r w:rsidR="00E3202F" w:rsidRPr="006C5C35">
        <w:rPr>
          <w:rFonts w:ascii="Aptos" w:eastAsia="Aptos" w:hAnsi="Aptos" w:cs="Aptos"/>
          <w:color w:val="000000" w:themeColor="text1"/>
        </w:rPr>
        <w:t xml:space="preserve"> recommended savings and FTE reductions</w:t>
      </w:r>
      <w:r w:rsidR="005B06A5">
        <w:rPr>
          <w:rFonts w:ascii="Aptos" w:eastAsia="Aptos" w:hAnsi="Aptos" w:cs="Aptos"/>
          <w:color w:val="000000" w:themeColor="text1"/>
        </w:rPr>
        <w:t>,</w:t>
      </w:r>
      <w:r w:rsidR="00E3202F" w:rsidRPr="006C5C35">
        <w:rPr>
          <w:rFonts w:ascii="Aptos" w:eastAsia="Aptos" w:hAnsi="Aptos" w:cs="Aptos"/>
          <w:color w:val="000000" w:themeColor="text1"/>
        </w:rPr>
        <w:t xml:space="preserve"> </w:t>
      </w:r>
      <w:r w:rsidR="009865BE" w:rsidRPr="006C5C35">
        <w:rPr>
          <w:rFonts w:ascii="Aptos" w:eastAsia="Aptos" w:hAnsi="Aptos" w:cs="Aptos"/>
          <w:color w:val="000000" w:themeColor="text1"/>
        </w:rPr>
        <w:t>is at</w:t>
      </w:r>
      <w:r w:rsidR="00E3202F" w:rsidRPr="006C5C35">
        <w:rPr>
          <w:rFonts w:ascii="Aptos" w:eastAsia="Aptos" w:hAnsi="Aptos" w:cs="Aptos"/>
          <w:color w:val="000000" w:themeColor="text1"/>
        </w:rPr>
        <w:t xml:space="preserve"> Appendix</w:t>
      </w:r>
      <w:r w:rsidR="001519D6">
        <w:rPr>
          <w:rFonts w:ascii="Aptos" w:eastAsia="Aptos" w:hAnsi="Aptos" w:cs="Aptos"/>
          <w:color w:val="000000" w:themeColor="text1"/>
        </w:rPr>
        <w:t> </w:t>
      </w:r>
      <w:r w:rsidR="00E3202F" w:rsidRPr="006C5C35">
        <w:rPr>
          <w:rFonts w:ascii="Aptos" w:eastAsia="Aptos" w:hAnsi="Aptos" w:cs="Aptos"/>
          <w:color w:val="000000" w:themeColor="text1"/>
        </w:rPr>
        <w:t>B.</w:t>
      </w:r>
      <w:r w:rsidR="002D6D0D">
        <w:rPr>
          <w:rFonts w:ascii="Aptos" w:eastAsia="Aptos" w:hAnsi="Aptos" w:cs="Aptos"/>
          <w:color w:val="000000" w:themeColor="text1"/>
        </w:rPr>
        <w:t xml:space="preserve"> </w:t>
      </w:r>
      <w:r w:rsidR="00FF6EA4">
        <w:rPr>
          <w:rFonts w:ascii="Aptos" w:eastAsia="Aptos" w:hAnsi="Aptos" w:cs="Aptos"/>
          <w:color w:val="000000" w:themeColor="text1"/>
        </w:rPr>
        <w:t xml:space="preserve"> </w:t>
      </w:r>
    </w:p>
    <w:p w14:paraId="0C9376BA" w14:textId="77777777" w:rsidR="00434E81" w:rsidRDefault="00434E81" w:rsidP="00434E81">
      <w:pPr>
        <w:rPr>
          <w:rFonts w:ascii="Aptos" w:eastAsia="Aptos" w:hAnsi="Aptos" w:cs="Aptos"/>
          <w:color w:val="000000" w:themeColor="text1"/>
        </w:rPr>
      </w:pPr>
      <w:r w:rsidRPr="00141AB5">
        <w:t xml:space="preserve">Taken together, the </w:t>
      </w:r>
      <w:r w:rsidRPr="00C05CF0">
        <w:t xml:space="preserve">recommendations seek to assist the government to </w:t>
      </w:r>
      <w:r w:rsidRPr="00C05CF0">
        <w:rPr>
          <w:rFonts w:ascii="Aptos" w:eastAsia="Aptos" w:hAnsi="Aptos" w:cs="Aptos"/>
          <w:color w:val="000000" w:themeColor="text1"/>
        </w:rPr>
        <w:t>create a more sustainable budget outlook and a streamlined and more effective public sector, through considered reforms. They will need to be implemented well to achieve their intent, and continued discipline and focus will be needed</w:t>
      </w:r>
      <w:r w:rsidRPr="00141AB5">
        <w:rPr>
          <w:rFonts w:ascii="Aptos" w:eastAsia="Aptos" w:hAnsi="Aptos" w:cs="Aptos"/>
          <w:color w:val="000000" w:themeColor="text1"/>
        </w:rPr>
        <w:t xml:space="preserve"> well beyond the forward estimates.</w:t>
      </w:r>
      <w:r>
        <w:rPr>
          <w:rFonts w:ascii="Aptos" w:eastAsia="Aptos" w:hAnsi="Aptos" w:cs="Aptos"/>
          <w:color w:val="000000" w:themeColor="text1"/>
        </w:rPr>
        <w:t xml:space="preserve"> </w:t>
      </w:r>
    </w:p>
    <w:p w14:paraId="53B7F059" w14:textId="77777777" w:rsidR="00000376" w:rsidRDefault="00000376">
      <w:pPr>
        <w:pStyle w:val="Heading2"/>
        <w:sectPr w:rsidR="00000376" w:rsidSect="00000376">
          <w:type w:val="continuous"/>
          <w:pgSz w:w="11906" w:h="16838"/>
          <w:pgMar w:top="1440" w:right="1440" w:bottom="1440" w:left="1440" w:header="708" w:footer="708" w:gutter="0"/>
          <w:cols w:num="2" w:space="708"/>
          <w:docGrid w:linePitch="360"/>
          <w15:footnoteColumns w:val="1"/>
        </w:sectPr>
      </w:pPr>
      <w:bookmarkStart w:id="14" w:name="_Toc202523963"/>
    </w:p>
    <w:p w14:paraId="3562E33F" w14:textId="77777777" w:rsidR="000C3DAB" w:rsidRDefault="000C3DAB">
      <w:pPr>
        <w:pStyle w:val="Heading2"/>
      </w:pPr>
      <w:r>
        <w:br w:type="page"/>
      </w:r>
    </w:p>
    <w:p w14:paraId="457AD8B0" w14:textId="77777777" w:rsidR="00104664" w:rsidRDefault="005038AF" w:rsidP="00104664">
      <w:pPr>
        <w:pStyle w:val="Heading2"/>
      </w:pPr>
      <w:bookmarkStart w:id="15" w:name="_Toc214911983"/>
      <w:r>
        <w:lastRenderedPageBreak/>
        <w:t xml:space="preserve">2.2   </w:t>
      </w:r>
      <w:r w:rsidR="00434E81">
        <w:t>Context for the Review</w:t>
      </w:r>
      <w:bookmarkEnd w:id="14"/>
      <w:bookmarkEnd w:id="15"/>
    </w:p>
    <w:p w14:paraId="5E655BAC" w14:textId="77777777" w:rsidR="007A4B85" w:rsidRDefault="007A4B85" w:rsidP="00BA7389">
      <w:pPr>
        <w:pStyle w:val="Heading3"/>
        <w:spacing w:before="0"/>
        <w:sectPr w:rsidR="007A4B85" w:rsidSect="00AE6104">
          <w:type w:val="continuous"/>
          <w:pgSz w:w="11906" w:h="16838"/>
          <w:pgMar w:top="1440" w:right="1440" w:bottom="1440" w:left="1440" w:header="708" w:footer="708" w:gutter="0"/>
          <w:cols w:space="708"/>
          <w:docGrid w:linePitch="360"/>
          <w15:footnoteColumns w:val="1"/>
        </w:sectPr>
      </w:pPr>
    </w:p>
    <w:p w14:paraId="336A6D43" w14:textId="7601FE04" w:rsidR="00FE274B" w:rsidRDefault="00434E81" w:rsidP="00BA7389">
      <w:pPr>
        <w:pStyle w:val="Heading3"/>
        <w:spacing w:before="0"/>
      </w:pPr>
      <w:r w:rsidRPr="0046309B">
        <w:t>Operating expenditure</w:t>
      </w:r>
    </w:p>
    <w:p w14:paraId="4E05D9D4" w14:textId="24CE189B" w:rsidR="00434E81" w:rsidRDefault="00434E81" w:rsidP="00FE274B">
      <w:r w:rsidRPr="00476A29">
        <w:t xml:space="preserve">Victorian Government output expenditure has grown significantly over the past </w:t>
      </w:r>
      <w:r>
        <w:t>10</w:t>
      </w:r>
      <w:r w:rsidR="004D189D">
        <w:t> </w:t>
      </w:r>
      <w:r w:rsidRPr="00476A29">
        <w:t>years, outpacing growth in revenue. Total expenditure increased by 4</w:t>
      </w:r>
      <w:r>
        <w:t>4</w:t>
      </w:r>
      <w:r w:rsidRPr="00476A29">
        <w:t xml:space="preserve"> per cent in real terms between 2014</w:t>
      </w:r>
      <w:r>
        <w:t>–</w:t>
      </w:r>
      <w:r w:rsidRPr="00476A29">
        <w:t>15 and 2023</w:t>
      </w:r>
      <w:r>
        <w:t>–</w:t>
      </w:r>
      <w:r w:rsidRPr="00476A29">
        <w:t>24, outpacing real growth in revenue of 3</w:t>
      </w:r>
      <w:r>
        <w:t>5</w:t>
      </w:r>
      <w:r w:rsidR="00ED2B24">
        <w:t> </w:t>
      </w:r>
      <w:r w:rsidRPr="00476A29">
        <w:t>per</w:t>
      </w:r>
      <w:r w:rsidR="00413A31">
        <w:t> </w:t>
      </w:r>
      <w:r w:rsidRPr="00476A29">
        <w:t>cent over the same period.</w:t>
      </w:r>
      <w:r w:rsidRPr="00A24DDE">
        <w:rPr>
          <w:rStyle w:val="FootnoteReference"/>
        </w:rPr>
        <w:t xml:space="preserve"> </w:t>
      </w:r>
      <w:r>
        <w:rPr>
          <w:rStyle w:val="FootnoteReference"/>
        </w:rPr>
        <w:footnoteReference w:id="2"/>
      </w:r>
      <w:r w:rsidRPr="00476A29">
        <w:t xml:space="preserve"> Budget capacity is determined by government </w:t>
      </w:r>
      <w:r w:rsidRPr="00476A29">
        <w:t xml:space="preserve">revenue and spending </w:t>
      </w:r>
      <w:proofErr w:type="gramStart"/>
      <w:r w:rsidRPr="00476A29">
        <w:t>in excess of</w:t>
      </w:r>
      <w:proofErr w:type="gramEnd"/>
      <w:r w:rsidRPr="00476A29">
        <w:t xml:space="preserve"> this amount must be financed through debt.</w:t>
      </w:r>
    </w:p>
    <w:p w14:paraId="7712B1CF" w14:textId="71F8AF27" w:rsidR="007A2339" w:rsidRPr="00A70033" w:rsidRDefault="00434E81" w:rsidP="00A70033">
      <w:r w:rsidRPr="00C92FD1">
        <w:t>Operating</w:t>
      </w:r>
      <w:r>
        <w:t xml:space="preserve"> e</w:t>
      </w:r>
      <w:r w:rsidRPr="00476A29">
        <w:t>xpenditure has exceeded revenue and income from transactions on a per capita basis since 2019</w:t>
      </w:r>
      <w:r>
        <w:t>–</w:t>
      </w:r>
      <w:r w:rsidRPr="00476A29">
        <w:t>20</w:t>
      </w:r>
      <w:r>
        <w:t xml:space="preserve"> (Figure 2.1)</w:t>
      </w:r>
      <w:r w:rsidRPr="00476A29">
        <w:t xml:space="preserve">. A similar trend </w:t>
      </w:r>
      <w:r>
        <w:t>has been</w:t>
      </w:r>
      <w:r w:rsidRPr="00476A29">
        <w:t xml:space="preserve"> evident in New South Wales</w:t>
      </w:r>
      <w:r w:rsidR="00E013D1">
        <w:t xml:space="preserve"> (NSW)</w:t>
      </w:r>
      <w:r>
        <w:t>,</w:t>
      </w:r>
      <w:r w:rsidRPr="00476A29">
        <w:t xml:space="preserve"> but not in Queensland, which benefited from high commodity prices </w:t>
      </w:r>
      <w:r>
        <w:t>that increased</w:t>
      </w:r>
      <w:r w:rsidRPr="00476A29">
        <w:t xml:space="preserve"> royalty revenue over the period. </w:t>
      </w:r>
      <w:bookmarkStart w:id="16" w:name="_Ref199921577"/>
    </w:p>
    <w:p w14:paraId="717AADD2" w14:textId="77777777" w:rsidR="007A4B85" w:rsidRDefault="007A4B85" w:rsidP="001E6024">
      <w:pPr>
        <w:pStyle w:val="Figureheading"/>
        <w:sectPr w:rsidR="007A4B85" w:rsidSect="007A4B85">
          <w:type w:val="continuous"/>
          <w:pgSz w:w="11906" w:h="16838"/>
          <w:pgMar w:top="1440" w:right="1440" w:bottom="1440" w:left="1440" w:header="708" w:footer="708" w:gutter="0"/>
          <w:cols w:num="2" w:space="708"/>
          <w:docGrid w:linePitch="360"/>
          <w15:footnoteColumns w:val="1"/>
        </w:sectPr>
      </w:pPr>
    </w:p>
    <w:p w14:paraId="15B47DF3" w14:textId="33BFEEFC" w:rsidR="00434E81" w:rsidRPr="001E6024" w:rsidRDefault="00434E81" w:rsidP="00BF0538">
      <w:pPr>
        <w:pStyle w:val="Figureheading"/>
      </w:pPr>
      <w:r w:rsidRPr="001E6024">
        <w:t xml:space="preserve">Figure </w:t>
      </w:r>
      <w:r w:rsidR="00425A3B" w:rsidRPr="001E6024">
        <w:t>2</w:t>
      </w:r>
      <w:r w:rsidRPr="001E6024">
        <w:t>.</w:t>
      </w:r>
      <w:r w:rsidR="009D5FCD">
        <w:fldChar w:fldCharType="begin"/>
      </w:r>
      <w:r w:rsidR="009D5FCD">
        <w:instrText xml:space="preserve"> SEQ Figure \* ARABIC \s 1 </w:instrText>
      </w:r>
      <w:r w:rsidR="009D5FCD">
        <w:fldChar w:fldCharType="separate"/>
      </w:r>
      <w:r w:rsidR="009D1283">
        <w:rPr>
          <w:noProof/>
        </w:rPr>
        <w:t>1</w:t>
      </w:r>
      <w:r w:rsidR="009D5FCD">
        <w:fldChar w:fldCharType="end"/>
      </w:r>
      <w:bookmarkEnd w:id="16"/>
      <w:r w:rsidRPr="001E6024">
        <w:t>: Victorian General Government expenditure and revenue per capita, real terms</w:t>
      </w:r>
    </w:p>
    <w:tbl>
      <w:tblPr>
        <w:tblW w:w="9026"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26"/>
      </w:tblGrid>
      <w:tr w:rsidR="00434E81" w:rsidRPr="004E4FBE" w14:paraId="530F5A24" w14:textId="77777777" w:rsidTr="0086545A">
        <w:trPr>
          <w:trHeight w:val="3987"/>
        </w:trPr>
        <w:tc>
          <w:tcPr>
            <w:tcW w:w="9026" w:type="dxa"/>
            <w:tcBorders>
              <w:top w:val="nil"/>
              <w:left w:val="nil"/>
              <w:bottom w:val="nil"/>
              <w:right w:val="nil"/>
            </w:tcBorders>
            <w:hideMark/>
          </w:tcPr>
          <w:p w14:paraId="48507E70" w14:textId="4D6F13F7" w:rsidR="00434E81" w:rsidRPr="00F37492" w:rsidRDefault="0086545A" w:rsidP="00352512">
            <w:r>
              <w:rPr>
                <w:noProof/>
              </w:rPr>
              <w:drawing>
                <wp:inline distT="0" distB="0" distL="0" distR="0" wp14:anchorId="395DC8EB" wp14:editId="028AD7E0">
                  <wp:extent cx="5731510" cy="3914775"/>
                  <wp:effectExtent l="0" t="0" r="0" b="0"/>
                  <wp:docPr id="1905025234" name="Chart 1" descr="A chart with two lines. The first line shows the annual value of Victorian General Government expenditure per capita, measured in 2023-24 dollars over the period 2003-04 to 2028-29. The second line shows the annual value of Victorian General Government revenue per capita, measured in 2023-24 dollars over the period 2003-04 to 2028-29. Both lines increase from around $10,000 to $13,500 over the period. ">
                    <a:extLst xmlns:a="http://schemas.openxmlformats.org/drawingml/2006/main">
                      <a:ext uri="{FF2B5EF4-FFF2-40B4-BE49-F238E27FC236}">
                        <a16:creationId xmlns:a16="http://schemas.microsoft.com/office/drawing/2014/main" id="{84AFE674-F2CD-404A-B338-E6B904F69E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434E81" w:rsidRPr="004E4FBE" w14:paraId="5802DEDD" w14:textId="77777777" w:rsidTr="00352512">
        <w:tblPrEx>
          <w:tblCellMar>
            <w:left w:w="0" w:type="dxa"/>
            <w:right w:w="0" w:type="dxa"/>
          </w:tblCellMar>
        </w:tblPrEx>
        <w:trPr>
          <w:trHeight w:val="300"/>
        </w:trPr>
        <w:tc>
          <w:tcPr>
            <w:tcW w:w="9026" w:type="dxa"/>
            <w:tcBorders>
              <w:top w:val="nil"/>
              <w:left w:val="nil"/>
              <w:bottom w:val="nil"/>
              <w:right w:val="nil"/>
            </w:tcBorders>
          </w:tcPr>
          <w:p w14:paraId="5C0ACEA4" w14:textId="77777777" w:rsidR="00791818" w:rsidRDefault="00434E81" w:rsidP="00791818">
            <w:pPr>
              <w:pStyle w:val="Caption"/>
              <w:spacing w:after="120"/>
            </w:pPr>
            <w:r w:rsidRPr="00B01D80">
              <w:t>Source</w:t>
            </w:r>
            <w:r w:rsidRPr="001B2C33">
              <w:t xml:space="preserve">: </w:t>
            </w:r>
            <w:r>
              <w:t>2025/26 Victorian Budget,</w:t>
            </w:r>
            <w:r w:rsidRPr="001B2C33">
              <w:t xml:space="preserve"> A</w:t>
            </w:r>
            <w:r w:rsidR="006F5B2E">
              <w:t xml:space="preserve">ustralian </w:t>
            </w:r>
            <w:r w:rsidRPr="001B2C33">
              <w:t>B</w:t>
            </w:r>
            <w:r w:rsidR="006F5B2E">
              <w:t xml:space="preserve">ureau of </w:t>
            </w:r>
            <w:r w:rsidRPr="001B2C33">
              <w:t>S</w:t>
            </w:r>
            <w:r w:rsidR="006F5B2E">
              <w:t>tatistics (</w:t>
            </w:r>
            <w:r w:rsidRPr="001B2C33">
              <w:t>ABS</w:t>
            </w:r>
            <w:r w:rsidR="006F5B2E">
              <w:t>)</w:t>
            </w:r>
            <w:r>
              <w:t xml:space="preserve"> </w:t>
            </w:r>
          </w:p>
          <w:p w14:paraId="0F01ED8C" w14:textId="2385B8AF" w:rsidR="00434E81" w:rsidRPr="003952CF" w:rsidRDefault="00434E81" w:rsidP="004A3706">
            <w:pPr>
              <w:pStyle w:val="Caption"/>
            </w:pPr>
            <w:r w:rsidRPr="00AE0D5B">
              <w:t>Note:</w:t>
            </w:r>
            <w:r w:rsidRPr="00715C9A">
              <w:t xml:space="preserve"> </w:t>
            </w:r>
            <w:r>
              <w:t>B&amp;FE refers to the budget and forward estimate period, 2025-26 to 2028-29.</w:t>
            </w:r>
          </w:p>
        </w:tc>
      </w:tr>
    </w:tbl>
    <w:p w14:paraId="3F32BFF3" w14:textId="77777777" w:rsidR="00A237AA" w:rsidRDefault="00A237AA" w:rsidP="00434E81">
      <w:r>
        <w:br w:type="page"/>
      </w:r>
    </w:p>
    <w:p w14:paraId="16872D22" w14:textId="77777777" w:rsidR="001732C6" w:rsidRDefault="001732C6" w:rsidP="00434E81">
      <w:pPr>
        <w:sectPr w:rsidR="001732C6" w:rsidSect="00AE6104">
          <w:type w:val="continuous"/>
          <w:pgSz w:w="11906" w:h="16838"/>
          <w:pgMar w:top="1440" w:right="1440" w:bottom="1440" w:left="1440" w:header="708" w:footer="708" w:gutter="0"/>
          <w:cols w:space="708"/>
          <w:docGrid w:linePitch="360"/>
          <w15:footnoteColumns w:val="1"/>
        </w:sectPr>
      </w:pPr>
    </w:p>
    <w:p w14:paraId="26B56F11" w14:textId="32F595D2" w:rsidR="00434E81" w:rsidRDefault="00434E81" w:rsidP="00434E81">
      <w:r w:rsidRPr="00476A29">
        <w:lastRenderedPageBreak/>
        <w:t>Real growth in expenditure averaged 4.</w:t>
      </w:r>
      <w:r>
        <w:t>2</w:t>
      </w:r>
      <w:r w:rsidR="007467F9">
        <w:t> </w:t>
      </w:r>
      <w:r w:rsidRPr="00476A29">
        <w:t>per</w:t>
      </w:r>
      <w:r w:rsidR="007467F9">
        <w:t> </w:t>
      </w:r>
      <w:r w:rsidRPr="00476A29">
        <w:t>cent</w:t>
      </w:r>
      <w:r w:rsidRPr="00266F4D">
        <w:t xml:space="preserve"> between</w:t>
      </w:r>
      <w:r w:rsidRPr="00476A29">
        <w:t xml:space="preserve"> 2014</w:t>
      </w:r>
      <w:r>
        <w:t>–</w:t>
      </w:r>
      <w:r w:rsidRPr="00476A29">
        <w:t>15 and 2023</w:t>
      </w:r>
      <w:r>
        <w:t>–</w:t>
      </w:r>
      <w:r w:rsidRPr="00476A29">
        <w:t>24, exceeding average annual growth of 3.</w:t>
      </w:r>
      <w:r>
        <w:t>4</w:t>
      </w:r>
      <w:r w:rsidR="004D4FC2">
        <w:t> </w:t>
      </w:r>
      <w:r w:rsidRPr="00476A29">
        <w:t>per</w:t>
      </w:r>
      <w:r w:rsidR="004D4FC2">
        <w:t> </w:t>
      </w:r>
      <w:r w:rsidRPr="00476A29">
        <w:t xml:space="preserve">cent in the previous </w:t>
      </w:r>
      <w:r w:rsidRPr="004B5E56">
        <w:t>decade. Employee expenses accounted for aro</w:t>
      </w:r>
      <w:r w:rsidRPr="00476A29">
        <w:t>und 42 per cent of expenditure</w:t>
      </w:r>
      <w:r>
        <w:t xml:space="preserve"> in 2023–24</w:t>
      </w:r>
      <w:r w:rsidRPr="00476A29">
        <w:t>, re</w:t>
      </w:r>
      <w:r>
        <w:t>flecting</w:t>
      </w:r>
      <w:r w:rsidRPr="00476A29">
        <w:t xml:space="preserve"> FTE growth and enterprise agreement outcomes. </w:t>
      </w:r>
      <w:r>
        <w:t>O</w:t>
      </w:r>
      <w:r w:rsidRPr="00476A29">
        <w:t xml:space="preserve">ther expenses such as </w:t>
      </w:r>
      <w:r w:rsidR="006B2644">
        <w:t xml:space="preserve">service contracts and </w:t>
      </w:r>
      <w:r w:rsidRPr="00476A29">
        <w:t>the purchase</w:t>
      </w:r>
      <w:r w:rsidR="00A44512">
        <w:t xml:space="preserve"> of</w:t>
      </w:r>
      <w:r w:rsidRPr="00476A29">
        <w:t xml:space="preserve"> supplies and consumables </w:t>
      </w:r>
      <w:r w:rsidR="006B2644">
        <w:t xml:space="preserve">accounted </w:t>
      </w:r>
      <w:r w:rsidRPr="00476A29">
        <w:t xml:space="preserve">for a further </w:t>
      </w:r>
      <w:r>
        <w:t>30</w:t>
      </w:r>
      <w:r w:rsidR="00A44512">
        <w:t> </w:t>
      </w:r>
      <w:r w:rsidRPr="00476A29">
        <w:t>per</w:t>
      </w:r>
      <w:r w:rsidR="00A44512">
        <w:t> </w:t>
      </w:r>
      <w:r w:rsidRPr="00476A29">
        <w:t xml:space="preserve">cent </w:t>
      </w:r>
      <w:r>
        <w:t>of spending. G</w:t>
      </w:r>
      <w:r w:rsidRPr="00476A29">
        <w:t xml:space="preserve">rant expenditure </w:t>
      </w:r>
      <w:r>
        <w:t>was</w:t>
      </w:r>
      <w:r w:rsidRPr="00476A29">
        <w:t xml:space="preserve"> the third largest </w:t>
      </w:r>
      <w:r>
        <w:t>component</w:t>
      </w:r>
      <w:r w:rsidRPr="00476A29">
        <w:t xml:space="preserve">, accounting for </w:t>
      </w:r>
      <w:r>
        <w:t>17</w:t>
      </w:r>
      <w:r w:rsidR="00D83E22">
        <w:t> </w:t>
      </w:r>
      <w:r w:rsidRPr="00476A29">
        <w:t>per cent.</w:t>
      </w:r>
    </w:p>
    <w:p w14:paraId="1972AFF4" w14:textId="1DAD149F" w:rsidR="00434E81" w:rsidRDefault="00434E81" w:rsidP="00434E81">
      <w:r w:rsidRPr="00B31F50">
        <w:t xml:space="preserve">Health and education account for </w:t>
      </w:r>
      <w:proofErr w:type="gramStart"/>
      <w:r w:rsidRPr="00B31F50">
        <w:t>the majority of</w:t>
      </w:r>
      <w:proofErr w:type="gramEnd"/>
      <w:r w:rsidRPr="00B31F50">
        <w:t xml:space="preserve"> government spending (31</w:t>
      </w:r>
      <w:r w:rsidR="003F1932">
        <w:t> </w:t>
      </w:r>
      <w:r w:rsidRPr="00B31F50">
        <w:t>per</w:t>
      </w:r>
      <w:r w:rsidR="003F1932">
        <w:t> </w:t>
      </w:r>
      <w:r w:rsidRPr="00B31F50">
        <w:t>cent and 23 per cent of operating expenditure respectively in 2023-24) and have increased strongly over time. Other areas of spending have also increased and growth in almost all major categories outpaced inflation over the past 5 years.</w:t>
      </w:r>
    </w:p>
    <w:p w14:paraId="5FD4DB46" w14:textId="0B13BE02" w:rsidR="00434E81" w:rsidRDefault="00434E81" w:rsidP="00434E81">
      <w:pPr>
        <w:rPr>
          <w:rFonts w:ascii="Aptos" w:eastAsia="Aptos" w:hAnsi="Aptos" w:cs="Aptos"/>
          <w:color w:val="000000" w:themeColor="text1"/>
        </w:rPr>
      </w:pPr>
      <w:r w:rsidRPr="00476A29">
        <w:rPr>
          <w:rFonts w:ascii="Aptos" w:eastAsia="Aptos" w:hAnsi="Aptos" w:cs="Aptos"/>
          <w:color w:val="000000" w:themeColor="text1"/>
        </w:rPr>
        <w:t xml:space="preserve">State government spending has outpaced economic growth over the same period, increasing from 13.8 per cent of </w:t>
      </w:r>
      <w:r>
        <w:rPr>
          <w:rFonts w:ascii="Aptos" w:eastAsia="Aptos" w:hAnsi="Aptos" w:cs="Aptos"/>
          <w:color w:val="000000" w:themeColor="text1"/>
        </w:rPr>
        <w:t xml:space="preserve">Gross State </w:t>
      </w:r>
      <w:r>
        <w:rPr>
          <w:rFonts w:ascii="Aptos" w:eastAsia="Aptos" w:hAnsi="Aptos" w:cs="Aptos"/>
          <w:color w:val="000000" w:themeColor="text1"/>
        </w:rPr>
        <w:t>Product</w:t>
      </w:r>
      <w:r w:rsidRPr="00476A29">
        <w:rPr>
          <w:rFonts w:ascii="Aptos" w:eastAsia="Aptos" w:hAnsi="Aptos" w:cs="Aptos"/>
          <w:color w:val="000000" w:themeColor="text1"/>
        </w:rPr>
        <w:t xml:space="preserve"> </w:t>
      </w:r>
      <w:r>
        <w:rPr>
          <w:rFonts w:ascii="Aptos" w:eastAsia="Aptos" w:hAnsi="Aptos" w:cs="Aptos"/>
          <w:color w:val="000000" w:themeColor="text1"/>
        </w:rPr>
        <w:t>(</w:t>
      </w:r>
      <w:r w:rsidRPr="00476A29">
        <w:rPr>
          <w:rFonts w:ascii="Aptos" w:eastAsia="Aptos" w:hAnsi="Aptos" w:cs="Aptos"/>
          <w:color w:val="000000" w:themeColor="text1"/>
        </w:rPr>
        <w:t>GSP</w:t>
      </w:r>
      <w:r>
        <w:rPr>
          <w:rFonts w:ascii="Aptos" w:eastAsia="Aptos" w:hAnsi="Aptos" w:cs="Aptos"/>
          <w:color w:val="000000" w:themeColor="text1"/>
        </w:rPr>
        <w:t>)</w:t>
      </w:r>
      <w:r w:rsidRPr="00476A29">
        <w:rPr>
          <w:rFonts w:ascii="Aptos" w:eastAsia="Aptos" w:hAnsi="Aptos" w:cs="Aptos"/>
          <w:color w:val="000000" w:themeColor="text1"/>
        </w:rPr>
        <w:t xml:space="preserve"> in 2014</w:t>
      </w:r>
      <w:r>
        <w:t>–</w:t>
      </w:r>
      <w:r w:rsidRPr="00476A29">
        <w:rPr>
          <w:rFonts w:ascii="Aptos" w:eastAsia="Aptos" w:hAnsi="Aptos" w:cs="Aptos"/>
          <w:color w:val="000000" w:themeColor="text1"/>
        </w:rPr>
        <w:t xml:space="preserve">15 to 16.1 per cent </w:t>
      </w:r>
      <w:r w:rsidRPr="00972470">
        <w:rPr>
          <w:rFonts w:ascii="Aptos" w:eastAsia="Aptos" w:hAnsi="Aptos" w:cs="Aptos"/>
          <w:color w:val="000000" w:themeColor="text1"/>
        </w:rPr>
        <w:t>in 2023</w:t>
      </w:r>
      <w:r>
        <w:t>–</w:t>
      </w:r>
      <w:r w:rsidRPr="00972470">
        <w:rPr>
          <w:rFonts w:ascii="Aptos" w:eastAsia="Aptos" w:hAnsi="Aptos" w:cs="Aptos"/>
          <w:color w:val="000000" w:themeColor="text1"/>
        </w:rPr>
        <w:t>24, having peaked at 18.5</w:t>
      </w:r>
      <w:r>
        <w:rPr>
          <w:rFonts w:ascii="Aptos" w:eastAsia="Aptos" w:hAnsi="Aptos" w:cs="Aptos"/>
          <w:color w:val="000000" w:themeColor="text1"/>
        </w:rPr>
        <w:t> </w:t>
      </w:r>
      <w:r w:rsidRPr="00972470">
        <w:rPr>
          <w:rFonts w:ascii="Aptos" w:eastAsia="Aptos" w:hAnsi="Aptos" w:cs="Aptos"/>
          <w:color w:val="000000" w:themeColor="text1"/>
        </w:rPr>
        <w:t>per cent of GSP in 2021</w:t>
      </w:r>
      <w:r>
        <w:t>–</w:t>
      </w:r>
      <w:r w:rsidRPr="00972470">
        <w:rPr>
          <w:rFonts w:ascii="Aptos" w:eastAsia="Aptos" w:hAnsi="Aptos" w:cs="Aptos"/>
          <w:color w:val="000000" w:themeColor="text1"/>
        </w:rPr>
        <w:t>22. In part</w:t>
      </w:r>
      <w:r>
        <w:rPr>
          <w:rFonts w:ascii="Aptos" w:eastAsia="Aptos" w:hAnsi="Aptos" w:cs="Aptos"/>
          <w:color w:val="000000" w:themeColor="text1"/>
        </w:rPr>
        <w:t>,</w:t>
      </w:r>
      <w:r w:rsidRPr="00972470">
        <w:rPr>
          <w:rFonts w:ascii="Aptos" w:eastAsia="Aptos" w:hAnsi="Aptos" w:cs="Aptos"/>
          <w:color w:val="000000" w:themeColor="text1"/>
        </w:rPr>
        <w:t xml:space="preserve"> this is due to</w:t>
      </w:r>
      <w:r w:rsidRPr="00476A29">
        <w:rPr>
          <w:rFonts w:ascii="Aptos" w:eastAsia="Aptos" w:hAnsi="Aptos" w:cs="Aptos"/>
          <w:color w:val="000000" w:themeColor="text1"/>
        </w:rPr>
        <w:t xml:space="preserve"> the </w:t>
      </w:r>
      <w:r>
        <w:rPr>
          <w:rFonts w:ascii="Aptos" w:eastAsia="Aptos" w:hAnsi="Aptos" w:cs="Aptos"/>
          <w:color w:val="000000" w:themeColor="text1"/>
        </w:rPr>
        <w:t>g</w:t>
      </w:r>
      <w:r w:rsidRPr="00476A29">
        <w:rPr>
          <w:rFonts w:ascii="Aptos" w:eastAsia="Aptos" w:hAnsi="Aptos" w:cs="Aptos"/>
          <w:color w:val="000000" w:themeColor="text1"/>
        </w:rPr>
        <w:t xml:space="preserve">overnment’s response to </w:t>
      </w:r>
      <w:r>
        <w:rPr>
          <w:rFonts w:ascii="Aptos" w:eastAsia="Aptos" w:hAnsi="Aptos" w:cs="Aptos"/>
          <w:color w:val="000000" w:themeColor="text1"/>
        </w:rPr>
        <w:t xml:space="preserve">COVID-19, although </w:t>
      </w:r>
      <w:r w:rsidRPr="00B31F50">
        <w:rPr>
          <w:rFonts w:ascii="Aptos" w:eastAsia="Aptos" w:hAnsi="Aptos" w:cs="Aptos"/>
          <w:color w:val="000000" w:themeColor="text1"/>
        </w:rPr>
        <w:t xml:space="preserve">Victorian spending as a share of the economy remains much higher than other jurisdictions (Figure 2.2). </w:t>
      </w:r>
      <w:r w:rsidR="00762B4C" w:rsidRPr="00064178">
        <w:rPr>
          <w:rFonts w:ascii="Aptos" w:eastAsia="Aptos" w:hAnsi="Aptos" w:cs="Aptos"/>
          <w:color w:val="000000" w:themeColor="text1"/>
        </w:rPr>
        <w:t xml:space="preserve">Spending as a share of </w:t>
      </w:r>
      <w:r w:rsidR="004A0BAF" w:rsidRPr="00064178">
        <w:rPr>
          <w:rFonts w:ascii="Aptos" w:eastAsia="Aptos" w:hAnsi="Aptos" w:cs="Aptos"/>
          <w:color w:val="000000" w:themeColor="text1"/>
        </w:rPr>
        <w:t>GSP is forecast to decline over the forward estimates.</w:t>
      </w:r>
      <w:r w:rsidR="004A0BAF">
        <w:rPr>
          <w:rFonts w:ascii="Aptos" w:eastAsia="Aptos" w:hAnsi="Aptos" w:cs="Aptos"/>
          <w:color w:val="000000" w:themeColor="text1"/>
        </w:rPr>
        <w:t xml:space="preserve"> </w:t>
      </w:r>
      <w:r w:rsidRPr="00B31F50">
        <w:rPr>
          <w:rFonts w:ascii="Aptos" w:eastAsia="Aptos" w:hAnsi="Aptos" w:cs="Aptos"/>
          <w:color w:val="000000" w:themeColor="text1"/>
        </w:rPr>
        <w:t xml:space="preserve">Spending per capita was below other jurisdictions for most of the past 20 years, reflecting in part Victoria’s large and relatively concentrated population. This trend reversed during the pandemic but has since returned </w:t>
      </w:r>
      <w:r>
        <w:rPr>
          <w:rFonts w:ascii="Aptos" w:eastAsia="Aptos" w:hAnsi="Aptos" w:cs="Aptos"/>
          <w:color w:val="000000" w:themeColor="text1"/>
        </w:rPr>
        <w:t xml:space="preserve">and spending per capita is now </w:t>
      </w:r>
      <w:r w:rsidR="00540CC1" w:rsidRPr="002D4ECA">
        <w:rPr>
          <w:rFonts w:ascii="Aptos" w:eastAsia="Aptos" w:hAnsi="Aptos" w:cs="Aptos"/>
          <w:color w:val="000000" w:themeColor="text1"/>
        </w:rPr>
        <w:t>again</w:t>
      </w:r>
      <w:r w:rsidR="00540CC1">
        <w:rPr>
          <w:rFonts w:ascii="Aptos" w:eastAsia="Aptos" w:hAnsi="Aptos" w:cs="Aptos"/>
          <w:color w:val="000000" w:themeColor="text1"/>
        </w:rPr>
        <w:t xml:space="preserve"> </w:t>
      </w:r>
      <w:r w:rsidRPr="00B31F50">
        <w:rPr>
          <w:rFonts w:ascii="Aptos" w:eastAsia="Aptos" w:hAnsi="Aptos" w:cs="Aptos"/>
          <w:color w:val="000000" w:themeColor="text1"/>
        </w:rPr>
        <w:t xml:space="preserve">below other jurisdictions </w:t>
      </w:r>
      <w:r>
        <w:rPr>
          <w:rFonts w:ascii="Aptos" w:eastAsia="Aptos" w:hAnsi="Aptos" w:cs="Aptos"/>
          <w:color w:val="000000" w:themeColor="text1"/>
        </w:rPr>
        <w:t xml:space="preserve">again </w:t>
      </w:r>
      <w:r w:rsidRPr="00B31F50">
        <w:rPr>
          <w:rFonts w:ascii="Aptos" w:eastAsia="Aptos" w:hAnsi="Aptos" w:cs="Aptos"/>
          <w:color w:val="000000" w:themeColor="text1"/>
        </w:rPr>
        <w:t xml:space="preserve">(also Figure </w:t>
      </w:r>
      <w:r>
        <w:rPr>
          <w:rFonts w:ascii="Aptos" w:eastAsia="Aptos" w:hAnsi="Aptos" w:cs="Aptos"/>
          <w:color w:val="000000" w:themeColor="text1"/>
        </w:rPr>
        <w:t>2</w:t>
      </w:r>
      <w:r w:rsidRPr="00B31F50">
        <w:rPr>
          <w:rFonts w:ascii="Aptos" w:eastAsia="Aptos" w:hAnsi="Aptos" w:cs="Aptos"/>
          <w:color w:val="000000" w:themeColor="text1"/>
        </w:rPr>
        <w:t>.2).</w:t>
      </w:r>
    </w:p>
    <w:p w14:paraId="5ADB3D41" w14:textId="77777777" w:rsidR="001732C6" w:rsidRDefault="00434E81">
      <w:pPr>
        <w:sectPr w:rsidR="001732C6" w:rsidSect="001732C6">
          <w:type w:val="continuous"/>
          <w:pgSz w:w="11906" w:h="16838"/>
          <w:pgMar w:top="1440" w:right="1440" w:bottom="1440" w:left="1440" w:header="708" w:footer="708" w:gutter="0"/>
          <w:cols w:num="2" w:space="708"/>
          <w:docGrid w:linePitch="360"/>
          <w15:footnoteColumns w:val="1"/>
        </w:sectPr>
      </w:pPr>
      <w:r w:rsidRPr="00476A29">
        <w:t xml:space="preserve">COVID-19 was an unprecedented challenge, and the response </w:t>
      </w:r>
      <w:r>
        <w:t>included</w:t>
      </w:r>
      <w:r w:rsidRPr="00476A29">
        <w:t xml:space="preserve"> increased government spending in important areas to support the Victorian community. It</w:t>
      </w:r>
      <w:r>
        <w:t xml:space="preserve"> </w:t>
      </w:r>
      <w:r w:rsidRPr="00476A29">
        <w:t xml:space="preserve">may have further </w:t>
      </w:r>
      <w:r>
        <w:t>increased</w:t>
      </w:r>
      <w:r w:rsidRPr="00476A29">
        <w:t xml:space="preserve"> expectations of government service</w:t>
      </w:r>
      <w:bookmarkStart w:id="17" w:name="_Ref199323569"/>
      <w:r w:rsidR="00B2791D">
        <w:t xml:space="preserve"> delivery and the </w:t>
      </w:r>
      <w:r w:rsidR="007D2D59">
        <w:t>provision of infrastructure.</w:t>
      </w:r>
    </w:p>
    <w:p w14:paraId="0EBADBB1" w14:textId="3074EF88" w:rsidR="00332A94" w:rsidRDefault="00332A94">
      <w:pPr>
        <w:rPr>
          <w:i/>
          <w:iCs/>
          <w:color w:val="0E2841" w:themeColor="text2"/>
          <w:sz w:val="25"/>
          <w:szCs w:val="18"/>
        </w:rPr>
      </w:pPr>
      <w:r>
        <w:br w:type="page"/>
      </w:r>
    </w:p>
    <w:p w14:paraId="167633B9" w14:textId="0D60FE2D" w:rsidR="00D44167" w:rsidRPr="00411A09" w:rsidRDefault="00434E81" w:rsidP="00411A09">
      <w:pPr>
        <w:pStyle w:val="Figureheading"/>
      </w:pPr>
      <w:r w:rsidRPr="003952CF">
        <w:lastRenderedPageBreak/>
        <w:t xml:space="preserve">Figure </w:t>
      </w:r>
      <w:r w:rsidR="00425A3B">
        <w:t>2</w:t>
      </w:r>
      <w:r>
        <w:t>.</w:t>
      </w:r>
      <w:r w:rsidR="009D5FCD">
        <w:fldChar w:fldCharType="begin"/>
      </w:r>
      <w:r w:rsidR="009D5FCD">
        <w:instrText xml:space="preserve"> SEQ Figure \* ARABIC \s 1 </w:instrText>
      </w:r>
      <w:r w:rsidR="009D5FCD">
        <w:fldChar w:fldCharType="separate"/>
      </w:r>
      <w:r w:rsidR="009D1283">
        <w:rPr>
          <w:noProof/>
        </w:rPr>
        <w:t>2</w:t>
      </w:r>
      <w:r w:rsidR="009D5FCD">
        <w:rPr>
          <w:noProof/>
        </w:rPr>
        <w:fldChar w:fldCharType="end"/>
      </w:r>
      <w:bookmarkEnd w:id="17"/>
      <w:r w:rsidRPr="003952CF">
        <w:t>: General Government operating expenditure by jurisdiction, nominal</w:t>
      </w:r>
    </w:p>
    <w:p w14:paraId="1B00BE83" w14:textId="6F238D71" w:rsidR="00C402F6" w:rsidRDefault="00C861F2" w:rsidP="00C402F6">
      <w:r>
        <w:rPr>
          <w:noProof/>
        </w:rPr>
        <w:drawing>
          <wp:anchor distT="0" distB="0" distL="114300" distR="114300" simplePos="0" relativeHeight="251658306" behindDoc="1" locked="0" layoutInCell="1" allowOverlap="1" wp14:anchorId="25721902" wp14:editId="30B218CE">
            <wp:simplePos x="0" y="0"/>
            <wp:positionH relativeFrom="margin">
              <wp:align>left</wp:align>
            </wp:positionH>
            <wp:positionV relativeFrom="paragraph">
              <wp:posOffset>3825240</wp:posOffset>
            </wp:positionV>
            <wp:extent cx="4269105" cy="3668395"/>
            <wp:effectExtent l="0" t="0" r="0" b="8255"/>
            <wp:wrapTopAndBottom/>
            <wp:docPr id="1337398178" name="Chart 1" descr="A chart that display trends in annual government operating expenditure by jurisdiction between 2003-04 and 2023-24. The chart in the bottom panel includes two lines. The first line shows Victorian General Government operating expenditure measured in dollars per capita. The second line displays combined annual general government operating expenditure for all states excluding Victoria measured in dollars per capita. Both lines increase from around $6,000 to around $15,000 over the period.">
              <a:extLst xmlns:a="http://schemas.openxmlformats.org/drawingml/2006/main">
                <a:ext uri="{FF2B5EF4-FFF2-40B4-BE49-F238E27FC236}">
                  <a16:creationId xmlns:a16="http://schemas.microsoft.com/office/drawing/2014/main" id="{AF9743E4-B62C-BD3F-D3C4-829C1EAE4CCC}"/>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5D1D84">
        <w:rPr>
          <w:noProof/>
        </w:rPr>
        <mc:AlternateContent>
          <mc:Choice Requires="wps">
            <w:drawing>
              <wp:anchor distT="0" distB="0" distL="114300" distR="114300" simplePos="0" relativeHeight="251658271" behindDoc="0" locked="0" layoutInCell="1" allowOverlap="1" wp14:anchorId="74A03AB4" wp14:editId="5D25BDB3">
                <wp:simplePos x="0" y="0"/>
                <wp:positionH relativeFrom="column">
                  <wp:posOffset>2509471</wp:posOffset>
                </wp:positionH>
                <wp:positionV relativeFrom="paragraph">
                  <wp:posOffset>1243547</wp:posOffset>
                </wp:positionV>
                <wp:extent cx="1156335" cy="334645"/>
                <wp:effectExtent l="0" t="0" r="0" b="0"/>
                <wp:wrapNone/>
                <wp:docPr id="11" name="TextBox 10">
                  <a:extLst xmlns:a="http://schemas.openxmlformats.org/drawingml/2006/main">
                    <a:ext uri="{FF2B5EF4-FFF2-40B4-BE49-F238E27FC236}">
                      <a16:creationId xmlns:a16="http://schemas.microsoft.com/office/drawing/2014/main" id="{59762244-8F8C-9A62-5CC7-454E936EFA7E}"/>
                    </a:ext>
                  </a:extLst>
                </wp:docPr>
                <wp:cNvGraphicFramePr/>
                <a:graphic xmlns:a="http://schemas.openxmlformats.org/drawingml/2006/main">
                  <a:graphicData uri="http://schemas.microsoft.com/office/word/2010/wordprocessingShape">
                    <wps:wsp>
                      <wps:cNvSpPr txBox="1"/>
                      <wps:spPr>
                        <a:xfrm>
                          <a:off x="0" y="0"/>
                          <a:ext cx="1156335" cy="33464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02C9FF2" w14:textId="77777777" w:rsidR="00C402F6" w:rsidRPr="0080618C" w:rsidRDefault="00C402F6" w:rsidP="00C402F6">
                            <w:pPr>
                              <w:rPr>
                                <w:rFonts w:hAnsi="Aptos"/>
                                <w:color w:val="1CADE4"/>
                                <w:kern w:val="0"/>
                                <w:szCs w:val="22"/>
                                <w14:ligatures w14:val="none"/>
                              </w:rPr>
                            </w:pPr>
                            <w:r w:rsidRPr="0080618C">
                              <w:rPr>
                                <w:rFonts w:hAnsi="Aptos"/>
                                <w:color w:val="1CADE4"/>
                                <w:szCs w:val="22"/>
                              </w:rPr>
                              <w:t>Vic</w:t>
                            </w:r>
                          </w:p>
                        </w:txbxContent>
                      </wps:txbx>
                      <wps:bodyPr vertOverflow="clip" horzOverflow="clip" wrap="square" rtlCol="0" anchor="t"/>
                    </wps:wsp>
                  </a:graphicData>
                </a:graphic>
              </wp:anchor>
            </w:drawing>
          </mc:Choice>
          <mc:Fallback>
            <w:pict>
              <v:shapetype w14:anchorId="74A03AB4" id="_x0000_t202" coordsize="21600,21600" o:spt="202" path="m,l,21600r21600,l21600,xe">
                <v:stroke joinstyle="miter"/>
                <v:path gradientshapeok="t" o:connecttype="rect"/>
              </v:shapetype>
              <v:shape id="TextBox 10" o:spid="_x0000_s1026" type="#_x0000_t202" style="position:absolute;margin-left:197.6pt;margin-top:97.9pt;width:91.05pt;height:26.35pt;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" filled="f" stroked="f">
                <v:textbox>
                  <w:txbxContent>
                    <w:p w14:paraId="102C9FF2" w14:textId="77777777" w:rsidR="00C402F6" w:rsidRPr="0080618C" w:rsidRDefault="00C402F6" w:rsidP="00C402F6">
                      <w:pPr>
                        <w:rPr>
                          <w:rFonts w:hAnsi="Aptos"/>
                          <w:color w:val="1CADE4"/>
                          <w:kern w:val="0"/>
                          <w:szCs w:val="22"/>
                          <w14:ligatures w14:val="none"/>
                        </w:rPr>
                      </w:pPr>
                      <w:r w:rsidRPr="0080618C">
                        <w:rPr>
                          <w:rFonts w:hAnsi="Aptos"/>
                          <w:color w:val="1CADE4"/>
                          <w:szCs w:val="22"/>
                        </w:rPr>
                        <w:t>Vic</w:t>
                      </w:r>
                    </w:p>
                  </w:txbxContent>
                </v:textbox>
              </v:shape>
            </w:pict>
          </mc:Fallback>
        </mc:AlternateContent>
      </w:r>
      <w:r w:rsidR="0061464F">
        <w:rPr>
          <w:noProof/>
        </w:rPr>
        <mc:AlternateContent>
          <mc:Choice Requires="wps">
            <w:drawing>
              <wp:anchor distT="0" distB="0" distL="114300" distR="114300" simplePos="0" relativeHeight="251658318" behindDoc="0" locked="0" layoutInCell="1" allowOverlap="1" wp14:anchorId="0CFE95DF" wp14:editId="2C3703C6">
                <wp:simplePos x="0" y="0"/>
                <wp:positionH relativeFrom="column">
                  <wp:posOffset>2499690</wp:posOffset>
                </wp:positionH>
                <wp:positionV relativeFrom="paragraph">
                  <wp:posOffset>6299377</wp:posOffset>
                </wp:positionV>
                <wp:extent cx="1758950" cy="1019810"/>
                <wp:effectExtent l="0" t="0" r="0" b="0"/>
                <wp:wrapNone/>
                <wp:docPr id="1063742774" name="TextBox 2"/>
                <wp:cNvGraphicFramePr/>
                <a:graphic xmlns:a="http://schemas.openxmlformats.org/drawingml/2006/main">
                  <a:graphicData uri="http://schemas.microsoft.com/office/word/2010/wordprocessingShape">
                    <wps:wsp>
                      <wps:cNvSpPr txBox="1"/>
                      <wps:spPr>
                        <a:xfrm>
                          <a:off x="0" y="0"/>
                          <a:ext cx="1758950" cy="101981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7D7FAA0" w14:textId="77777777" w:rsidR="00F17889" w:rsidRPr="005E5550" w:rsidRDefault="00F17889" w:rsidP="00F17889">
                            <w:pPr>
                              <w:rPr>
                                <w:rFonts w:hAnsi="Aptos"/>
                                <w:color w:val="800080"/>
                                <w:kern w:val="0"/>
                                <w:szCs w:val="22"/>
                                <w14:ligatures w14:val="none"/>
                              </w:rPr>
                            </w:pPr>
                            <w:r w:rsidRPr="005E5550">
                              <w:rPr>
                                <w:rFonts w:hAnsi="Aptos"/>
                                <w:color w:val="800080"/>
                                <w:szCs w:val="22"/>
                              </w:rPr>
                              <w:t>All states &amp; territories excl. Vic</w:t>
                            </w:r>
                          </w:p>
                        </w:txbxContent>
                      </wps:txbx>
                      <wps:bodyPr vertOverflow="clip" horzOverflow="clip" wrap="square" rtlCol="0" anchor="t"/>
                    </wps:wsp>
                  </a:graphicData>
                </a:graphic>
                <wp14:sizeRelH relativeFrom="margin">
                  <wp14:pctWidth>0</wp14:pctWidth>
                </wp14:sizeRelH>
              </wp:anchor>
            </w:drawing>
          </mc:Choice>
          <mc:Fallback>
            <w:pict>
              <v:shape w14:anchorId="0CFE95DF" id="TextBox 2" o:spid="_x0000_s1027" type="#_x0000_t202" style="position:absolute;margin-left:196.85pt;margin-top:496pt;width:138.5pt;height:80.3pt;z-index:2516583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" filled="f" stroked="f">
                <v:textbox>
                  <w:txbxContent>
                    <w:p w14:paraId="57D7FAA0" w14:textId="77777777" w:rsidR="00F17889" w:rsidRPr="005E5550" w:rsidRDefault="00F17889" w:rsidP="00F17889">
                      <w:pPr>
                        <w:rPr>
                          <w:rFonts w:hAnsi="Aptos"/>
                          <w:color w:val="800080"/>
                          <w:kern w:val="0"/>
                          <w:szCs w:val="22"/>
                          <w14:ligatures w14:val="none"/>
                        </w:rPr>
                      </w:pPr>
                      <w:r w:rsidRPr="005E5550">
                        <w:rPr>
                          <w:rFonts w:hAnsi="Aptos"/>
                          <w:color w:val="800080"/>
                          <w:szCs w:val="22"/>
                        </w:rPr>
                        <w:t>All states &amp; territories excl. Vic</w:t>
                      </w:r>
                    </w:p>
                  </w:txbxContent>
                </v:textbox>
              </v:shape>
            </w:pict>
          </mc:Fallback>
        </mc:AlternateContent>
      </w:r>
      <w:r w:rsidR="0061464F">
        <w:rPr>
          <w:noProof/>
        </w:rPr>
        <mc:AlternateContent>
          <mc:Choice Requires="wps">
            <w:drawing>
              <wp:anchor distT="0" distB="0" distL="114300" distR="114300" simplePos="0" relativeHeight="251658319" behindDoc="0" locked="0" layoutInCell="1" allowOverlap="1" wp14:anchorId="6065EDC6" wp14:editId="599530D1">
                <wp:simplePos x="0" y="0"/>
                <wp:positionH relativeFrom="column">
                  <wp:posOffset>2429800</wp:posOffset>
                </wp:positionH>
                <wp:positionV relativeFrom="paragraph">
                  <wp:posOffset>5020543</wp:posOffset>
                </wp:positionV>
                <wp:extent cx="1174115" cy="325120"/>
                <wp:effectExtent l="0" t="0" r="0" b="0"/>
                <wp:wrapNone/>
                <wp:docPr id="5" name="TextBox 4">
                  <a:extLst xmlns:a="http://schemas.openxmlformats.org/drawingml/2006/main">
                    <a:ext uri="{FF2B5EF4-FFF2-40B4-BE49-F238E27FC236}">
                      <a16:creationId xmlns:a16="http://schemas.microsoft.com/office/drawing/2014/main" id="{81784CCF-01F2-413D-8D75-985B3F5080F8}"/>
                    </a:ext>
                  </a:extLst>
                </wp:docPr>
                <wp:cNvGraphicFramePr/>
                <a:graphic xmlns:a="http://schemas.openxmlformats.org/drawingml/2006/main">
                  <a:graphicData uri="http://schemas.microsoft.com/office/word/2010/wordprocessingShape">
                    <wps:wsp>
                      <wps:cNvSpPr txBox="1"/>
                      <wps:spPr>
                        <a:xfrm>
                          <a:off x="0" y="0"/>
                          <a:ext cx="1174115" cy="32512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9E1D5E8" w14:textId="77777777" w:rsidR="00F17889" w:rsidRPr="005E5550" w:rsidRDefault="00F17889" w:rsidP="00F17889">
                            <w:pPr>
                              <w:rPr>
                                <w:rFonts w:hAnsi="Aptos"/>
                                <w:color w:val="1CADE4"/>
                                <w:kern w:val="0"/>
                                <w:szCs w:val="22"/>
                                <w14:ligatures w14:val="none"/>
                              </w:rPr>
                            </w:pPr>
                            <w:r w:rsidRPr="005E5550">
                              <w:rPr>
                                <w:rFonts w:hAnsi="Aptos"/>
                                <w:color w:val="1CADE4"/>
                                <w:szCs w:val="22"/>
                              </w:rPr>
                              <w:t>Vic</w:t>
                            </w:r>
                          </w:p>
                        </w:txbxContent>
                      </wps:txbx>
                      <wps:bodyPr vertOverflow="clip" horzOverflow="clip" wrap="square" rtlCol="0" anchor="t"/>
                    </wps:wsp>
                  </a:graphicData>
                </a:graphic>
              </wp:anchor>
            </w:drawing>
          </mc:Choice>
          <mc:Fallback>
            <w:pict>
              <v:shape w14:anchorId="6065EDC6" id="TextBox 4" o:spid="_x0000_s1028" type="#_x0000_t202" style="position:absolute;margin-left:191.3pt;margin-top:395.3pt;width:92.45pt;height:25.6pt;z-index:251658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" filled="f" stroked="f">
                <v:textbox>
                  <w:txbxContent>
                    <w:p w14:paraId="29E1D5E8" w14:textId="77777777" w:rsidR="00F17889" w:rsidRPr="005E5550" w:rsidRDefault="00F17889" w:rsidP="00F17889">
                      <w:pPr>
                        <w:rPr>
                          <w:rFonts w:hAnsi="Aptos"/>
                          <w:color w:val="1CADE4"/>
                          <w:kern w:val="0"/>
                          <w:szCs w:val="22"/>
                          <w14:ligatures w14:val="none"/>
                        </w:rPr>
                      </w:pPr>
                      <w:r w:rsidRPr="005E5550">
                        <w:rPr>
                          <w:rFonts w:hAnsi="Aptos"/>
                          <w:color w:val="1CADE4"/>
                          <w:szCs w:val="22"/>
                        </w:rPr>
                        <w:t>Vic</w:t>
                      </w:r>
                    </w:p>
                  </w:txbxContent>
                </v:textbox>
              </v:shape>
            </w:pict>
          </mc:Fallback>
        </mc:AlternateContent>
      </w:r>
      <w:r w:rsidR="00CD3DF9">
        <w:rPr>
          <w:noProof/>
        </w:rPr>
        <mc:AlternateContent>
          <mc:Choice Requires="wps">
            <w:drawing>
              <wp:anchor distT="0" distB="0" distL="114300" distR="114300" simplePos="0" relativeHeight="251658270" behindDoc="0" locked="0" layoutInCell="1" allowOverlap="1" wp14:anchorId="069978E4" wp14:editId="3BD0402C">
                <wp:simplePos x="0" y="0"/>
                <wp:positionH relativeFrom="column">
                  <wp:posOffset>2464331</wp:posOffset>
                </wp:positionH>
                <wp:positionV relativeFrom="paragraph">
                  <wp:posOffset>2291658</wp:posOffset>
                </wp:positionV>
                <wp:extent cx="1950334" cy="596096"/>
                <wp:effectExtent l="0" t="0" r="0" b="0"/>
                <wp:wrapNone/>
                <wp:docPr id="10" name="TextBox 9">
                  <a:extLst xmlns:a="http://schemas.openxmlformats.org/drawingml/2006/main">
                    <a:ext uri="{FF2B5EF4-FFF2-40B4-BE49-F238E27FC236}">
                      <a16:creationId xmlns:a16="http://schemas.microsoft.com/office/drawing/2014/main" id="{80D364F9-6068-50DF-CBBA-393EDA6870A4}"/>
                    </a:ext>
                  </a:extLst>
                </wp:docPr>
                <wp:cNvGraphicFramePr/>
                <a:graphic xmlns:a="http://schemas.openxmlformats.org/drawingml/2006/main">
                  <a:graphicData uri="http://schemas.microsoft.com/office/word/2010/wordprocessingShape">
                    <wps:wsp>
                      <wps:cNvSpPr txBox="1"/>
                      <wps:spPr>
                        <a:xfrm>
                          <a:off x="0" y="0"/>
                          <a:ext cx="1950334" cy="59609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72561FB" w14:textId="29B34C8E" w:rsidR="00C402F6" w:rsidRPr="0080618C" w:rsidRDefault="00C402F6" w:rsidP="00C402F6">
                            <w:pPr>
                              <w:rPr>
                                <w:rFonts w:hAnsi="Aptos"/>
                                <w:color w:val="800080"/>
                                <w:kern w:val="0"/>
                                <w:szCs w:val="22"/>
                                <w14:ligatures w14:val="none"/>
                              </w:rPr>
                            </w:pPr>
                            <w:r w:rsidRPr="0080618C">
                              <w:rPr>
                                <w:rFonts w:hAnsi="Aptos"/>
                                <w:color w:val="800080"/>
                                <w:szCs w:val="22"/>
                              </w:rPr>
                              <w:t xml:space="preserve">All states &amp; territories </w:t>
                            </w:r>
                            <w:r w:rsidR="0080618C">
                              <w:rPr>
                                <w:rFonts w:hAnsi="Aptos"/>
                                <w:color w:val="800080"/>
                                <w:szCs w:val="22"/>
                              </w:rPr>
                              <w:br/>
                            </w:r>
                            <w:r w:rsidRPr="0080618C">
                              <w:rPr>
                                <w:rFonts w:hAnsi="Aptos"/>
                                <w:color w:val="800080"/>
                                <w:szCs w:val="22"/>
                              </w:rPr>
                              <w:t>excl. Vic</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69978E4" id="TextBox 9" o:spid="_x0000_s1029" type="#_x0000_t202" style="position:absolute;margin-left:194.05pt;margin-top:180.45pt;width:153.55pt;height:46.9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" filled="f" stroked="f">
                <v:textbox>
                  <w:txbxContent>
                    <w:p w14:paraId="172561FB" w14:textId="29B34C8E" w:rsidR="00C402F6" w:rsidRPr="0080618C" w:rsidRDefault="00C402F6" w:rsidP="00C402F6">
                      <w:pPr>
                        <w:rPr>
                          <w:rFonts w:hAnsi="Aptos"/>
                          <w:color w:val="800080"/>
                          <w:kern w:val="0"/>
                          <w:szCs w:val="22"/>
                          <w14:ligatures w14:val="none"/>
                        </w:rPr>
                      </w:pPr>
                      <w:r w:rsidRPr="0080618C">
                        <w:rPr>
                          <w:rFonts w:hAnsi="Aptos"/>
                          <w:color w:val="800080"/>
                          <w:szCs w:val="22"/>
                        </w:rPr>
                        <w:t xml:space="preserve">All states &amp; territories </w:t>
                      </w:r>
                      <w:r w:rsidR="0080618C">
                        <w:rPr>
                          <w:rFonts w:hAnsi="Aptos"/>
                          <w:color w:val="800080"/>
                          <w:szCs w:val="22"/>
                        </w:rPr>
                        <w:br/>
                      </w:r>
                      <w:r w:rsidRPr="0080618C">
                        <w:rPr>
                          <w:rFonts w:hAnsi="Aptos"/>
                          <w:color w:val="800080"/>
                          <w:szCs w:val="22"/>
                        </w:rPr>
                        <w:t>excl. Vic</w:t>
                      </w:r>
                    </w:p>
                  </w:txbxContent>
                </v:textbox>
              </v:shape>
            </w:pict>
          </mc:Fallback>
        </mc:AlternateContent>
      </w:r>
      <w:r w:rsidR="00C402F6">
        <w:rPr>
          <w:noProof/>
        </w:rPr>
        <w:drawing>
          <wp:inline distT="0" distB="0" distL="0" distR="0" wp14:anchorId="07DA5397" wp14:editId="321C37A6">
            <wp:extent cx="4150800" cy="3690000"/>
            <wp:effectExtent l="0" t="0" r="2540" b="5715"/>
            <wp:docPr id="329428291" name="Chart 1" descr="A chart that display trends in annual government operating expenditure by jurisdiction between 2003-04 and 2023-24. The chart includes two lines. The first line shows annual Victorian General Government operating expenditure as a share of Gross State Product, which increases from around 12 per cent to around 16 per cent over the period. The second line shows the combined annual general government operating expenditure of all states and territories excluding Victoria as a share of their combined Gross State Product which fluctuates around 14 per cent over the period.">
              <a:extLst xmlns:a="http://schemas.openxmlformats.org/drawingml/2006/main">
                <a:ext uri="{FF2B5EF4-FFF2-40B4-BE49-F238E27FC236}">
                  <a16:creationId xmlns:a16="http://schemas.microsoft.com/office/drawing/2014/main" id="{11C5AEBC-9E53-01A8-89F2-C9282B2EADDD}"/>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6F717BA" w14:textId="49AF99BC" w:rsidR="00AF74F5" w:rsidRPr="00051847" w:rsidRDefault="00051847" w:rsidP="00852939">
      <w:pPr>
        <w:pStyle w:val="Caption"/>
        <w:spacing w:before="360"/>
      </w:pPr>
      <w:r w:rsidRPr="00B01D80">
        <w:t>Source</w:t>
      </w:r>
      <w:r w:rsidRPr="001B2C33">
        <w:t xml:space="preserve">: </w:t>
      </w:r>
      <w:r>
        <w:t xml:space="preserve">ABS, 2025/26 </w:t>
      </w:r>
      <w:r w:rsidRPr="001B2C33">
        <w:t xml:space="preserve">Victorian Budget, </w:t>
      </w:r>
      <w:r>
        <w:t>and various releases of state &amp; territory budget papers</w:t>
      </w:r>
    </w:p>
    <w:p w14:paraId="714802A2" w14:textId="77777777" w:rsidR="00BB084C" w:rsidRPr="00AF74F5" w:rsidRDefault="00BB084C" w:rsidP="00AF74F5"/>
    <w:p w14:paraId="3C125737" w14:textId="77777777" w:rsidR="004A3F18" w:rsidRDefault="004A3F18" w:rsidP="00434E81">
      <w:pPr>
        <w:sectPr w:rsidR="004A3F18" w:rsidSect="00AE6104">
          <w:type w:val="continuous"/>
          <w:pgSz w:w="11906" w:h="16838"/>
          <w:pgMar w:top="1440" w:right="1440" w:bottom="1440" w:left="1440" w:header="708" w:footer="708" w:gutter="0"/>
          <w:cols w:space="708"/>
          <w:docGrid w:linePitch="360"/>
          <w15:footnoteColumns w:val="1"/>
        </w:sectPr>
      </w:pPr>
    </w:p>
    <w:p w14:paraId="284A7CFC" w14:textId="32AFBF24" w:rsidR="00434E81" w:rsidRPr="00EC6D60" w:rsidRDefault="00434E81" w:rsidP="00434E81">
      <w:r w:rsidRPr="00D0515B" w:rsidDel="009F36DB">
        <w:lastRenderedPageBreak/>
        <w:t>Expenditure continues to grow</w:t>
      </w:r>
      <w:r w:rsidDel="009F36DB">
        <w:t xml:space="preserve">: </w:t>
      </w:r>
      <w:r w:rsidRPr="00B31F50" w:rsidDel="009F36DB">
        <w:t xml:space="preserve">the 2025/26 Budget included new </w:t>
      </w:r>
      <w:r w:rsidDel="009F36DB">
        <w:t xml:space="preserve">funding for </w:t>
      </w:r>
      <w:r w:rsidRPr="00B31F50" w:rsidDel="009F36DB">
        <w:t>output initiatives worth $22.2</w:t>
      </w:r>
      <w:r w:rsidDel="009F36DB">
        <w:t> </w:t>
      </w:r>
      <w:r w:rsidRPr="00B31F50" w:rsidDel="009F36DB">
        <w:t xml:space="preserve">billion over 5 years. Even accounting for inflation and population growth, this is the largest outlay of new funds since the end of the pandemic. This spending coincided with the largest </w:t>
      </w:r>
      <w:r w:rsidDel="009F36DB">
        <w:t xml:space="preserve">government </w:t>
      </w:r>
      <w:r w:rsidRPr="00B31F50" w:rsidDel="009F36DB">
        <w:t>saving</w:t>
      </w:r>
      <w:r w:rsidDel="009F36DB">
        <w:t>s</w:t>
      </w:r>
      <w:r w:rsidRPr="00B31F50" w:rsidDel="009F36DB">
        <w:t xml:space="preserve"> program in over 10 years and a large above forecast increase in </w:t>
      </w:r>
      <w:r w:rsidR="00511F4F" w:rsidDel="009F36DB">
        <w:t xml:space="preserve">GST </w:t>
      </w:r>
      <w:r w:rsidRPr="00B31F50" w:rsidDel="009F36DB">
        <w:t>revenue.</w:t>
      </w:r>
      <w:r w:rsidDel="009F36DB">
        <w:t xml:space="preserve"> </w:t>
      </w:r>
      <w:r w:rsidR="00540CC1" w:rsidRPr="00064178" w:rsidDel="009F36DB">
        <w:t>In Chapter 4</w:t>
      </w:r>
      <w:r w:rsidR="00F40ACB" w:rsidRPr="00064178" w:rsidDel="009F36DB">
        <w:t>,</w:t>
      </w:r>
      <w:r w:rsidR="00540CC1" w:rsidRPr="00064178" w:rsidDel="009F36DB">
        <w:t xml:space="preserve"> it is made clear that this increase </w:t>
      </w:r>
      <w:r w:rsidR="00763E69" w:rsidDel="009F36DB">
        <w:t>in GST</w:t>
      </w:r>
      <w:r w:rsidR="00540CC1" w:rsidRPr="00064178" w:rsidDel="009F36DB">
        <w:t xml:space="preserve"> </w:t>
      </w:r>
      <w:r w:rsidR="004D0CDB">
        <w:t xml:space="preserve">occurred </w:t>
      </w:r>
      <w:proofErr w:type="gramStart"/>
      <w:r w:rsidR="004D0CDB">
        <w:t>as a result of</w:t>
      </w:r>
      <w:proofErr w:type="gramEnd"/>
      <w:r w:rsidR="0084178B">
        <w:t xml:space="preserve"> the independent advice of the C</w:t>
      </w:r>
      <w:r w:rsidR="004D0CDB">
        <w:t>ommonwealth</w:t>
      </w:r>
      <w:r w:rsidR="002C74DC">
        <w:t xml:space="preserve"> </w:t>
      </w:r>
      <w:r w:rsidR="0084178B">
        <w:t>G</w:t>
      </w:r>
      <w:r w:rsidR="002C74DC">
        <w:t xml:space="preserve">rants </w:t>
      </w:r>
      <w:r w:rsidR="0084178B">
        <w:t>C</w:t>
      </w:r>
      <w:r w:rsidR="002C74DC">
        <w:t>ommission (CGC)</w:t>
      </w:r>
      <w:r w:rsidR="00540CC1" w:rsidRPr="00064178">
        <w:t xml:space="preserve"> (see Box 4.1).</w:t>
      </w:r>
    </w:p>
    <w:p w14:paraId="4CA9A723" w14:textId="1B6662F9" w:rsidR="00434E81" w:rsidRDefault="00434E81" w:rsidP="00434E81">
      <w:r>
        <w:t>Government Infrastructure Investment (GII) in Victoria is also at historically high levels</w:t>
      </w:r>
      <w:r w:rsidRPr="00E97808">
        <w:t>.</w:t>
      </w:r>
      <w:r>
        <w:t xml:space="preserve"> While the </w:t>
      </w:r>
      <w:r w:rsidR="000F4191" w:rsidRPr="00064178">
        <w:t>government</w:t>
      </w:r>
      <w:r w:rsidR="000F4191">
        <w:t xml:space="preserve"> </w:t>
      </w:r>
      <w:r>
        <w:t>capital program was not in scope for the Review, it is important to mention because it directly affects operating budget capacity. I</w:t>
      </w:r>
      <w:r w:rsidRPr="00E97808">
        <w:t xml:space="preserve">n addition to the </w:t>
      </w:r>
      <w:r>
        <w:t>interest expense</w:t>
      </w:r>
      <w:r w:rsidRPr="00E97808">
        <w:t xml:space="preserve">, </w:t>
      </w:r>
      <w:r w:rsidRPr="00D0515B">
        <w:t>infrastructure</w:t>
      </w:r>
      <w:r w:rsidRPr="00E97808">
        <w:t xml:space="preserve"> investment comes with ongoing expenses</w:t>
      </w:r>
      <w:r>
        <w:t xml:space="preserve">, </w:t>
      </w:r>
      <w:r w:rsidRPr="00E97808">
        <w:t>such as operational costs, maintenance and depreciation</w:t>
      </w:r>
      <w:r>
        <w:t>. The Review notes that GII</w:t>
      </w:r>
      <w:r w:rsidRPr="00327A55">
        <w:t xml:space="preserve"> is forecast to decline over the forward estimates</w:t>
      </w:r>
      <w:r>
        <w:t>.</w:t>
      </w:r>
      <w:r w:rsidRPr="00327A55">
        <w:t> </w:t>
      </w:r>
      <w:r>
        <w:t>This</w:t>
      </w:r>
      <w:r w:rsidR="00396206">
        <w:t xml:space="preserve"> </w:t>
      </w:r>
      <w:r w:rsidR="00396206" w:rsidRPr="009708A4">
        <w:t>trend</w:t>
      </w:r>
      <w:r>
        <w:t xml:space="preserve"> is welcomed and needs to continue.</w:t>
      </w:r>
    </w:p>
    <w:p w14:paraId="237DD085" w14:textId="77777777" w:rsidR="00434E81" w:rsidRPr="00D0515B" w:rsidRDefault="00434E81" w:rsidP="00434E81">
      <w:r w:rsidRPr="00E41FDB">
        <w:t>The Review has identified actions on the operating expenditure side of the budget that will assist the government over the medium to long term.</w:t>
      </w:r>
    </w:p>
    <w:p w14:paraId="2CB539E3" w14:textId="77777777" w:rsidR="00434E81" w:rsidRPr="00C05CF0" w:rsidRDefault="00434E81" w:rsidP="004D556B">
      <w:pPr>
        <w:pStyle w:val="Heading3"/>
      </w:pPr>
      <w:r w:rsidRPr="00DD344E">
        <w:t xml:space="preserve">Interest </w:t>
      </w:r>
      <w:r w:rsidRPr="00C05CF0">
        <w:t>expense – an operating expense</w:t>
      </w:r>
    </w:p>
    <w:p w14:paraId="3F7A7C73" w14:textId="08480068" w:rsidR="00434E81" w:rsidRPr="00C05CF0" w:rsidRDefault="00434E81" w:rsidP="00434E81">
      <w:r w:rsidRPr="00C05CF0">
        <w:t xml:space="preserve">Debt plays an important role in allowing governments to make major investments for the long term, and assets provide benefits </w:t>
      </w:r>
      <w:r w:rsidRPr="00C05CF0">
        <w:t xml:space="preserve">for successive generations. Melbourne’s City </w:t>
      </w:r>
      <w:r w:rsidRPr="004B5E56">
        <w:t>Loop, which opened in 1981, is a good example of this. Debt is an appropriate vehicle to fund in</w:t>
      </w:r>
      <w:r w:rsidRPr="00C05CF0">
        <w:t>frastructure investment, with generations who benefit from these assets contributing to financing and maintaining them. However, there is a limit</w:t>
      </w:r>
      <w:r w:rsidR="00734F55">
        <w:t> </w:t>
      </w:r>
      <w:r w:rsidRPr="00C05CF0">
        <w:t>when debt levels and associated interest expense constrain ongoing budget</w:t>
      </w:r>
      <w:r w:rsidR="00734F55">
        <w:t> </w:t>
      </w:r>
      <w:r w:rsidRPr="00C05CF0">
        <w:t>expenditure. </w:t>
      </w:r>
    </w:p>
    <w:p w14:paraId="59053073" w14:textId="6EAED4E8" w:rsidR="00434E81" w:rsidRDefault="00434E81" w:rsidP="00434E81">
      <w:r w:rsidRPr="00C05CF0">
        <w:t>The payment of interest on debt is now creating inflexibility in the available capacity of the state’s budget and will continue to impact output capacity over the medium term</w:t>
      </w:r>
      <w:r w:rsidRPr="00E53599">
        <w:t>.</w:t>
      </w:r>
      <w:r>
        <w:t xml:space="preserve"> </w:t>
      </w:r>
      <w:r>
        <w:rPr>
          <w:rFonts w:eastAsia="Segoe UI" w:cs="Segoe UI"/>
        </w:rPr>
        <w:t xml:space="preserve">Net debt </w:t>
      </w:r>
      <w:r w:rsidRPr="00476A29">
        <w:rPr>
          <w:rFonts w:eastAsia="Segoe UI" w:cs="Segoe UI"/>
        </w:rPr>
        <w:t>has grown from $21 billion in 2013</w:t>
      </w:r>
      <w:r>
        <w:t>–</w:t>
      </w:r>
      <w:r w:rsidRPr="00476A29">
        <w:rPr>
          <w:rFonts w:eastAsia="Segoe UI" w:cs="Segoe UI"/>
        </w:rPr>
        <w:t>14 to $133 billion in 2023</w:t>
      </w:r>
      <w:r>
        <w:t>–</w:t>
      </w:r>
      <w:r w:rsidRPr="00476A29">
        <w:rPr>
          <w:rFonts w:eastAsia="Segoe UI" w:cs="Segoe UI"/>
        </w:rPr>
        <w:t>24 (529</w:t>
      </w:r>
      <w:r>
        <w:rPr>
          <w:rFonts w:eastAsia="Segoe UI" w:cs="Segoe UI"/>
        </w:rPr>
        <w:t> per</w:t>
      </w:r>
      <w:r w:rsidR="00DD1E9A">
        <w:rPr>
          <w:rFonts w:eastAsia="Segoe UI" w:cs="Segoe UI"/>
        </w:rPr>
        <w:t> </w:t>
      </w:r>
      <w:r>
        <w:rPr>
          <w:rFonts w:eastAsia="Segoe UI" w:cs="Segoe UI"/>
        </w:rPr>
        <w:t>cent growth</w:t>
      </w:r>
      <w:r w:rsidRPr="00476A29">
        <w:rPr>
          <w:rFonts w:eastAsia="Segoe UI" w:cs="Segoe UI"/>
        </w:rPr>
        <w:t>). Net debt is set to reach $194</w:t>
      </w:r>
      <w:r w:rsidR="00E52EFB">
        <w:rPr>
          <w:rFonts w:eastAsia="Segoe UI" w:cs="Segoe UI"/>
        </w:rPr>
        <w:t> </w:t>
      </w:r>
      <w:r w:rsidRPr="00476A29">
        <w:rPr>
          <w:rFonts w:eastAsia="Segoe UI" w:cs="Segoe UI"/>
        </w:rPr>
        <w:t>billion by 2028</w:t>
      </w:r>
      <w:r>
        <w:t>–</w:t>
      </w:r>
      <w:r w:rsidRPr="00476A29">
        <w:rPr>
          <w:rFonts w:eastAsia="Segoe UI" w:cs="Segoe UI"/>
        </w:rPr>
        <w:t>29</w:t>
      </w:r>
      <w:r>
        <w:rPr>
          <w:rFonts w:eastAsia="Segoe UI" w:cs="Segoe UI"/>
        </w:rPr>
        <w:t>.</w:t>
      </w:r>
      <w:r w:rsidRPr="00476A29">
        <w:t xml:space="preserve"> </w:t>
      </w:r>
    </w:p>
    <w:p w14:paraId="3720A277" w14:textId="70BC895F" w:rsidR="00434E81" w:rsidRPr="00C05CF0" w:rsidRDefault="00434E81" w:rsidP="00434E81">
      <w:r w:rsidRPr="00327A55">
        <w:t>Net debt as a share of GSP is forecast to peak at 25.2</w:t>
      </w:r>
      <w:r>
        <w:t xml:space="preserve"> per cent</w:t>
      </w:r>
      <w:r w:rsidRPr="00327A55">
        <w:t xml:space="preserve"> in 2026</w:t>
      </w:r>
      <w:r>
        <w:t>–</w:t>
      </w:r>
      <w:r w:rsidRPr="00327A55">
        <w:t>27 before declining modestly</w:t>
      </w:r>
      <w:r>
        <w:t xml:space="preserve"> (Figure 2.3)</w:t>
      </w:r>
      <w:r w:rsidRPr="00327A55">
        <w:t xml:space="preserve">. The decline in this ratio </w:t>
      </w:r>
      <w:r>
        <w:t xml:space="preserve">over the forward estimates </w:t>
      </w:r>
      <w:r w:rsidRPr="00327A55">
        <w:t xml:space="preserve">is driven by projected strong GSP </w:t>
      </w:r>
      <w:r w:rsidRPr="00F757C2">
        <w:t>growth, with</w:t>
      </w:r>
      <w:r w:rsidR="00627618">
        <w:t> </w:t>
      </w:r>
      <w:r w:rsidRPr="00F757C2">
        <w:t>net debt increasing further in nominal</w:t>
      </w:r>
      <w:r w:rsidR="00627618">
        <w:t> </w:t>
      </w:r>
      <w:r w:rsidRPr="00F757C2">
        <w:t>terms, albeit more slowly than in</w:t>
      </w:r>
      <w:r w:rsidR="00627618">
        <w:t> </w:t>
      </w:r>
      <w:r w:rsidRPr="00F757C2">
        <w:t>recent</w:t>
      </w:r>
      <w:r w:rsidR="00627618">
        <w:t> </w:t>
      </w:r>
      <w:r w:rsidRPr="00F757C2">
        <w:t>years</w:t>
      </w:r>
      <w:r w:rsidRPr="003C72AC">
        <w:t xml:space="preserve">. </w:t>
      </w:r>
    </w:p>
    <w:p w14:paraId="7A057E47" w14:textId="1E225392" w:rsidR="00434E81" w:rsidRPr="00E41FDB" w:rsidRDefault="00434E81" w:rsidP="00434E81">
      <w:proofErr w:type="gramStart"/>
      <w:r w:rsidRPr="00C05CF0">
        <w:t>With regard to</w:t>
      </w:r>
      <w:proofErr w:type="gramEnd"/>
      <w:r w:rsidRPr="00C05CF0">
        <w:t xml:space="preserve"> </w:t>
      </w:r>
      <w:r>
        <w:t xml:space="preserve">the </w:t>
      </w:r>
      <w:r w:rsidRPr="00C05CF0">
        <w:t>operating side of the budget, Victoria’s interest expense increased from $2.1</w:t>
      </w:r>
      <w:r>
        <w:t> </w:t>
      </w:r>
      <w:r w:rsidRPr="00C05CF0">
        <w:t>billion in 2013</w:t>
      </w:r>
      <w:bookmarkStart w:id="18" w:name="_Hlk200611899"/>
      <w:r w:rsidRPr="00C05CF0">
        <w:t>–</w:t>
      </w:r>
      <w:bookmarkEnd w:id="18"/>
      <w:r w:rsidRPr="00C05CF0">
        <w:t>14 to $5.6 billion in 2023–24 – an increase of 164</w:t>
      </w:r>
      <w:r w:rsidR="00CB5703">
        <w:t> </w:t>
      </w:r>
      <w:r w:rsidRPr="00C05CF0">
        <w:t>per cent in nominal terms (102</w:t>
      </w:r>
      <w:r>
        <w:t> </w:t>
      </w:r>
      <w:r w:rsidRPr="00C05CF0">
        <w:t>per cent in real terms). Interest</w:t>
      </w:r>
      <w:r w:rsidRPr="006B70CB">
        <w:t xml:space="preserve"> expenditure is forecast to reach $7.6 billion in 2025–26. </w:t>
      </w:r>
      <w:r w:rsidRPr="00141AB5">
        <w:t>By</w:t>
      </w:r>
      <w:r w:rsidR="0097335F">
        <w:t> </w:t>
      </w:r>
      <w:r w:rsidRPr="00141AB5">
        <w:t>2028–29, interest expense is expected to reach $10.6 billion, accounting for around 9.2 per cent of total operating expenditure (</w:t>
      </w:r>
      <w:r>
        <w:t xml:space="preserve">also </w:t>
      </w:r>
      <w:r w:rsidRPr="00141AB5">
        <w:t xml:space="preserve">Figure </w:t>
      </w:r>
      <w:r>
        <w:t>2.</w:t>
      </w:r>
      <w:r w:rsidRPr="00141AB5">
        <w:t>3</w:t>
      </w:r>
      <w:r w:rsidRPr="00E41FDB">
        <w:t xml:space="preserve">). </w:t>
      </w:r>
    </w:p>
    <w:p w14:paraId="26A8BEE3" w14:textId="77777777" w:rsidR="004A3F18" w:rsidRDefault="004A3F18">
      <w:pPr>
        <w:sectPr w:rsidR="004A3F18" w:rsidSect="004A3F18">
          <w:type w:val="continuous"/>
          <w:pgSz w:w="11906" w:h="16838"/>
          <w:pgMar w:top="1440" w:right="1440" w:bottom="1440" w:left="1440" w:header="708" w:footer="708" w:gutter="0"/>
          <w:cols w:num="2" w:space="708"/>
          <w:docGrid w:linePitch="360"/>
          <w15:footnoteColumns w:val="1"/>
        </w:sectPr>
      </w:pPr>
      <w:bookmarkStart w:id="19" w:name="_Ref200008321"/>
    </w:p>
    <w:p w14:paraId="6666B6A0" w14:textId="77777777" w:rsidR="00176263" w:rsidRDefault="00176263">
      <w:pPr>
        <w:rPr>
          <w:i/>
          <w:iCs/>
          <w:color w:val="0E2841" w:themeColor="text2"/>
          <w:sz w:val="26"/>
          <w:szCs w:val="18"/>
        </w:rPr>
      </w:pPr>
      <w:r>
        <w:br w:type="page"/>
      </w:r>
    </w:p>
    <w:p w14:paraId="3FCA5BD6" w14:textId="74B817E8" w:rsidR="00434E81" w:rsidRPr="00947D1F" w:rsidRDefault="00CD618F" w:rsidP="002D3DBB">
      <w:pPr>
        <w:pStyle w:val="Figureheading"/>
      </w:pPr>
      <w:r>
        <w:rPr>
          <w:noProof/>
        </w:rPr>
        <w:lastRenderedPageBreak/>
        <w:drawing>
          <wp:anchor distT="0" distB="0" distL="114300" distR="114300" simplePos="0" relativeHeight="251658307" behindDoc="0" locked="0" layoutInCell="1" allowOverlap="1" wp14:anchorId="02D5BA09" wp14:editId="1A3D6CD6">
            <wp:simplePos x="0" y="0"/>
            <wp:positionH relativeFrom="margin">
              <wp:posOffset>105410</wp:posOffset>
            </wp:positionH>
            <wp:positionV relativeFrom="paragraph">
              <wp:posOffset>607695</wp:posOffset>
            </wp:positionV>
            <wp:extent cx="4142740" cy="3354705"/>
            <wp:effectExtent l="0" t="0" r="0" b="0"/>
            <wp:wrapTopAndBottom/>
            <wp:docPr id="1757462368" name="Chart 1" descr="A chart that display trends in Victorian general government debt and the associated interest expense over the period 2003-04 to 2028-29. The chart includes actual data and forecasts from the 2025/26 Victorian State Budget. The chart includes bars that display the annual nominal value of Victorian general government net debt, expressed as a share of Victorian Gross State product. The value of these bars increases from around 1 per cent to around 25 per cent over the period. This chart also includes a line that shows the annual nominal value of Victorian general government net debt measured in dollars per capita. This line increases from around $300 to $25,000 dollars over the period. ">
              <a:extLst xmlns:a="http://schemas.openxmlformats.org/drawingml/2006/main">
                <a:ext uri="{FF2B5EF4-FFF2-40B4-BE49-F238E27FC236}">
                  <a16:creationId xmlns:a16="http://schemas.microsoft.com/office/drawing/2014/main" id="{F1EFE8FC-C530-7D2A-B36C-8AE0A495C165}"/>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72" behindDoc="1" locked="0" layoutInCell="1" allowOverlap="1" wp14:anchorId="7140DF62" wp14:editId="6876C891">
                <wp:simplePos x="0" y="0"/>
                <wp:positionH relativeFrom="column">
                  <wp:posOffset>3207385</wp:posOffset>
                </wp:positionH>
                <wp:positionV relativeFrom="paragraph">
                  <wp:posOffset>798879</wp:posOffset>
                </wp:positionV>
                <wp:extent cx="495935" cy="2887345"/>
                <wp:effectExtent l="0" t="0" r="0" b="8255"/>
                <wp:wrapTopAndBottom/>
                <wp:docPr id="8" name="Rectangle 7">
                  <a:extLst xmlns:a="http://schemas.openxmlformats.org/drawingml/2006/main">
                    <a:ext uri="{FF2B5EF4-FFF2-40B4-BE49-F238E27FC236}">
                      <a16:creationId xmlns:a16="http://schemas.microsoft.com/office/drawing/2014/main" id="{14323A97-1123-4AB6-80AB-B2A5CE83F325}"/>
                    </a:ext>
                  </a:extLst>
                </wp:docPr>
                <wp:cNvGraphicFramePr/>
                <a:graphic xmlns:a="http://schemas.openxmlformats.org/drawingml/2006/main">
                  <a:graphicData uri="http://schemas.microsoft.com/office/word/2010/wordprocessingShape">
                    <wps:wsp>
                      <wps:cNvSpPr/>
                      <wps:spPr>
                        <a:xfrm>
                          <a:off x="0" y="0"/>
                          <a:ext cx="495935" cy="2887345"/>
                        </a:xfrm>
                        <a:prstGeom prst="rect">
                          <a:avLst/>
                        </a:prstGeom>
                        <a:solidFill>
                          <a:srgbClr val="BFBFBF"/>
                        </a:solidFill>
                        <a:ln>
                          <a:noFill/>
                        </a:ln>
                      </wps:spPr>
                      <wps:style>
                        <a:lnRef idx="2">
                          <a:schemeClr val="accent1">
                            <a:shade val="15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98A9092" id="Rectangle 7" o:spid="_x0000_s1026" style="position:absolute;margin-left:252.55pt;margin-top:62.9pt;width:39.05pt;height:227.35pt;z-index:-251658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" fillcolor="#bfbfbf" stroked="f" strokeweight="1pt">
                <w10:wrap type="topAndBottom"/>
              </v:rect>
            </w:pict>
          </mc:Fallback>
        </mc:AlternateContent>
      </w:r>
      <w:r w:rsidR="00E926F3">
        <w:rPr>
          <w:noProof/>
        </w:rPr>
        <mc:AlternateContent>
          <mc:Choice Requires="wps">
            <w:drawing>
              <wp:anchor distT="0" distB="0" distL="114300" distR="114300" simplePos="0" relativeHeight="251658275" behindDoc="0" locked="0" layoutInCell="1" allowOverlap="1" wp14:anchorId="5974B3FC" wp14:editId="723D4A9F">
                <wp:simplePos x="0" y="0"/>
                <wp:positionH relativeFrom="column">
                  <wp:posOffset>3159760</wp:posOffset>
                </wp:positionH>
                <wp:positionV relativeFrom="paragraph">
                  <wp:posOffset>769620</wp:posOffset>
                </wp:positionV>
                <wp:extent cx="899795" cy="318770"/>
                <wp:effectExtent l="0" t="0" r="0" b="0"/>
                <wp:wrapTopAndBottom/>
                <wp:docPr id="534782423" name="TextBox 1"/>
                <wp:cNvGraphicFramePr/>
                <a:graphic xmlns:a="http://schemas.openxmlformats.org/drawingml/2006/main">
                  <a:graphicData uri="http://schemas.microsoft.com/office/word/2010/wordprocessingShape">
                    <wps:wsp>
                      <wps:cNvSpPr txBox="1"/>
                      <wps:spPr>
                        <a:xfrm>
                          <a:off x="0" y="0"/>
                          <a:ext cx="899795" cy="318770"/>
                        </a:xfrm>
                        <a:prstGeom prst="rect">
                          <a:avLst/>
                        </a:prstGeom>
                      </wps:spPr>
                      <wps:txbx>
                        <w:txbxContent>
                          <w:p w14:paraId="487B5DD3" w14:textId="77777777" w:rsidR="00B960D0" w:rsidRPr="00B926B1" w:rsidRDefault="00B960D0" w:rsidP="00B960D0">
                            <w:pPr>
                              <w:rPr>
                                <w:rFonts w:ascii="Aptos" w:hAnsi="Aptos"/>
                                <w:kern w:val="24"/>
                                <w:szCs w:val="22"/>
                                <w14:ligatures w14:val="none"/>
                              </w:rPr>
                            </w:pPr>
                            <w:r w:rsidRPr="00B926B1">
                              <w:rPr>
                                <w:rFonts w:ascii="Aptos" w:hAnsi="Aptos"/>
                                <w:kern w:val="24"/>
                                <w:szCs w:val="22"/>
                              </w:rPr>
                              <w:t>B&amp;FE</w:t>
                            </w:r>
                          </w:p>
                        </w:txbxContent>
                      </wps:txbx>
                      <wps:bodyPr wrap="square" rtlCol="0"/>
                    </wps:wsp>
                  </a:graphicData>
                </a:graphic>
              </wp:anchor>
            </w:drawing>
          </mc:Choice>
          <mc:Fallback>
            <w:pict>
              <v:shape w14:anchorId="5974B3FC" id="TextBox 1" o:spid="_x0000_s1030" type="#_x0000_t202" style="position:absolute;margin-left:248.8pt;margin-top:60.6pt;width:70.85pt;height:25.1pt;z-index:251658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" filled="f" stroked="f">
                <v:textbox>
                  <w:txbxContent>
                    <w:p w14:paraId="487B5DD3" w14:textId="77777777" w:rsidR="00B960D0" w:rsidRPr="00B926B1" w:rsidRDefault="00B960D0" w:rsidP="00B960D0">
                      <w:pPr>
                        <w:rPr>
                          <w:rFonts w:ascii="Aptos" w:hAnsi="Aptos"/>
                          <w:kern w:val="24"/>
                          <w:szCs w:val="22"/>
                          <w14:ligatures w14:val="none"/>
                        </w:rPr>
                      </w:pPr>
                      <w:r w:rsidRPr="00B926B1">
                        <w:rPr>
                          <w:rFonts w:ascii="Aptos" w:hAnsi="Aptos"/>
                          <w:kern w:val="24"/>
                          <w:szCs w:val="22"/>
                        </w:rPr>
                        <w:t>B&amp;FE</w:t>
                      </w:r>
                    </w:p>
                  </w:txbxContent>
                </v:textbox>
                <w10:wrap type="topAndBottom"/>
              </v:shape>
            </w:pict>
          </mc:Fallback>
        </mc:AlternateContent>
      </w:r>
      <w:r w:rsidR="006E0743">
        <w:rPr>
          <w:noProof/>
        </w:rPr>
        <mc:AlternateContent>
          <mc:Choice Requires="wps">
            <w:drawing>
              <wp:anchor distT="0" distB="0" distL="114300" distR="114300" simplePos="0" relativeHeight="251658273" behindDoc="0" locked="0" layoutInCell="1" allowOverlap="1" wp14:anchorId="1DE8FE77" wp14:editId="5FDA5836">
                <wp:simplePos x="0" y="0"/>
                <wp:positionH relativeFrom="margin">
                  <wp:posOffset>59578</wp:posOffset>
                </wp:positionH>
                <wp:positionV relativeFrom="paragraph">
                  <wp:posOffset>323287</wp:posOffset>
                </wp:positionV>
                <wp:extent cx="1804035" cy="338455"/>
                <wp:effectExtent l="0" t="0" r="0" b="0"/>
                <wp:wrapTopAndBottom/>
                <wp:docPr id="4" name="TextBox 5">
                  <a:extLst xmlns:a="http://schemas.openxmlformats.org/drawingml/2006/main">
                    <a:ext uri="{FF2B5EF4-FFF2-40B4-BE49-F238E27FC236}">
                      <a16:creationId xmlns:a16="http://schemas.microsoft.com/office/drawing/2014/main" id="{FCFDAC26-8D21-4C70-94F8-300074E21FD0}"/>
                    </a:ext>
                  </a:extLst>
                </wp:docPr>
                <wp:cNvGraphicFramePr/>
                <a:graphic xmlns:a="http://schemas.openxmlformats.org/drawingml/2006/main">
                  <a:graphicData uri="http://schemas.microsoft.com/office/word/2010/wordprocessingShape">
                    <wps:wsp>
                      <wps:cNvSpPr txBox="1"/>
                      <wps:spPr>
                        <a:xfrm>
                          <a:off x="0" y="0"/>
                          <a:ext cx="1804035" cy="3384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56DFB7E" w14:textId="77777777" w:rsidR="00B960D0" w:rsidRPr="002C1570" w:rsidRDefault="00B960D0" w:rsidP="00B960D0">
                            <w:pPr>
                              <w:rPr>
                                <w:rFonts w:ascii="Aptos" w:hAnsi="Aptos"/>
                                <w:color w:val="000000"/>
                                <w:kern w:val="0"/>
                                <w:szCs w:val="22"/>
                                <w14:ligatures w14:val="none"/>
                              </w:rPr>
                            </w:pPr>
                            <w:r w:rsidRPr="002C1570">
                              <w:rPr>
                                <w:rFonts w:ascii="Aptos" w:hAnsi="Aptos"/>
                                <w:color w:val="000000"/>
                                <w:szCs w:val="22"/>
                              </w:rPr>
                              <w:t>Per cent</w:t>
                            </w:r>
                          </w:p>
                        </w:txbxContent>
                      </wps:txbx>
                      <wps:bodyPr vertOverflow="clip" horzOverflow="clip" wrap="none" rtlCol="0" anchor="t">
                        <a:noAutofit/>
                      </wps:bodyPr>
                    </wps:wsp>
                  </a:graphicData>
                </a:graphic>
                <wp14:sizeRelV relativeFrom="margin">
                  <wp14:pctHeight>0</wp14:pctHeight>
                </wp14:sizeRelV>
              </wp:anchor>
            </w:drawing>
          </mc:Choice>
          <mc:Fallback>
            <w:pict>
              <v:shape w14:anchorId="1DE8FE77" id="TextBox 5" o:spid="_x0000_s1031" type="#_x0000_t202" style="position:absolute;margin-left:4.7pt;margin-top:25.45pt;width:142.05pt;height:26.65pt;z-index:251658273;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" filled="f" stroked="f">
                <v:textbox>
                  <w:txbxContent>
                    <w:p w14:paraId="756DFB7E" w14:textId="77777777" w:rsidR="00B960D0" w:rsidRPr="002C1570" w:rsidRDefault="00B960D0" w:rsidP="00B960D0">
                      <w:pPr>
                        <w:rPr>
                          <w:rFonts w:ascii="Aptos" w:hAnsi="Aptos"/>
                          <w:color w:val="000000"/>
                          <w:kern w:val="0"/>
                          <w:szCs w:val="22"/>
                          <w14:ligatures w14:val="none"/>
                        </w:rPr>
                      </w:pPr>
                      <w:r w:rsidRPr="002C1570">
                        <w:rPr>
                          <w:rFonts w:ascii="Aptos" w:hAnsi="Aptos"/>
                          <w:color w:val="000000"/>
                          <w:szCs w:val="22"/>
                        </w:rPr>
                        <w:t>Per cent</w:t>
                      </w:r>
                    </w:p>
                  </w:txbxContent>
                </v:textbox>
                <w10:wrap type="topAndBottom" anchorx="margin"/>
              </v:shape>
            </w:pict>
          </mc:Fallback>
        </mc:AlternateContent>
      </w:r>
      <w:r w:rsidR="00EB1A39">
        <w:rPr>
          <w:noProof/>
        </w:rPr>
        <mc:AlternateContent>
          <mc:Choice Requires="wps">
            <w:drawing>
              <wp:anchor distT="0" distB="0" distL="114300" distR="114300" simplePos="0" relativeHeight="251658274" behindDoc="0" locked="0" layoutInCell="1" allowOverlap="1" wp14:anchorId="42619399" wp14:editId="070C42B1">
                <wp:simplePos x="0" y="0"/>
                <wp:positionH relativeFrom="column">
                  <wp:posOffset>3211830</wp:posOffset>
                </wp:positionH>
                <wp:positionV relativeFrom="paragraph">
                  <wp:posOffset>323850</wp:posOffset>
                </wp:positionV>
                <wp:extent cx="1435100" cy="322580"/>
                <wp:effectExtent l="0" t="0" r="0" b="0"/>
                <wp:wrapTopAndBottom/>
                <wp:docPr id="755509466" name="TextBox 6"/>
                <wp:cNvGraphicFramePr/>
                <a:graphic xmlns:a="http://schemas.openxmlformats.org/drawingml/2006/main">
                  <a:graphicData uri="http://schemas.microsoft.com/office/word/2010/wordprocessingShape">
                    <wps:wsp>
                      <wps:cNvSpPr txBox="1"/>
                      <wps:spPr>
                        <a:xfrm>
                          <a:off x="0" y="0"/>
                          <a:ext cx="1435100" cy="3225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FCB4DA1" w14:textId="77777777" w:rsidR="00B960D0" w:rsidRPr="002C1570" w:rsidRDefault="00B960D0" w:rsidP="00B960D0">
                            <w:pPr>
                              <w:rPr>
                                <w:rFonts w:ascii="Aptos" w:hAnsi="Aptos"/>
                                <w:color w:val="000000"/>
                                <w:kern w:val="0"/>
                                <w:szCs w:val="22"/>
                                <w14:ligatures w14:val="none"/>
                              </w:rPr>
                            </w:pPr>
                            <w:r w:rsidRPr="002C1570">
                              <w:rPr>
                                <w:rFonts w:ascii="Aptos" w:hAnsi="Aptos"/>
                                <w:color w:val="000000"/>
                                <w:szCs w:val="22"/>
                              </w:rPr>
                              <w:t>$, per capita</w:t>
                            </w:r>
                          </w:p>
                        </w:txbxContent>
                      </wps:txbx>
                      <wps:bodyPr vertOverflow="clip" horzOverflow="clip" wrap="none" rtlCol="0" anchor="t">
                        <a:noAutofit/>
                      </wps:bodyPr>
                    </wps:wsp>
                  </a:graphicData>
                </a:graphic>
              </wp:anchor>
            </w:drawing>
          </mc:Choice>
          <mc:Fallback>
            <w:pict>
              <v:shape w14:anchorId="42619399" id="TextBox 6" o:spid="_x0000_s1032" type="#_x0000_t202" style="position:absolute;margin-left:252.9pt;margin-top:25.5pt;width:113pt;height:25.4pt;z-index:25165827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" filled="f" stroked="f">
                <v:textbox>
                  <w:txbxContent>
                    <w:p w14:paraId="3FCB4DA1" w14:textId="77777777" w:rsidR="00B960D0" w:rsidRPr="002C1570" w:rsidRDefault="00B960D0" w:rsidP="00B960D0">
                      <w:pPr>
                        <w:rPr>
                          <w:rFonts w:ascii="Aptos" w:hAnsi="Aptos"/>
                          <w:color w:val="000000"/>
                          <w:kern w:val="0"/>
                          <w:szCs w:val="22"/>
                          <w14:ligatures w14:val="none"/>
                        </w:rPr>
                      </w:pPr>
                      <w:r w:rsidRPr="002C1570">
                        <w:rPr>
                          <w:rFonts w:ascii="Aptos" w:hAnsi="Aptos"/>
                          <w:color w:val="000000"/>
                          <w:szCs w:val="22"/>
                        </w:rPr>
                        <w:t>$, per capita</w:t>
                      </w:r>
                    </w:p>
                  </w:txbxContent>
                </v:textbox>
                <w10:wrap type="topAndBottom"/>
              </v:shape>
            </w:pict>
          </mc:Fallback>
        </mc:AlternateContent>
      </w:r>
      <w:r w:rsidR="00434E81" w:rsidRPr="00947D1F">
        <w:t xml:space="preserve">Figure </w:t>
      </w:r>
      <w:r w:rsidR="00425A3B">
        <w:t>2.</w:t>
      </w:r>
      <w:r w:rsidR="009D5FCD">
        <w:fldChar w:fldCharType="begin"/>
      </w:r>
      <w:r w:rsidR="009D5FCD">
        <w:instrText xml:space="preserve"> SEQ Figure \* ARABIC \s 1 </w:instrText>
      </w:r>
      <w:r w:rsidR="009D5FCD">
        <w:fldChar w:fldCharType="separate"/>
      </w:r>
      <w:r w:rsidR="009D1283">
        <w:rPr>
          <w:noProof/>
        </w:rPr>
        <w:t>3</w:t>
      </w:r>
      <w:r w:rsidR="009D5FCD">
        <w:rPr>
          <w:noProof/>
        </w:rPr>
        <w:fldChar w:fldCharType="end"/>
      </w:r>
      <w:bookmarkEnd w:id="19"/>
      <w:r w:rsidR="00434E81" w:rsidRPr="00947D1F">
        <w:t xml:space="preserve">: Nominal General Government net debt and </w:t>
      </w:r>
      <w:r w:rsidR="00434E81" w:rsidRPr="002D3DBB">
        <w:t>interest</w:t>
      </w:r>
      <w:r w:rsidR="00434E81" w:rsidRPr="00947D1F">
        <w:t xml:space="preserve"> expenditure</w:t>
      </w:r>
    </w:p>
    <w:p w14:paraId="4E1BDA47" w14:textId="02E24D1E" w:rsidR="007F2A58" w:rsidRDefault="007F2A58" w:rsidP="00B960D0"/>
    <w:p w14:paraId="17560118" w14:textId="3C06B77A" w:rsidR="00B960D0" w:rsidRDefault="004443D0" w:rsidP="00B960D0">
      <w:r>
        <w:rPr>
          <w:noProof/>
        </w:rPr>
        <mc:AlternateContent>
          <mc:Choice Requires="wps">
            <w:drawing>
              <wp:anchor distT="0" distB="0" distL="114300" distR="114300" simplePos="0" relativeHeight="251658278" behindDoc="0" locked="0" layoutInCell="1" allowOverlap="1" wp14:anchorId="2BF7C977" wp14:editId="72CB837D">
                <wp:simplePos x="0" y="0"/>
                <wp:positionH relativeFrom="column">
                  <wp:posOffset>3321050</wp:posOffset>
                </wp:positionH>
                <wp:positionV relativeFrom="paragraph">
                  <wp:posOffset>21590</wp:posOffset>
                </wp:positionV>
                <wp:extent cx="1763395" cy="311785"/>
                <wp:effectExtent l="0" t="0" r="0" b="0"/>
                <wp:wrapNone/>
                <wp:docPr id="15" name="TextBox 14">
                  <a:extLst xmlns:a="http://schemas.openxmlformats.org/drawingml/2006/main">
                    <a:ext uri="{FF2B5EF4-FFF2-40B4-BE49-F238E27FC236}">
                      <a16:creationId xmlns:a16="http://schemas.microsoft.com/office/drawing/2014/main" id="{06AB857C-14D8-40D5-837F-48FEA53ABA6F}"/>
                    </a:ext>
                  </a:extLst>
                </wp:docPr>
                <wp:cNvGraphicFramePr/>
                <a:graphic xmlns:a="http://schemas.openxmlformats.org/drawingml/2006/main">
                  <a:graphicData uri="http://schemas.microsoft.com/office/word/2010/wordprocessingShape">
                    <wps:wsp>
                      <wps:cNvSpPr txBox="1"/>
                      <wps:spPr>
                        <a:xfrm>
                          <a:off x="0" y="0"/>
                          <a:ext cx="1763395" cy="31178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4DABD35" w14:textId="77777777" w:rsidR="00962C97" w:rsidRPr="002C1570" w:rsidRDefault="00962C97" w:rsidP="00962C97">
                            <w:pPr>
                              <w:rPr>
                                <w:rFonts w:ascii="Aptos" w:hAnsi="Aptos"/>
                                <w:color w:val="000000"/>
                                <w:kern w:val="0"/>
                                <w:szCs w:val="22"/>
                                <w14:ligatures w14:val="none"/>
                              </w:rPr>
                            </w:pPr>
                            <w:r w:rsidRPr="002C1570">
                              <w:rPr>
                                <w:rFonts w:ascii="Aptos" w:hAnsi="Aptos"/>
                                <w:color w:val="000000"/>
                                <w:szCs w:val="22"/>
                              </w:rPr>
                              <w:t>$m, nominal</w:t>
                            </w:r>
                          </w:p>
                        </w:txbxContent>
                      </wps:txbx>
                      <wps:bodyPr vertOverflow="clip" horzOverflow="clip" wrap="none" rtlCol="0" anchor="t">
                        <a:noAutofit/>
                      </wps:bodyPr>
                    </wps:wsp>
                  </a:graphicData>
                </a:graphic>
              </wp:anchor>
            </w:drawing>
          </mc:Choice>
          <mc:Fallback>
            <w:pict>
              <v:shape w14:anchorId="2BF7C977" id="TextBox 14" o:spid="_x0000_s1033" type="#_x0000_t202" style="position:absolute;margin-left:261.5pt;margin-top:1.7pt;width:138.85pt;height:24.55pt;z-index:25165827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" filled="f" stroked="f">
                <v:textbox>
                  <w:txbxContent>
                    <w:p w14:paraId="44DABD35" w14:textId="77777777" w:rsidR="00962C97" w:rsidRPr="002C1570" w:rsidRDefault="00962C97" w:rsidP="00962C97">
                      <w:pPr>
                        <w:rPr>
                          <w:rFonts w:ascii="Aptos" w:hAnsi="Aptos"/>
                          <w:color w:val="000000"/>
                          <w:kern w:val="0"/>
                          <w:szCs w:val="22"/>
                          <w14:ligatures w14:val="none"/>
                        </w:rPr>
                      </w:pPr>
                      <w:r w:rsidRPr="002C1570">
                        <w:rPr>
                          <w:rFonts w:ascii="Aptos" w:hAnsi="Aptos"/>
                          <w:color w:val="000000"/>
                          <w:szCs w:val="22"/>
                        </w:rPr>
                        <w:t>$m, nominal</w:t>
                      </w:r>
                    </w:p>
                  </w:txbxContent>
                </v:textbox>
              </v:shape>
            </w:pict>
          </mc:Fallback>
        </mc:AlternateContent>
      </w:r>
      <w:r w:rsidR="00155FDF">
        <w:rPr>
          <w:noProof/>
        </w:rPr>
        <mc:AlternateContent>
          <mc:Choice Requires="wps">
            <w:drawing>
              <wp:anchor distT="0" distB="0" distL="114300" distR="114300" simplePos="0" relativeHeight="251658277" behindDoc="0" locked="0" layoutInCell="1" allowOverlap="1" wp14:anchorId="14D9603D" wp14:editId="74D03344">
                <wp:simplePos x="0" y="0"/>
                <wp:positionH relativeFrom="margin">
                  <wp:align>left</wp:align>
                </wp:positionH>
                <wp:positionV relativeFrom="paragraph">
                  <wp:posOffset>8754</wp:posOffset>
                </wp:positionV>
                <wp:extent cx="2270963" cy="331281"/>
                <wp:effectExtent l="0" t="0" r="0" b="0"/>
                <wp:wrapNone/>
                <wp:docPr id="14" name="TextBox 13">
                  <a:extLst xmlns:a="http://schemas.openxmlformats.org/drawingml/2006/main">
                    <a:ext uri="{FF2B5EF4-FFF2-40B4-BE49-F238E27FC236}">
                      <a16:creationId xmlns:a16="http://schemas.microsoft.com/office/drawing/2014/main" id="{E8120B53-9432-40B8-993F-CBD6AF8DA537}"/>
                    </a:ext>
                  </a:extLst>
                </wp:docPr>
                <wp:cNvGraphicFramePr/>
                <a:graphic xmlns:a="http://schemas.openxmlformats.org/drawingml/2006/main">
                  <a:graphicData uri="http://schemas.microsoft.com/office/word/2010/wordprocessingShape">
                    <wps:wsp>
                      <wps:cNvSpPr txBox="1"/>
                      <wps:spPr>
                        <a:xfrm>
                          <a:off x="0" y="0"/>
                          <a:ext cx="2270963" cy="33128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927BF18" w14:textId="77777777" w:rsidR="00962C97" w:rsidRPr="002C1570" w:rsidRDefault="00962C97" w:rsidP="00962C97">
                            <w:pPr>
                              <w:rPr>
                                <w:rFonts w:ascii="Aptos" w:hAnsi="Aptos"/>
                                <w:color w:val="000000"/>
                                <w:kern w:val="0"/>
                                <w:szCs w:val="22"/>
                                <w14:ligatures w14:val="none"/>
                              </w:rPr>
                            </w:pPr>
                            <w:r w:rsidRPr="002C1570">
                              <w:rPr>
                                <w:rFonts w:ascii="Aptos" w:hAnsi="Aptos"/>
                                <w:color w:val="000000"/>
                                <w:szCs w:val="22"/>
                              </w:rPr>
                              <w:t>Per cent</w:t>
                            </w:r>
                          </w:p>
                        </w:txbxContent>
                      </wps:txbx>
                      <wps:bodyPr vertOverflow="clip" horzOverflow="clip" wrap="none" rtlCol="0" anchor="t">
                        <a:noAutofit/>
                      </wps:bodyPr>
                    </wps:wsp>
                  </a:graphicData>
                </a:graphic>
              </wp:anchor>
            </w:drawing>
          </mc:Choice>
          <mc:Fallback>
            <w:pict>
              <v:shape w14:anchorId="14D9603D" id="TextBox 13" o:spid="_x0000_s1034" type="#_x0000_t202" style="position:absolute;margin-left:0;margin-top:.7pt;width:178.8pt;height:26.1pt;z-index:251658277;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" filled="f" stroked="f">
                <v:textbox>
                  <w:txbxContent>
                    <w:p w14:paraId="3927BF18" w14:textId="77777777" w:rsidR="00962C97" w:rsidRPr="002C1570" w:rsidRDefault="00962C97" w:rsidP="00962C97">
                      <w:pPr>
                        <w:rPr>
                          <w:rFonts w:ascii="Aptos" w:hAnsi="Aptos"/>
                          <w:color w:val="000000"/>
                          <w:kern w:val="0"/>
                          <w:szCs w:val="22"/>
                          <w14:ligatures w14:val="none"/>
                        </w:rPr>
                      </w:pPr>
                      <w:r w:rsidRPr="002C1570">
                        <w:rPr>
                          <w:rFonts w:ascii="Aptos" w:hAnsi="Aptos"/>
                          <w:color w:val="000000"/>
                          <w:szCs w:val="22"/>
                        </w:rPr>
                        <w:t>Per cent</w:t>
                      </w:r>
                    </w:p>
                  </w:txbxContent>
                </v:textbox>
                <w10:wrap anchorx="margin"/>
              </v:shape>
            </w:pict>
          </mc:Fallback>
        </mc:AlternateContent>
      </w:r>
    </w:p>
    <w:p w14:paraId="169D5EB0" w14:textId="44BAC0F9" w:rsidR="00962C97" w:rsidRDefault="006631D8" w:rsidP="00962C97">
      <w:r>
        <w:rPr>
          <w:noProof/>
        </w:rPr>
        <mc:AlternateContent>
          <mc:Choice Requires="wps">
            <w:drawing>
              <wp:anchor distT="0" distB="0" distL="114300" distR="114300" simplePos="0" relativeHeight="251658276" behindDoc="1" locked="0" layoutInCell="1" allowOverlap="1" wp14:anchorId="58A92103" wp14:editId="294A28ED">
                <wp:simplePos x="0" y="0"/>
                <wp:positionH relativeFrom="margin">
                  <wp:posOffset>3294298</wp:posOffset>
                </wp:positionH>
                <wp:positionV relativeFrom="paragraph">
                  <wp:posOffset>162560</wp:posOffset>
                </wp:positionV>
                <wp:extent cx="456973" cy="2670647"/>
                <wp:effectExtent l="0" t="0" r="635" b="0"/>
                <wp:wrapNone/>
                <wp:docPr id="16" name="Rectangle 15">
                  <a:extLst xmlns:a="http://schemas.openxmlformats.org/drawingml/2006/main">
                    <a:ext uri="{FF2B5EF4-FFF2-40B4-BE49-F238E27FC236}">
                      <a16:creationId xmlns:a16="http://schemas.microsoft.com/office/drawing/2014/main" id="{F52AC02E-833D-4104-B111-1C76AD15EA02}"/>
                    </a:ext>
                  </a:extLst>
                </wp:docPr>
                <wp:cNvGraphicFramePr/>
                <a:graphic xmlns:a="http://schemas.openxmlformats.org/drawingml/2006/main">
                  <a:graphicData uri="http://schemas.microsoft.com/office/word/2010/wordprocessingShape">
                    <wps:wsp>
                      <wps:cNvSpPr/>
                      <wps:spPr>
                        <a:xfrm>
                          <a:off x="0" y="0"/>
                          <a:ext cx="456973" cy="2670647"/>
                        </a:xfrm>
                        <a:prstGeom prst="rect">
                          <a:avLst/>
                        </a:prstGeom>
                        <a:solidFill>
                          <a:srgbClr val="BFBFBF"/>
                        </a:solidFill>
                        <a:ln>
                          <a:noFill/>
                        </a:ln>
                      </wps:spPr>
                      <wps:style>
                        <a:lnRef idx="2">
                          <a:schemeClr val="accent1">
                            <a:shade val="15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BC34E55" id="Rectangle 15" o:spid="_x0000_s1026" style="position:absolute;margin-left:259.4pt;margin-top:12.8pt;width:36pt;height:210.3pt;z-index:-2516581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" fillcolor="#bfbfbf" stroked="f" strokeweight="1pt">
                <w10:wrap anchorx="margin"/>
              </v:rect>
            </w:pict>
          </mc:Fallback>
        </mc:AlternateContent>
      </w:r>
      <w:r w:rsidR="00636D2D">
        <w:rPr>
          <w:noProof/>
        </w:rPr>
        <mc:AlternateContent>
          <mc:Choice Requires="wps">
            <w:drawing>
              <wp:anchor distT="0" distB="0" distL="114300" distR="114300" simplePos="0" relativeHeight="251658281" behindDoc="0" locked="0" layoutInCell="1" allowOverlap="1" wp14:anchorId="01A2FF11" wp14:editId="49D6B84E">
                <wp:simplePos x="0" y="0"/>
                <wp:positionH relativeFrom="column">
                  <wp:posOffset>3250647</wp:posOffset>
                </wp:positionH>
                <wp:positionV relativeFrom="paragraph">
                  <wp:posOffset>2376805</wp:posOffset>
                </wp:positionV>
                <wp:extent cx="543560" cy="318770"/>
                <wp:effectExtent l="0" t="0" r="0" b="0"/>
                <wp:wrapNone/>
                <wp:docPr id="17" name="TextBox 1">
                  <a:extLst xmlns:a="http://schemas.openxmlformats.org/drawingml/2006/main">
                    <a:ext uri="{FF2B5EF4-FFF2-40B4-BE49-F238E27FC236}">
                      <a16:creationId xmlns:a16="http://schemas.microsoft.com/office/drawing/2014/main" id="{104EA021-8E95-4428-A3D2-25A578A2AD0A}"/>
                    </a:ext>
                  </a:extLst>
                </wp:docPr>
                <wp:cNvGraphicFramePr/>
                <a:graphic xmlns:a="http://schemas.openxmlformats.org/drawingml/2006/main">
                  <a:graphicData uri="http://schemas.microsoft.com/office/word/2010/wordprocessingShape">
                    <wps:wsp>
                      <wps:cNvSpPr txBox="1"/>
                      <wps:spPr>
                        <a:xfrm>
                          <a:off x="0" y="0"/>
                          <a:ext cx="543560" cy="318770"/>
                        </a:xfrm>
                        <a:prstGeom prst="rect">
                          <a:avLst/>
                        </a:prstGeom>
                      </wps:spPr>
                      <wps:txbx>
                        <w:txbxContent>
                          <w:p w14:paraId="3AB3EADB" w14:textId="77777777" w:rsidR="00962C97" w:rsidRPr="00574873" w:rsidRDefault="00962C97" w:rsidP="00962C97">
                            <w:pPr>
                              <w:rPr>
                                <w:rFonts w:ascii="Aptos" w:hAnsi="Aptos"/>
                                <w:kern w:val="24"/>
                                <w:szCs w:val="22"/>
                                <w14:ligatures w14:val="none"/>
                              </w:rPr>
                            </w:pPr>
                            <w:r w:rsidRPr="00574873">
                              <w:rPr>
                                <w:rFonts w:ascii="Aptos" w:hAnsi="Aptos"/>
                                <w:kern w:val="24"/>
                                <w:szCs w:val="22"/>
                              </w:rPr>
                              <w:t>B&amp;FE</w:t>
                            </w:r>
                          </w:p>
                        </w:txbxContent>
                      </wps:txbx>
                      <wps:bodyPr wrap="square" rtlCol="0"/>
                    </wps:wsp>
                  </a:graphicData>
                </a:graphic>
                <wp14:sizeRelH relativeFrom="margin">
                  <wp14:pctWidth>0</wp14:pctWidth>
                </wp14:sizeRelH>
              </wp:anchor>
            </w:drawing>
          </mc:Choice>
          <mc:Fallback>
            <w:pict>
              <v:shape w14:anchorId="01A2FF11" id="_x0000_s1035" type="#_x0000_t202" style="position:absolute;margin-left:255.95pt;margin-top:187.15pt;width:42.8pt;height:25.1pt;z-index:2516582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" filled="f" stroked="f">
                <v:textbox>
                  <w:txbxContent>
                    <w:p w14:paraId="3AB3EADB" w14:textId="77777777" w:rsidR="00962C97" w:rsidRPr="00574873" w:rsidRDefault="00962C97" w:rsidP="00962C97">
                      <w:pPr>
                        <w:rPr>
                          <w:rFonts w:ascii="Aptos" w:hAnsi="Aptos"/>
                          <w:kern w:val="24"/>
                          <w:szCs w:val="22"/>
                          <w14:ligatures w14:val="none"/>
                        </w:rPr>
                      </w:pPr>
                      <w:r w:rsidRPr="00574873">
                        <w:rPr>
                          <w:rFonts w:ascii="Aptos" w:hAnsi="Aptos"/>
                          <w:kern w:val="24"/>
                          <w:szCs w:val="22"/>
                        </w:rPr>
                        <w:t>B&amp;FE</w:t>
                      </w:r>
                    </w:p>
                  </w:txbxContent>
                </v:textbox>
              </v:shape>
            </w:pict>
          </mc:Fallback>
        </mc:AlternateContent>
      </w:r>
      <w:r w:rsidR="00BD07E6">
        <w:rPr>
          <w:noProof/>
        </w:rPr>
        <mc:AlternateContent>
          <mc:Choice Requires="wps">
            <w:drawing>
              <wp:anchor distT="0" distB="0" distL="114300" distR="114300" simplePos="0" relativeHeight="251658280" behindDoc="0" locked="0" layoutInCell="1" allowOverlap="1" wp14:anchorId="5A17C685" wp14:editId="09127B48">
                <wp:simplePos x="0" y="0"/>
                <wp:positionH relativeFrom="margin">
                  <wp:posOffset>1533469</wp:posOffset>
                </wp:positionH>
                <wp:positionV relativeFrom="paragraph">
                  <wp:posOffset>349941</wp:posOffset>
                </wp:positionV>
                <wp:extent cx="1899920" cy="1058545"/>
                <wp:effectExtent l="0" t="0" r="0" b="0"/>
                <wp:wrapNone/>
                <wp:docPr id="13" name="TextBox 12">
                  <a:extLst xmlns:a="http://schemas.openxmlformats.org/drawingml/2006/main">
                    <a:ext uri="{FF2B5EF4-FFF2-40B4-BE49-F238E27FC236}">
                      <a16:creationId xmlns:a16="http://schemas.microsoft.com/office/drawing/2014/main" id="{1C5D02C3-AFDF-4684-9E6C-5C7BD89EA239}"/>
                    </a:ext>
                  </a:extLst>
                </wp:docPr>
                <wp:cNvGraphicFramePr/>
                <a:graphic xmlns:a="http://schemas.openxmlformats.org/drawingml/2006/main">
                  <a:graphicData uri="http://schemas.microsoft.com/office/word/2010/wordprocessingShape">
                    <wps:wsp>
                      <wps:cNvSpPr txBox="1"/>
                      <wps:spPr>
                        <a:xfrm>
                          <a:off x="0" y="0"/>
                          <a:ext cx="1899920" cy="105854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0B2E04B" w14:textId="130A0102" w:rsidR="00962C97" w:rsidRPr="002C1570" w:rsidRDefault="00962C97" w:rsidP="00962C97">
                            <w:pPr>
                              <w:rPr>
                                <w:rFonts w:hAnsi="Aptos"/>
                                <w:color w:val="264C72"/>
                                <w:kern w:val="0"/>
                                <w:szCs w:val="22"/>
                                <w14:ligatures w14:val="none"/>
                              </w:rPr>
                            </w:pPr>
                            <w:r w:rsidRPr="002C1570">
                              <w:rPr>
                                <w:rFonts w:hAnsi="Aptos"/>
                                <w:color w:val="264C72"/>
                                <w:szCs w:val="22"/>
                              </w:rPr>
                              <w:t xml:space="preserve">Interest expense, </w:t>
                            </w:r>
                            <w:r w:rsidR="002C1570">
                              <w:rPr>
                                <w:rFonts w:hAnsi="Aptos"/>
                                <w:color w:val="264C72"/>
                                <w:szCs w:val="22"/>
                              </w:rPr>
                              <w:br/>
                            </w:r>
                            <w:r w:rsidRPr="002C1570">
                              <w:rPr>
                                <w:rFonts w:hAnsi="Aptos"/>
                                <w:color w:val="264C72"/>
                                <w:szCs w:val="22"/>
                              </w:rPr>
                              <w:t>$m (RHS)</w:t>
                            </w:r>
                          </w:p>
                        </w:txbxContent>
                      </wps:txbx>
                      <wps:bodyPr vertOverflow="clip" horzOverflow="clip" wrap="square" rtlCol="0" anchor="t"/>
                    </wps:wsp>
                  </a:graphicData>
                </a:graphic>
              </wp:anchor>
            </w:drawing>
          </mc:Choice>
          <mc:Fallback>
            <w:pict>
              <v:shape w14:anchorId="5A17C685" id="TextBox 12" o:spid="_x0000_s1036" type="#_x0000_t202" style="position:absolute;margin-left:120.75pt;margin-top:27.55pt;width:149.6pt;height:83.35pt;z-index:2516582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" filled="f" stroked="f">
                <v:textbox>
                  <w:txbxContent>
                    <w:p w14:paraId="00B2E04B" w14:textId="130A0102" w:rsidR="00962C97" w:rsidRPr="002C1570" w:rsidRDefault="00962C97" w:rsidP="00962C97">
                      <w:pPr>
                        <w:rPr>
                          <w:rFonts w:hAnsi="Aptos"/>
                          <w:color w:val="264C72"/>
                          <w:kern w:val="0"/>
                          <w:szCs w:val="22"/>
                          <w14:ligatures w14:val="none"/>
                        </w:rPr>
                      </w:pPr>
                      <w:r w:rsidRPr="002C1570">
                        <w:rPr>
                          <w:rFonts w:hAnsi="Aptos"/>
                          <w:color w:val="264C72"/>
                          <w:szCs w:val="22"/>
                        </w:rPr>
                        <w:t xml:space="preserve">Interest expense, </w:t>
                      </w:r>
                      <w:r w:rsidR="002C1570">
                        <w:rPr>
                          <w:rFonts w:hAnsi="Aptos"/>
                          <w:color w:val="264C72"/>
                          <w:szCs w:val="22"/>
                        </w:rPr>
                        <w:br/>
                      </w:r>
                      <w:r w:rsidRPr="002C1570">
                        <w:rPr>
                          <w:rFonts w:hAnsi="Aptos"/>
                          <w:color w:val="264C72"/>
                          <w:szCs w:val="22"/>
                        </w:rPr>
                        <w:t>$m (RHS)</w:t>
                      </w:r>
                    </w:p>
                  </w:txbxContent>
                </v:textbox>
                <w10:wrap anchorx="margin"/>
              </v:shape>
            </w:pict>
          </mc:Fallback>
        </mc:AlternateContent>
      </w:r>
      <w:r w:rsidR="00BD07E6">
        <w:rPr>
          <w:noProof/>
        </w:rPr>
        <mc:AlternateContent>
          <mc:Choice Requires="wps">
            <w:drawing>
              <wp:anchor distT="0" distB="0" distL="114300" distR="114300" simplePos="0" relativeHeight="251658279" behindDoc="0" locked="0" layoutInCell="1" allowOverlap="1" wp14:anchorId="6B60D367" wp14:editId="26496471">
                <wp:simplePos x="0" y="0"/>
                <wp:positionH relativeFrom="column">
                  <wp:posOffset>555585</wp:posOffset>
                </wp:positionH>
                <wp:positionV relativeFrom="paragraph">
                  <wp:posOffset>1104394</wp:posOffset>
                </wp:positionV>
                <wp:extent cx="1672542" cy="1302152"/>
                <wp:effectExtent l="0" t="0" r="0" b="0"/>
                <wp:wrapNone/>
                <wp:docPr id="12" name="TextBox 11">
                  <a:extLst xmlns:a="http://schemas.openxmlformats.org/drawingml/2006/main">
                    <a:ext uri="{FF2B5EF4-FFF2-40B4-BE49-F238E27FC236}">
                      <a16:creationId xmlns:a16="http://schemas.microsoft.com/office/drawing/2014/main" id="{88BF81AE-48BA-4DEF-AC38-5B9584F57E1E}"/>
                    </a:ext>
                  </a:extLst>
                </wp:docPr>
                <wp:cNvGraphicFramePr/>
                <a:graphic xmlns:a="http://schemas.openxmlformats.org/drawingml/2006/main">
                  <a:graphicData uri="http://schemas.microsoft.com/office/word/2010/wordprocessingShape">
                    <wps:wsp>
                      <wps:cNvSpPr txBox="1"/>
                      <wps:spPr>
                        <a:xfrm>
                          <a:off x="0" y="0"/>
                          <a:ext cx="1672542" cy="130215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6996AA8" w14:textId="77777777" w:rsidR="00962C97" w:rsidRPr="002C1570" w:rsidRDefault="00962C97" w:rsidP="00962C97">
                            <w:pPr>
                              <w:rPr>
                                <w:rFonts w:hAnsi="Aptos"/>
                                <w:color w:val="1CADE4"/>
                                <w:kern w:val="0"/>
                                <w:szCs w:val="22"/>
                                <w14:ligatures w14:val="none"/>
                              </w:rPr>
                            </w:pPr>
                            <w:r w:rsidRPr="002C1570">
                              <w:rPr>
                                <w:rFonts w:hAnsi="Aptos"/>
                                <w:color w:val="1CADE4"/>
                                <w:szCs w:val="22"/>
                              </w:rPr>
                              <w:t>Interest expense as a per cent of total expenses</w:t>
                            </w:r>
                            <w:r w:rsidRPr="002C1570">
                              <w:rPr>
                                <w:rFonts w:hAnsi="Aptos"/>
                                <w:color w:val="1CADE4"/>
                                <w:kern w:val="0"/>
                                <w:szCs w:val="22"/>
                                <w14:ligatures w14:val="none"/>
                              </w:rPr>
                              <w:br/>
                            </w:r>
                            <w:r w:rsidRPr="002C1570">
                              <w:rPr>
                                <w:rFonts w:hAnsi="Aptos"/>
                                <w:color w:val="1CADE4"/>
                                <w:szCs w:val="22"/>
                              </w:rPr>
                              <w:t>(LHS)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B60D367" id="TextBox 11" o:spid="_x0000_s1037" type="#_x0000_t202" style="position:absolute;margin-left:43.75pt;margin-top:86.95pt;width:131.7pt;height:102.5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" filled="f" stroked="f">
                <v:textbox>
                  <w:txbxContent>
                    <w:p w14:paraId="16996AA8" w14:textId="77777777" w:rsidR="00962C97" w:rsidRPr="002C1570" w:rsidRDefault="00962C97" w:rsidP="00962C97">
                      <w:pPr>
                        <w:rPr>
                          <w:rFonts w:hAnsi="Aptos"/>
                          <w:color w:val="1CADE4"/>
                          <w:kern w:val="0"/>
                          <w:szCs w:val="22"/>
                          <w14:ligatures w14:val="none"/>
                        </w:rPr>
                      </w:pPr>
                      <w:r w:rsidRPr="002C1570">
                        <w:rPr>
                          <w:rFonts w:hAnsi="Aptos"/>
                          <w:color w:val="1CADE4"/>
                          <w:szCs w:val="22"/>
                        </w:rPr>
                        <w:t>Interest expense as a per cent of total expenses</w:t>
                      </w:r>
                      <w:r w:rsidRPr="002C1570">
                        <w:rPr>
                          <w:rFonts w:hAnsi="Aptos"/>
                          <w:color w:val="1CADE4"/>
                          <w:kern w:val="0"/>
                          <w:szCs w:val="22"/>
                          <w14:ligatures w14:val="none"/>
                        </w:rPr>
                        <w:br/>
                      </w:r>
                      <w:r w:rsidRPr="002C1570">
                        <w:rPr>
                          <w:rFonts w:hAnsi="Aptos"/>
                          <w:color w:val="1CADE4"/>
                          <w:szCs w:val="22"/>
                        </w:rPr>
                        <w:t>(LHS)</w:t>
                      </w:r>
                    </w:p>
                  </w:txbxContent>
                </v:textbox>
              </v:shape>
            </w:pict>
          </mc:Fallback>
        </mc:AlternateContent>
      </w:r>
      <w:r w:rsidR="00962C97">
        <w:rPr>
          <w:noProof/>
        </w:rPr>
        <w:drawing>
          <wp:inline distT="0" distB="0" distL="0" distR="0" wp14:anchorId="63FC2C4D" wp14:editId="11FC9EEE">
            <wp:extent cx="4354717" cy="3169285"/>
            <wp:effectExtent l="0" t="0" r="0" b="0"/>
            <wp:docPr id="515302380" name="Chart 1" descr="A chart that display trends in Victorian general government debt and the associated interest expense over the period 2003-04 to 2028-29. The chart includes actual data and forecasts from the 2025/26 Victorian State Budget. The chart includes two lines. The first line shows the annual value of Victorian general government interest expenditure, measured in millions of dollars. This line increases from around $450 million to $10,000 million over the period. The second line shows the annual value of Victorian general government interest expenditure as a share of total annual Victorian general government expenditure. This line increases from around 2 per cent to around 9 per cent over the period.">
              <a:extLst xmlns:a="http://schemas.openxmlformats.org/drawingml/2006/main">
                <a:ext uri="{FF2B5EF4-FFF2-40B4-BE49-F238E27FC236}">
                  <a16:creationId xmlns:a16="http://schemas.microsoft.com/office/drawing/2014/main" id="{B8C59CD7-6BB4-50AB-C723-526889156E96}"/>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W w:w="90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5"/>
      </w:tblGrid>
      <w:tr w:rsidR="00434E81" w:rsidRPr="00327A55" w14:paraId="76532309" w14:textId="77777777" w:rsidTr="00352512">
        <w:trPr>
          <w:trHeight w:val="300"/>
        </w:trPr>
        <w:tc>
          <w:tcPr>
            <w:tcW w:w="9015" w:type="dxa"/>
            <w:tcBorders>
              <w:top w:val="nil"/>
              <w:left w:val="nil"/>
              <w:bottom w:val="nil"/>
              <w:right w:val="nil"/>
            </w:tcBorders>
            <w:hideMark/>
          </w:tcPr>
          <w:p w14:paraId="285AC5ED" w14:textId="77777777" w:rsidR="000936DE" w:rsidRPr="002F4718" w:rsidRDefault="00434E81" w:rsidP="002F4718">
            <w:pPr>
              <w:pStyle w:val="Caption"/>
              <w:spacing w:after="120"/>
            </w:pPr>
            <w:r w:rsidRPr="002F4718">
              <w:t xml:space="preserve">Source: 2025/26 Victorian Budget, ABS </w:t>
            </w:r>
          </w:p>
          <w:p w14:paraId="024D9B80" w14:textId="3CA88749" w:rsidR="00434E81" w:rsidRPr="003952CF" w:rsidRDefault="00434E81" w:rsidP="002F4718">
            <w:pPr>
              <w:pStyle w:val="Caption"/>
              <w:rPr>
                <w:i w:val="0"/>
              </w:rPr>
            </w:pPr>
            <w:r w:rsidRPr="002F4718">
              <w:t>Note: B&amp;FE refers to the budget and forward estimate period, 2025-26 to 2028-29.</w:t>
            </w:r>
          </w:p>
        </w:tc>
      </w:tr>
    </w:tbl>
    <w:p w14:paraId="0A2A21EF" w14:textId="77777777" w:rsidR="00606934" w:rsidRDefault="00606934" w:rsidP="007C5AB8">
      <w:pPr>
        <w:pStyle w:val="Heading3"/>
        <w:spacing w:before="0"/>
        <w:sectPr w:rsidR="00606934" w:rsidSect="00AE6104">
          <w:type w:val="continuous"/>
          <w:pgSz w:w="11906" w:h="16838"/>
          <w:pgMar w:top="1440" w:right="1440" w:bottom="1440" w:left="1440" w:header="708" w:footer="708" w:gutter="0"/>
          <w:cols w:space="708"/>
          <w:docGrid w:linePitch="360"/>
          <w15:footnoteColumns w:val="1"/>
        </w:sectPr>
      </w:pPr>
    </w:p>
    <w:p w14:paraId="6E74108C" w14:textId="7B48DF3A" w:rsidR="00434E81" w:rsidRPr="00DD344E" w:rsidRDefault="00434E81" w:rsidP="007C5AB8">
      <w:pPr>
        <w:pStyle w:val="Heading3"/>
        <w:spacing w:before="0"/>
      </w:pPr>
      <w:r w:rsidRPr="00DD344E">
        <w:lastRenderedPageBreak/>
        <w:t xml:space="preserve">Strong financial </w:t>
      </w:r>
      <w:r w:rsidRPr="001A6560">
        <w:t>management</w:t>
      </w:r>
      <w:r w:rsidRPr="00DD344E">
        <w:t xml:space="preserve"> and</w:t>
      </w:r>
      <w:r w:rsidR="000F0EDE">
        <w:t> </w:t>
      </w:r>
      <w:r w:rsidRPr="00DD344E">
        <w:t>strategy</w:t>
      </w:r>
    </w:p>
    <w:p w14:paraId="75ABBA93" w14:textId="3E105F72" w:rsidR="00434E81" w:rsidRPr="00C05CF0" w:rsidRDefault="00434E81" w:rsidP="004436CB">
      <w:r w:rsidRPr="00B86860">
        <w:t xml:space="preserve">Victoria has a long history of setting fiscal strategies to guide sustainable management of the </w:t>
      </w:r>
      <w:r w:rsidR="00256DFE">
        <w:t>s</w:t>
      </w:r>
      <w:r w:rsidRPr="00B86860">
        <w:t>tate’s finances.</w:t>
      </w:r>
      <w:r>
        <w:t xml:space="preserve"> The government is to be commended for its current fiscal strategy of 5 steps and progress towards achieving it. </w:t>
      </w:r>
      <w:r w:rsidRPr="00B86860">
        <w:t>The 2025</w:t>
      </w:r>
      <w:r>
        <w:t>/</w:t>
      </w:r>
      <w:r w:rsidRPr="00B86860">
        <w:t>26</w:t>
      </w:r>
      <w:r w:rsidR="008C1344">
        <w:t> </w:t>
      </w:r>
      <w:r w:rsidRPr="00B86860">
        <w:t>Budget</w:t>
      </w:r>
      <w:r>
        <w:t xml:space="preserve"> continues to commit to responsible financial </w:t>
      </w:r>
      <w:proofErr w:type="gramStart"/>
      <w:r>
        <w:t>management</w:t>
      </w:r>
      <w:proofErr w:type="gramEnd"/>
      <w:r>
        <w:t xml:space="preserve"> and the budget</w:t>
      </w:r>
      <w:r w:rsidRPr="00B86860">
        <w:t xml:space="preserve"> </w:t>
      </w:r>
      <w:r w:rsidRPr="00C05CF0">
        <w:t xml:space="preserve">papers show that the government has achieved or is on track to achieve all </w:t>
      </w:r>
      <w:r w:rsidR="008D7481">
        <w:t>5</w:t>
      </w:r>
      <w:r w:rsidR="008C1344">
        <w:t> </w:t>
      </w:r>
      <w:r w:rsidRPr="00C05CF0">
        <w:t xml:space="preserve">steps by the end of the forward estimates. </w:t>
      </w:r>
    </w:p>
    <w:p w14:paraId="58219303" w14:textId="436F3DEA" w:rsidR="00434E81" w:rsidRPr="00C05CF0" w:rsidRDefault="00434E81" w:rsidP="004436CB">
      <w:pPr>
        <w:rPr>
          <w:rFonts w:eastAsiaTheme="majorEastAsia"/>
          <w:strike/>
        </w:rPr>
      </w:pPr>
      <w:r w:rsidRPr="00C05CF0">
        <w:t>Confidence in Victoria’s economic performance is strongly connected to the state’s financial management and budget sustainability. The way the government manages its finances matters. It is an important lever for the Victorian Government, especially given the current</w:t>
      </w:r>
      <w:r w:rsidR="00606934">
        <w:t> </w:t>
      </w:r>
      <w:r w:rsidRPr="00C05CF0">
        <w:t xml:space="preserve">turbulent economic situation around the world. </w:t>
      </w:r>
    </w:p>
    <w:p w14:paraId="33F7FC06" w14:textId="111E7789" w:rsidR="0005308C" w:rsidRDefault="00434E81" w:rsidP="0005308C">
      <w:r w:rsidRPr="00C05CF0">
        <w:t>While the government’s progress towards achieving its fiscal strategy is positive, the</w:t>
      </w:r>
      <w:r w:rsidR="00C749BD">
        <w:t xml:space="preserve"> </w:t>
      </w:r>
      <w:r w:rsidRPr="00C05CF0">
        <w:t xml:space="preserve">fiscal aggregates in the 2025/26 Budget show how tightly the budget needs to be managed to achieve and maintain an operating surplus (Figure 2.4). </w:t>
      </w:r>
      <w:r w:rsidR="008A6655">
        <w:br w:type="column"/>
      </w:r>
      <w:r w:rsidRPr="00C05CF0">
        <w:t xml:space="preserve">The improved operating balance in 2025–26 is somewhat fragile, and the outlook is subject to </w:t>
      </w:r>
      <w:proofErr w:type="gramStart"/>
      <w:r w:rsidRPr="00C05CF0">
        <w:t>a number of</w:t>
      </w:r>
      <w:proofErr w:type="gramEnd"/>
      <w:r w:rsidRPr="00C05CF0">
        <w:t xml:space="preserve"> pressures and risks in the near and medium term. There is currently </w:t>
      </w:r>
      <w:r w:rsidR="005F705D" w:rsidRPr="00E74DC8">
        <w:t>little</w:t>
      </w:r>
      <w:r w:rsidRPr="00C05CF0">
        <w:t xml:space="preserve"> buffer for extenuating circumstances, unexpected shocks or emergencies. This is a risky situation noting the state is also still adding to net debt. The government’s commissioning of the Review highlights its commitment to finding further opportunities for building budget capacity in a systematic way.</w:t>
      </w:r>
    </w:p>
    <w:p w14:paraId="0D648BDE" w14:textId="77777777" w:rsidR="00606934" w:rsidRDefault="00F512F8">
      <w:pPr>
        <w:sectPr w:rsidR="00606934" w:rsidSect="00606934">
          <w:type w:val="continuous"/>
          <w:pgSz w:w="11906" w:h="16838"/>
          <w:pgMar w:top="1440" w:right="1440" w:bottom="1440" w:left="1440" w:header="708" w:footer="708" w:gutter="0"/>
          <w:cols w:num="2" w:space="708"/>
          <w:docGrid w:linePitch="360"/>
          <w15:footnoteColumns w:val="1"/>
        </w:sectPr>
      </w:pPr>
      <w:r w:rsidRPr="00C05CF0">
        <w:t xml:space="preserve">The government’s current budget </w:t>
      </w:r>
      <w:r>
        <w:t>processes</w:t>
      </w:r>
      <w:r w:rsidRPr="00C05CF0">
        <w:t xml:space="preserve"> are sound but, as highlighted in Chapter </w:t>
      </w:r>
      <w:r>
        <w:t>3</w:t>
      </w:r>
      <w:r w:rsidRPr="00C05CF0">
        <w:t>, the Review finds they can be enhanced to support increased efficiency, effectiveness and accountability for operating expenditure.</w:t>
      </w:r>
    </w:p>
    <w:p w14:paraId="2CAA886F" w14:textId="08803FB1" w:rsidR="00B009FE" w:rsidRDefault="00B009FE">
      <w:pPr>
        <w:rPr>
          <w:i/>
          <w:iCs/>
          <w:color w:val="0E2841" w:themeColor="text2"/>
          <w:sz w:val="26"/>
          <w:szCs w:val="18"/>
        </w:rPr>
      </w:pPr>
      <w:r>
        <w:br w:type="page"/>
      </w:r>
    </w:p>
    <w:p w14:paraId="30B861A0" w14:textId="33595331" w:rsidR="00B85C58" w:rsidRDefault="00E063F3" w:rsidP="003166C1">
      <w:pPr>
        <w:pStyle w:val="Figureheading"/>
      </w:pPr>
      <w:r>
        <w:rPr>
          <w:noProof/>
        </w:rPr>
        <w:lastRenderedPageBreak/>
        <mc:AlternateContent>
          <mc:Choice Requires="wps">
            <w:drawing>
              <wp:anchor distT="0" distB="0" distL="114300" distR="114300" simplePos="0" relativeHeight="251658282" behindDoc="1" locked="0" layoutInCell="1" allowOverlap="1" wp14:anchorId="79B38A54" wp14:editId="2ED0FB0F">
                <wp:simplePos x="0" y="0"/>
                <wp:positionH relativeFrom="column">
                  <wp:posOffset>4703445</wp:posOffset>
                </wp:positionH>
                <wp:positionV relativeFrom="paragraph">
                  <wp:posOffset>658495</wp:posOffset>
                </wp:positionV>
                <wp:extent cx="746760" cy="2520950"/>
                <wp:effectExtent l="0" t="0" r="0" b="0"/>
                <wp:wrapTopAndBottom/>
                <wp:docPr id="1189835869" name="Rectangle 2"/>
                <wp:cNvGraphicFramePr/>
                <a:graphic xmlns:a="http://schemas.openxmlformats.org/drawingml/2006/main">
                  <a:graphicData uri="http://schemas.microsoft.com/office/word/2010/wordprocessingShape">
                    <wps:wsp>
                      <wps:cNvSpPr/>
                      <wps:spPr>
                        <a:xfrm>
                          <a:off x="0" y="0"/>
                          <a:ext cx="746760" cy="2520950"/>
                        </a:xfrm>
                        <a:prstGeom prst="rect">
                          <a:avLst/>
                        </a:prstGeom>
                        <a:solidFill>
                          <a:srgbClr val="BFBFBF"/>
                        </a:solidFill>
                        <a:ln>
                          <a:noFill/>
                        </a:ln>
                      </wps:spPr>
                      <wps:style>
                        <a:lnRef idx="2">
                          <a:schemeClr val="accent1">
                            <a:shade val="15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F6112E5" id="Rectangle 2" o:spid="_x0000_s1026" style="position:absolute;margin-left:370.35pt;margin-top:51.85pt;width:58.8pt;height:198.5pt;z-index:-25165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" fillcolor="#bfbfbf" stroked="f" strokeweight="1pt">
                <w10:wrap type="topAndBottom"/>
              </v:rect>
            </w:pict>
          </mc:Fallback>
        </mc:AlternateContent>
      </w:r>
      <w:r w:rsidR="00434E81" w:rsidRPr="00947D1F">
        <w:t xml:space="preserve">Figure </w:t>
      </w:r>
      <w:r w:rsidR="00BB161B">
        <w:t>2</w:t>
      </w:r>
      <w:r w:rsidR="00434E81" w:rsidRPr="00947D1F">
        <w:t>.</w:t>
      </w:r>
      <w:r w:rsidR="009D5FCD">
        <w:fldChar w:fldCharType="begin"/>
      </w:r>
      <w:r w:rsidR="009D5FCD">
        <w:instrText xml:space="preserve"> SEQ Figure \* ARABIC \s 1 </w:instrText>
      </w:r>
      <w:r w:rsidR="009D5FCD">
        <w:fldChar w:fldCharType="separate"/>
      </w:r>
      <w:r w:rsidR="009D1283">
        <w:rPr>
          <w:noProof/>
        </w:rPr>
        <w:t>4</w:t>
      </w:r>
      <w:r w:rsidR="009D5FCD">
        <w:rPr>
          <w:noProof/>
        </w:rPr>
        <w:fldChar w:fldCharType="end"/>
      </w:r>
      <w:r w:rsidR="00434E81" w:rsidRPr="00947D1F">
        <w:t>: Net operating balance</w:t>
      </w:r>
      <w:r w:rsidR="003166C1">
        <w:rPr>
          <w:noProof/>
        </w:rPr>
        <w:drawing>
          <wp:anchor distT="0" distB="0" distL="114300" distR="114300" simplePos="0" relativeHeight="251658308" behindDoc="0" locked="0" layoutInCell="1" allowOverlap="1" wp14:anchorId="0B860181" wp14:editId="53F5AE05">
            <wp:simplePos x="0" y="0"/>
            <wp:positionH relativeFrom="column">
              <wp:posOffset>0</wp:posOffset>
            </wp:positionH>
            <wp:positionV relativeFrom="paragraph">
              <wp:posOffset>297815</wp:posOffset>
            </wp:positionV>
            <wp:extent cx="5731510" cy="3240405"/>
            <wp:effectExtent l="0" t="0" r="0" b="0"/>
            <wp:wrapTopAndBottom/>
            <wp:docPr id="804310762" name="Chart 1" descr="A chart including bars that display the nominal value of the annual Victorian general government net operating balance, measured in millions of dollars over the period 2004-05 to 2028-29. These values fluctuate around zero and $2,500 million for most of the period, except for the years 2019-20 to 2024-25, where the values fluctuate between negative $3,500 million and negative $15,000 million.">
              <a:extLst xmlns:a="http://schemas.openxmlformats.org/drawingml/2006/main">
                <a:ext uri="{FF2B5EF4-FFF2-40B4-BE49-F238E27FC236}">
                  <a16:creationId xmlns:a16="http://schemas.microsoft.com/office/drawing/2014/main" id="{9D04464C-21DD-BE6F-63CA-442B33D080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39AB8C61" w14:textId="77777777" w:rsidR="00EC7563" w:rsidRDefault="00434E81" w:rsidP="00866F6D">
      <w:pPr>
        <w:pStyle w:val="Caption"/>
        <w:spacing w:before="360" w:after="120"/>
      </w:pPr>
      <w:r w:rsidRPr="005D7E90">
        <w:t>Source:</w:t>
      </w:r>
      <w:r w:rsidRPr="00715C9A">
        <w:t xml:space="preserve"> Victorian </w:t>
      </w:r>
      <w:r w:rsidRPr="008F6B75">
        <w:t>Budget</w:t>
      </w:r>
      <w:r w:rsidRPr="00715C9A">
        <w:t xml:space="preserve"> 2025/26</w:t>
      </w:r>
      <w:r>
        <w:t xml:space="preserve"> </w:t>
      </w:r>
    </w:p>
    <w:p w14:paraId="5D725AF8" w14:textId="6635D14E" w:rsidR="00434E81" w:rsidRDefault="00434E81" w:rsidP="004A0916">
      <w:pPr>
        <w:pStyle w:val="Caption"/>
      </w:pPr>
      <w:r w:rsidRPr="003952CF">
        <w:t>Note</w:t>
      </w:r>
      <w:r w:rsidRPr="00E55B52">
        <w:t>:</w:t>
      </w:r>
      <w:r w:rsidRPr="00715C9A">
        <w:t xml:space="preserve"> </w:t>
      </w:r>
      <w:r>
        <w:t>B&amp;FE refers to the budget and forward estimate period, 2025-26 to 2028-29.</w:t>
      </w:r>
    </w:p>
    <w:p w14:paraId="58DC73EC" w14:textId="77777777" w:rsidR="008A6655" w:rsidRDefault="008A6655" w:rsidP="004C2B84">
      <w:pPr>
        <w:pStyle w:val="Heading3"/>
        <w:spacing w:before="0"/>
        <w:sectPr w:rsidR="008A6655" w:rsidSect="00AE6104">
          <w:type w:val="continuous"/>
          <w:pgSz w:w="11906" w:h="16838"/>
          <w:pgMar w:top="1440" w:right="1440" w:bottom="1440" w:left="1440" w:header="708" w:footer="708" w:gutter="0"/>
          <w:cols w:space="708"/>
          <w:docGrid w:linePitch="360"/>
          <w15:footnoteColumns w:val="1"/>
        </w:sectPr>
      </w:pPr>
    </w:p>
    <w:p w14:paraId="4149EB0B" w14:textId="77777777" w:rsidR="00434E81" w:rsidRPr="00C05CF0" w:rsidRDefault="00434E81" w:rsidP="004C2B84">
      <w:pPr>
        <w:pStyle w:val="Heading3"/>
        <w:spacing w:before="0"/>
      </w:pPr>
      <w:r w:rsidRPr="00C05CF0">
        <w:t>Revenue and growth opportunities</w:t>
      </w:r>
    </w:p>
    <w:p w14:paraId="4BCAD59E" w14:textId="77777777" w:rsidR="00434E81" w:rsidRPr="00C05CF0" w:rsidRDefault="00434E81" w:rsidP="00434E81">
      <w:r w:rsidRPr="00C05CF0">
        <w:t>There are limited new revenue options, and revenue and economic growth alone will not address the risk of ongoing structural deficits and high debt servicing costs.</w:t>
      </w:r>
    </w:p>
    <w:p w14:paraId="3F71F952" w14:textId="77777777" w:rsidR="00434E81" w:rsidRPr="00C05CF0" w:rsidRDefault="00434E81" w:rsidP="00434E81">
      <w:r w:rsidRPr="00C05CF0">
        <w:t xml:space="preserve">Real growth in revenue and income from transactions averaged 3.4 per cent between 2014–15 and 2023–24. Around half of this revenue is sourced from the Commonwealth through GST distributions (~23 per cent over the past 10 years) and specific purpose payments (~24 per cent). Growth in Commonwealth-provided funding accounted for 44 per cent of the total increase in revenue over the past 10 years. </w:t>
      </w:r>
    </w:p>
    <w:p w14:paraId="1276A059" w14:textId="151F45C6" w:rsidR="00434E81" w:rsidRPr="00C05CF0" w:rsidRDefault="00434E81" w:rsidP="00434E81">
      <w:r w:rsidRPr="00C05CF0">
        <w:t xml:space="preserve">There are risks and opportunities related to Commonwealth funding to Victoria. The level of funding, the way it is delivered and the areas it covers all have crucial impacts on the State’s budget and therefore delivery capacity. The changes to the GST system in </w:t>
      </w:r>
      <w:r w:rsidRPr="00C05CF0">
        <w:t xml:space="preserve">2018 to assist Western Australia create significant future risks to Victoria given the time limited nature of the </w:t>
      </w:r>
      <w:r>
        <w:t xml:space="preserve">Commonwealth </w:t>
      </w:r>
      <w:r w:rsidRPr="00C05CF0">
        <w:t>no</w:t>
      </w:r>
      <w:r w:rsidR="0016040F">
        <w:t>-</w:t>
      </w:r>
      <w:r w:rsidRPr="00C05CF0">
        <w:t>worse</w:t>
      </w:r>
      <w:r>
        <w:t>-</w:t>
      </w:r>
      <w:r w:rsidRPr="00C05CF0">
        <w:t xml:space="preserve">off </w:t>
      </w:r>
      <w:r>
        <w:t>guarantee</w:t>
      </w:r>
      <w:r w:rsidRPr="00C05CF0">
        <w:t>. The poor per capita share of infrastructure grants to Victoria since 2014</w:t>
      </w:r>
      <w:r w:rsidR="0016040F">
        <w:t>–</w:t>
      </w:r>
      <w:r>
        <w:t>15</w:t>
      </w:r>
      <w:r w:rsidRPr="00C05CF0">
        <w:t xml:space="preserve"> and the significance of the size and nature of Commonwealth co-investment in health, education and infrastructure require</w:t>
      </w:r>
      <w:r w:rsidR="00311937" w:rsidRPr="006208C2">
        <w:t>s</w:t>
      </w:r>
      <w:r w:rsidRPr="00C05CF0">
        <w:t xml:space="preserve"> a strong, strategic approach to Commonwealth-State relations. The importance of this</w:t>
      </w:r>
      <w:r>
        <w:t xml:space="preserve"> and opportunities</w:t>
      </w:r>
      <w:r w:rsidRPr="00C05CF0">
        <w:t xml:space="preserve"> </w:t>
      </w:r>
      <w:r>
        <w:t>are</w:t>
      </w:r>
      <w:r w:rsidRPr="00C05CF0">
        <w:t xml:space="preserve"> discussed in Chapter </w:t>
      </w:r>
      <w:r>
        <w:t>4</w:t>
      </w:r>
      <w:r w:rsidRPr="00C05CF0">
        <w:t>.</w:t>
      </w:r>
    </w:p>
    <w:p w14:paraId="6BF23CD6" w14:textId="77777777" w:rsidR="00434E81" w:rsidRPr="00C05CF0" w:rsidRDefault="00434E81" w:rsidP="00434E81">
      <w:r w:rsidRPr="00C05CF0">
        <w:t xml:space="preserve">State and territory taxation revenue is unlike the Commonwealth’s, which naturally rises with growth in the economy. This is a difficult mismatch for the state when providing services to a growing population. </w:t>
      </w:r>
    </w:p>
    <w:p w14:paraId="2B94554A" w14:textId="670BED3E" w:rsidR="0069643A" w:rsidRPr="0058580D" w:rsidRDefault="00F251F7" w:rsidP="00434E81">
      <w:r w:rsidRPr="0032645A">
        <w:t xml:space="preserve">Other jurisdictions have significant royalty </w:t>
      </w:r>
      <w:r w:rsidR="00D645E5" w:rsidRPr="0032645A">
        <w:t>revenue</w:t>
      </w:r>
      <w:r w:rsidRPr="0032645A">
        <w:t xml:space="preserve"> which Victoria </w:t>
      </w:r>
      <w:r w:rsidR="00B95EE8" w:rsidRPr="0032645A">
        <w:t xml:space="preserve">does not. When these royalties are </w:t>
      </w:r>
      <w:proofErr w:type="gramStart"/>
      <w:r w:rsidR="00B95EE8" w:rsidRPr="0032645A">
        <w:t>taken into account</w:t>
      </w:r>
      <w:proofErr w:type="gramEnd"/>
      <w:r w:rsidR="00B95EE8" w:rsidRPr="0032645A">
        <w:t xml:space="preserve">, </w:t>
      </w:r>
      <w:r w:rsidR="00824942" w:rsidRPr="0032645A">
        <w:t xml:space="preserve">the </w:t>
      </w:r>
      <w:r w:rsidR="000A515D" w:rsidRPr="0032645A">
        <w:t xml:space="preserve">variance between Victoria and other </w:t>
      </w:r>
      <w:proofErr w:type="gramStart"/>
      <w:r w:rsidR="000A515D" w:rsidRPr="0032645A">
        <w:t>states’</w:t>
      </w:r>
      <w:proofErr w:type="gramEnd"/>
      <w:r w:rsidR="000A515D" w:rsidRPr="0032645A">
        <w:t xml:space="preserve"> </w:t>
      </w:r>
      <w:r w:rsidR="000A515D" w:rsidRPr="0032645A">
        <w:lastRenderedPageBreak/>
        <w:t xml:space="preserve">and territories’ </w:t>
      </w:r>
      <w:r w:rsidR="0069643A" w:rsidRPr="0032645A">
        <w:t xml:space="preserve">revenue significantly reduces </w:t>
      </w:r>
      <w:r w:rsidR="00701D90" w:rsidRPr="0032645A">
        <w:t>(Figure 2.5)</w:t>
      </w:r>
      <w:r w:rsidR="00FD2A8C" w:rsidRPr="0032645A">
        <w:t>.</w:t>
      </w:r>
      <w:r w:rsidR="0069643A" w:rsidRPr="0032645A">
        <w:t xml:space="preserve"> </w:t>
      </w:r>
      <w:r w:rsidR="00A91664" w:rsidRPr="0032645A">
        <w:t xml:space="preserve">Taxation accounts for </w:t>
      </w:r>
      <w:proofErr w:type="gramStart"/>
      <w:r w:rsidR="00A91664" w:rsidRPr="0032645A">
        <w:t>the majority of</w:t>
      </w:r>
      <w:proofErr w:type="gramEnd"/>
      <w:r w:rsidR="00A91664" w:rsidRPr="0032645A">
        <w:t xml:space="preserve"> Victoria’s revenue and grew </w:t>
      </w:r>
      <w:r w:rsidR="00A91664" w:rsidRPr="0032645A">
        <w:t xml:space="preserve">by 57 per cent in real terms between </w:t>
      </w:r>
      <w:r w:rsidR="008D1851">
        <w:br/>
      </w:r>
      <w:r w:rsidR="00A91664" w:rsidRPr="0032645A">
        <w:t>2014–15 and 2023–24.</w:t>
      </w:r>
    </w:p>
    <w:p w14:paraId="1C580492" w14:textId="77777777" w:rsidR="008A6655" w:rsidRDefault="008A6655" w:rsidP="00AF7935">
      <w:pPr>
        <w:pStyle w:val="Figureheading"/>
        <w:sectPr w:rsidR="008A6655" w:rsidSect="008A6655">
          <w:type w:val="continuous"/>
          <w:pgSz w:w="11906" w:h="16838"/>
          <w:pgMar w:top="1440" w:right="1440" w:bottom="1440" w:left="1440" w:header="708" w:footer="708" w:gutter="0"/>
          <w:cols w:num="2" w:space="708"/>
          <w:docGrid w:linePitch="360"/>
          <w15:footnoteColumns w:val="1"/>
        </w:sectPr>
      </w:pPr>
      <w:bookmarkStart w:id="20" w:name="_Ref199326607"/>
      <w:bookmarkStart w:id="21" w:name="_Hlk201658911"/>
    </w:p>
    <w:p w14:paraId="062343A2" w14:textId="1E7F5121" w:rsidR="00434E81" w:rsidRPr="001E0317" w:rsidRDefault="00434E81" w:rsidP="008A6655">
      <w:pPr>
        <w:pStyle w:val="Figureheading"/>
      </w:pPr>
      <w:r w:rsidRPr="001E0317">
        <w:t xml:space="preserve">Figure </w:t>
      </w:r>
      <w:r w:rsidR="00BB161B">
        <w:t>2.</w:t>
      </w:r>
      <w:r w:rsidR="009D5FCD">
        <w:fldChar w:fldCharType="begin"/>
      </w:r>
      <w:r w:rsidR="009D5FCD">
        <w:instrText xml:space="preserve"> SEQ Figure \* ARABIC \s 1 </w:instrText>
      </w:r>
      <w:r w:rsidR="009D5FCD">
        <w:fldChar w:fldCharType="separate"/>
      </w:r>
      <w:r w:rsidR="009D1283">
        <w:rPr>
          <w:noProof/>
        </w:rPr>
        <w:t>5</w:t>
      </w:r>
      <w:r w:rsidR="009D5FCD">
        <w:rPr>
          <w:noProof/>
        </w:rPr>
        <w:fldChar w:fldCharType="end"/>
      </w:r>
      <w:bookmarkEnd w:id="20"/>
      <w:r w:rsidRPr="001E0317">
        <w:t>: State taxation</w:t>
      </w:r>
      <w:r>
        <w:t xml:space="preserve"> and royalty</w:t>
      </w:r>
      <w:r w:rsidRPr="001E0317">
        <w:t xml:space="preserve"> revenue as a </w:t>
      </w:r>
      <w:r w:rsidRPr="00C317E4">
        <w:t>percent</w:t>
      </w:r>
      <w:r w:rsidR="00534C22" w:rsidRPr="00C317E4">
        <w:t>age</w:t>
      </w:r>
      <w:r w:rsidRPr="001E0317">
        <w:t xml:space="preserve"> of GSP</w:t>
      </w:r>
    </w:p>
    <w:bookmarkEnd w:id="21"/>
    <w:p w14:paraId="2FB5CF14" w14:textId="52C4BE24" w:rsidR="00AF7935" w:rsidRDefault="002468EE" w:rsidP="00AF7935">
      <w:r>
        <w:rPr>
          <w:noProof/>
        </w:rPr>
        <mc:AlternateContent>
          <mc:Choice Requires="wps">
            <w:drawing>
              <wp:anchor distT="0" distB="0" distL="114300" distR="114300" simplePos="0" relativeHeight="251658305" behindDoc="0" locked="0" layoutInCell="1" allowOverlap="1" wp14:anchorId="60BF46A4" wp14:editId="24B10881">
                <wp:simplePos x="0" y="0"/>
                <wp:positionH relativeFrom="margin">
                  <wp:posOffset>4563110</wp:posOffset>
                </wp:positionH>
                <wp:positionV relativeFrom="paragraph">
                  <wp:posOffset>1131570</wp:posOffset>
                </wp:positionV>
                <wp:extent cx="1828800" cy="607671"/>
                <wp:effectExtent l="0" t="0" r="0" b="2540"/>
                <wp:wrapNone/>
                <wp:docPr id="1860648674" name="TextBox 2"/>
                <wp:cNvGraphicFramePr/>
                <a:graphic xmlns:a="http://schemas.openxmlformats.org/drawingml/2006/main">
                  <a:graphicData uri="http://schemas.microsoft.com/office/word/2010/wordprocessingShape">
                    <wps:wsp>
                      <wps:cNvSpPr txBox="1"/>
                      <wps:spPr>
                        <a:xfrm>
                          <a:off x="0" y="0"/>
                          <a:ext cx="1828800" cy="60767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D12555A" w14:textId="247253E1" w:rsidR="002468EE" w:rsidRPr="002468EE" w:rsidRDefault="002468EE" w:rsidP="00AF7935">
                            <w:pPr>
                              <w:rPr>
                                <w:rFonts w:hAnsi="Aptos"/>
                                <w:color w:val="00B0F0"/>
                                <w:kern w:val="0"/>
                                <w:szCs w:val="22"/>
                                <w14:ligatures w14:val="none"/>
                              </w:rPr>
                            </w:pPr>
                            <w:r w:rsidRPr="002468EE">
                              <w:rPr>
                                <w:rFonts w:hAnsi="Aptos"/>
                                <w:color w:val="00B0F0"/>
                                <w:szCs w:val="22"/>
                              </w:rPr>
                              <w:t>Vic</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0BF46A4" id="_x0000_s1038" type="#_x0000_t202" style="position:absolute;margin-left:359.3pt;margin-top:89.1pt;width:2in;height:47.85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" filled="f" stroked="f">
                <v:textbox>
                  <w:txbxContent>
                    <w:p w14:paraId="4D12555A" w14:textId="247253E1" w:rsidR="002468EE" w:rsidRPr="002468EE" w:rsidRDefault="002468EE" w:rsidP="00AF7935">
                      <w:pPr>
                        <w:rPr>
                          <w:rFonts w:hAnsi="Aptos"/>
                          <w:color w:val="00B0F0"/>
                          <w:kern w:val="0"/>
                          <w:szCs w:val="22"/>
                          <w14:ligatures w14:val="none"/>
                        </w:rPr>
                      </w:pPr>
                      <w:r w:rsidRPr="002468EE">
                        <w:rPr>
                          <w:rFonts w:hAnsi="Aptos"/>
                          <w:color w:val="00B0F0"/>
                          <w:szCs w:val="22"/>
                        </w:rPr>
                        <w:t>Vic</w:t>
                      </w:r>
                    </w:p>
                  </w:txbxContent>
                </v:textbox>
                <w10:wrap anchorx="margin"/>
              </v:shape>
            </w:pict>
          </mc:Fallback>
        </mc:AlternateContent>
      </w:r>
      <w:r w:rsidR="00AF7935">
        <w:rPr>
          <w:noProof/>
        </w:rPr>
        <mc:AlternateContent>
          <mc:Choice Requires="wps">
            <w:drawing>
              <wp:anchor distT="0" distB="0" distL="114300" distR="114300" simplePos="0" relativeHeight="251658283" behindDoc="0" locked="0" layoutInCell="1" allowOverlap="1" wp14:anchorId="673CE047" wp14:editId="2574E607">
                <wp:simplePos x="0" y="0"/>
                <wp:positionH relativeFrom="margin">
                  <wp:align>center</wp:align>
                </wp:positionH>
                <wp:positionV relativeFrom="paragraph">
                  <wp:posOffset>630443</wp:posOffset>
                </wp:positionV>
                <wp:extent cx="1828800" cy="607671"/>
                <wp:effectExtent l="0" t="0" r="0" b="2540"/>
                <wp:wrapNone/>
                <wp:docPr id="1035139254" name="TextBox 2"/>
                <wp:cNvGraphicFramePr/>
                <a:graphic xmlns:a="http://schemas.openxmlformats.org/drawingml/2006/main">
                  <a:graphicData uri="http://schemas.microsoft.com/office/word/2010/wordprocessingShape">
                    <wps:wsp>
                      <wps:cNvSpPr txBox="1"/>
                      <wps:spPr>
                        <a:xfrm>
                          <a:off x="0" y="0"/>
                          <a:ext cx="1828800" cy="60767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89DFFAF" w14:textId="19F842E0" w:rsidR="00AF7935" w:rsidRPr="005769E6" w:rsidRDefault="00AF7935" w:rsidP="00AF7935">
                            <w:pPr>
                              <w:rPr>
                                <w:rFonts w:hAnsi="Aptos"/>
                                <w:color w:val="800080"/>
                                <w:kern w:val="0"/>
                                <w:szCs w:val="22"/>
                                <w14:ligatures w14:val="none"/>
                              </w:rPr>
                            </w:pPr>
                            <w:r w:rsidRPr="005769E6">
                              <w:rPr>
                                <w:rFonts w:hAnsi="Aptos"/>
                                <w:color w:val="800080"/>
                                <w:szCs w:val="22"/>
                              </w:rPr>
                              <w:t xml:space="preserve">All states &amp; territories </w:t>
                            </w:r>
                            <w:r w:rsidR="005769E6">
                              <w:rPr>
                                <w:rFonts w:hAnsi="Aptos"/>
                                <w:color w:val="800080"/>
                                <w:szCs w:val="22"/>
                              </w:rPr>
                              <w:br/>
                            </w:r>
                            <w:r w:rsidRPr="005769E6">
                              <w:rPr>
                                <w:rFonts w:hAnsi="Aptos"/>
                                <w:color w:val="800080"/>
                                <w:szCs w:val="22"/>
                              </w:rPr>
                              <w:t>excl. Vic</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73CE047" id="_x0000_s1039" type="#_x0000_t202" style="position:absolute;margin-left:0;margin-top:49.65pt;width:2in;height:47.85pt;z-index:25165828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" filled="f" stroked="f">
                <v:textbox>
                  <w:txbxContent>
                    <w:p w14:paraId="489DFFAF" w14:textId="19F842E0" w:rsidR="00AF7935" w:rsidRPr="005769E6" w:rsidRDefault="00AF7935" w:rsidP="00AF7935">
                      <w:pPr>
                        <w:rPr>
                          <w:rFonts w:hAnsi="Aptos"/>
                          <w:color w:val="800080"/>
                          <w:kern w:val="0"/>
                          <w:szCs w:val="22"/>
                          <w14:ligatures w14:val="none"/>
                        </w:rPr>
                      </w:pPr>
                      <w:r w:rsidRPr="005769E6">
                        <w:rPr>
                          <w:rFonts w:hAnsi="Aptos"/>
                          <w:color w:val="800080"/>
                          <w:szCs w:val="22"/>
                        </w:rPr>
                        <w:t xml:space="preserve">All states &amp; territories </w:t>
                      </w:r>
                      <w:r w:rsidR="005769E6">
                        <w:rPr>
                          <w:rFonts w:hAnsi="Aptos"/>
                          <w:color w:val="800080"/>
                          <w:szCs w:val="22"/>
                        </w:rPr>
                        <w:br/>
                      </w:r>
                      <w:r w:rsidRPr="005769E6">
                        <w:rPr>
                          <w:rFonts w:hAnsi="Aptos"/>
                          <w:color w:val="800080"/>
                          <w:szCs w:val="22"/>
                        </w:rPr>
                        <w:t>excl. Vic</w:t>
                      </w:r>
                    </w:p>
                  </w:txbxContent>
                </v:textbox>
                <w10:wrap anchorx="margin"/>
              </v:shape>
            </w:pict>
          </mc:Fallback>
        </mc:AlternateContent>
      </w:r>
      <w:r w:rsidR="00AF7935">
        <w:rPr>
          <w:noProof/>
        </w:rPr>
        <w:drawing>
          <wp:inline distT="0" distB="0" distL="0" distR="0" wp14:anchorId="10A9530B" wp14:editId="3ED5B925">
            <wp:extent cx="5731510" cy="2710815"/>
            <wp:effectExtent l="0" t="0" r="2540" b="0"/>
            <wp:docPr id="864613484" name="Chart 1" descr="A chart with four lines displaying trends in state government taxation and royalty revenue for Victoria and the other jurisdictions over the period 2014-15 to 2023 24.  &#10;The first line displays the annual combined value of Victorian state government taxation and royalty revenue, measured as a share of Victorian Gross State Product. This line increases from around 5 per cent to around 6 per cent over the period.&#10;The second line displays the annual value of taxation and royalty revenue of all Australian states and territories excluding Victoria, measured as a share of their combined Gross State Product. This line increases from around 5 per cent to around 6 per cent over the period.&#10;The third line shows the annual value of Victorian state government taxation revenue, measured as a share of Victorian Gross State Product. This line increases from around 5 per cent to around 6 per cent over the period.&#10;The fourth line shows combined taxation revenue for all states and territories excluding Victoria as a share of their combined Gross State Product. This line fluctuates around 4.5 per cent over the period.  &#10;">
              <a:extLst xmlns:a="http://schemas.openxmlformats.org/drawingml/2006/main">
                <a:ext uri="{FF2B5EF4-FFF2-40B4-BE49-F238E27FC236}">
                  <a16:creationId xmlns:a16="http://schemas.microsoft.com/office/drawing/2014/main" id="{5F53D7A3-3D24-6F8B-E7C5-06105F0E46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7465181" w14:textId="77777777" w:rsidR="009F634C" w:rsidRPr="00502FDD" w:rsidRDefault="00434E81" w:rsidP="00502FDD">
      <w:pPr>
        <w:pStyle w:val="Caption"/>
        <w:spacing w:after="120"/>
      </w:pPr>
      <w:r w:rsidRPr="00502FDD">
        <w:t>Source: ABS</w:t>
      </w:r>
      <w:r w:rsidRPr="00502FDD" w:rsidDel="00CB7A8A">
        <w:t xml:space="preserve"> </w:t>
      </w:r>
    </w:p>
    <w:p w14:paraId="4CD0696B" w14:textId="5943C0BF" w:rsidR="00434E81" w:rsidRPr="00502FDD" w:rsidRDefault="00427A70" w:rsidP="00502FDD">
      <w:pPr>
        <w:pStyle w:val="Caption"/>
      </w:pPr>
      <w:r w:rsidRPr="00502FDD">
        <w:t>Note: Dotted lines refer to taxation as a percentage of GSP, solid lines represent taxation and royalty revenue as a percentage of GSP</w:t>
      </w:r>
      <w:r w:rsidR="00534C22" w:rsidRPr="00502FDD">
        <w:t>.</w:t>
      </w:r>
    </w:p>
    <w:p w14:paraId="1F60050C" w14:textId="77777777" w:rsidR="00B93056" w:rsidRDefault="00B93056" w:rsidP="006B5E57">
      <w:pPr>
        <w:spacing w:before="120"/>
        <w:sectPr w:rsidR="00B93056" w:rsidSect="00AE6104">
          <w:type w:val="continuous"/>
          <w:pgSz w:w="11906" w:h="16838"/>
          <w:pgMar w:top="1440" w:right="1440" w:bottom="1440" w:left="1440" w:header="708" w:footer="708" w:gutter="0"/>
          <w:cols w:space="708"/>
          <w:docGrid w:linePitch="360"/>
          <w15:footnoteColumns w:val="1"/>
        </w:sectPr>
      </w:pPr>
    </w:p>
    <w:p w14:paraId="0C8B8D94" w14:textId="132909C7" w:rsidR="00BB730B" w:rsidRPr="00B76972" w:rsidRDefault="00434E81" w:rsidP="00B93056">
      <w:pPr>
        <w:spacing w:before="120"/>
      </w:pPr>
      <w:r w:rsidRPr="001E7E82">
        <w:t xml:space="preserve">The Victorian Government has introduced </w:t>
      </w:r>
      <w:proofErr w:type="gramStart"/>
      <w:r w:rsidRPr="001E7E82">
        <w:t>a number of</w:t>
      </w:r>
      <w:proofErr w:type="gramEnd"/>
      <w:r w:rsidRPr="001E7E82">
        <w:t xml:space="preserve"> effective revenue measures to broaden its base, including the mental health and wellbeing payroll surcharge introduced in 2022 and land tax changes</w:t>
      </w:r>
      <w:r w:rsidRPr="00C05CF0">
        <w:t xml:space="preserve">. However, opportunities to expand self-generated revenue are limited by the state’s tax revenue raising powers (further limited </w:t>
      </w:r>
      <w:r w:rsidRPr="00C05CF0">
        <w:t xml:space="preserve">by </w:t>
      </w:r>
      <w:proofErr w:type="spellStart"/>
      <w:r w:rsidRPr="00C05CF0">
        <w:rPr>
          <w:i/>
          <w:iCs/>
        </w:rPr>
        <w:t>Vanderstock</w:t>
      </w:r>
      <w:proofErr w:type="spellEnd"/>
      <w:r w:rsidRPr="00C05CF0">
        <w:rPr>
          <w:i/>
          <w:iCs/>
        </w:rPr>
        <w:t xml:space="preserve"> v Victoria</w:t>
      </w:r>
      <w:r w:rsidRPr="00C05CF0">
        <w:t xml:space="preserve">) and </w:t>
      </w:r>
      <w:r>
        <w:t>the</w:t>
      </w:r>
      <w:r w:rsidRPr="00C05CF0">
        <w:t xml:space="preserve"> ability </w:t>
      </w:r>
      <w:r>
        <w:t>of business</w:t>
      </w:r>
      <w:r w:rsidRPr="00C05CF0">
        <w:t xml:space="preserve"> to absorb higher costs. </w:t>
      </w:r>
      <w:r w:rsidR="00BB730B">
        <w:t>Victoria needs</w:t>
      </w:r>
      <w:r w:rsidR="00BB730B" w:rsidRPr="00C05CF0">
        <w:t xml:space="preserve"> to be conscious of the impact of further tax imposts relative to other </w:t>
      </w:r>
      <w:r w:rsidR="00BB730B">
        <w:t>states.</w:t>
      </w:r>
    </w:p>
    <w:p w14:paraId="4392F4B1" w14:textId="04FA6B93" w:rsidR="003B585A" w:rsidRPr="0058580D" w:rsidRDefault="003A774C" w:rsidP="00434E81">
      <w:r w:rsidRPr="0058580D">
        <w:t>The Review notes</w:t>
      </w:r>
      <w:r w:rsidR="00534C22" w:rsidRPr="0058580D">
        <w:t xml:space="preserve"> that</w:t>
      </w:r>
      <w:r w:rsidR="00534C22">
        <w:t xml:space="preserve"> </w:t>
      </w:r>
      <w:r w:rsidR="004879AA" w:rsidRPr="0058580D">
        <w:t>Victorian business investment growth has outpaced the rest of the country since 2013</w:t>
      </w:r>
      <w:r w:rsidR="0016040F">
        <w:t>–</w:t>
      </w:r>
      <w:r w:rsidR="004879AA" w:rsidRPr="0058580D">
        <w:t xml:space="preserve">14 (Figure </w:t>
      </w:r>
      <w:r w:rsidR="003E1852" w:rsidRPr="0058580D">
        <w:t>2.6).</w:t>
      </w:r>
      <w:r w:rsidR="004E327A">
        <w:t xml:space="preserve"> </w:t>
      </w:r>
    </w:p>
    <w:p w14:paraId="41AE72A1" w14:textId="77777777" w:rsidR="00B93056" w:rsidRDefault="00B93056" w:rsidP="003E1852">
      <w:pPr>
        <w:textAlignment w:val="baseline"/>
        <w:rPr>
          <w:rFonts w:ascii="Aptos" w:eastAsia="Times New Roman" w:hAnsi="Aptos" w:cs="Times New Roman"/>
          <w:i/>
          <w:lang w:eastAsia="en-AU"/>
        </w:rPr>
        <w:sectPr w:rsidR="00B93056" w:rsidSect="00B93056">
          <w:type w:val="continuous"/>
          <w:pgSz w:w="11906" w:h="16838"/>
          <w:pgMar w:top="1440" w:right="1440" w:bottom="1440" w:left="1440" w:header="708" w:footer="708" w:gutter="0"/>
          <w:cols w:num="2" w:space="708"/>
          <w:docGrid w:linePitch="360"/>
          <w15:footnoteColumns w:val="1"/>
        </w:sectPr>
      </w:pPr>
    </w:p>
    <w:p w14:paraId="00526849" w14:textId="77777777" w:rsidR="00937720" w:rsidRDefault="00937720" w:rsidP="003E1852">
      <w:pPr>
        <w:textAlignment w:val="baseline"/>
        <w:rPr>
          <w:rFonts w:ascii="Aptos" w:eastAsia="Times New Roman" w:hAnsi="Aptos" w:cs="Times New Roman"/>
          <w:i/>
          <w:lang w:eastAsia="en-AU"/>
        </w:rPr>
      </w:pPr>
      <w:r>
        <w:rPr>
          <w:rFonts w:ascii="Aptos" w:eastAsia="Times New Roman" w:hAnsi="Aptos" w:cs="Times New Roman"/>
          <w:i/>
          <w:lang w:eastAsia="en-AU"/>
        </w:rPr>
        <w:br w:type="page"/>
      </w:r>
    </w:p>
    <w:p w14:paraId="5C2049E2" w14:textId="07B45296" w:rsidR="003E1852" w:rsidRDefault="006370EB" w:rsidP="00937720">
      <w:pPr>
        <w:pStyle w:val="Figureheading"/>
        <w:rPr>
          <w:rFonts w:ascii="Aptos" w:eastAsia="Times New Roman" w:hAnsi="Aptos" w:cs="Times New Roman"/>
          <w:i w:val="0"/>
          <w:lang w:eastAsia="en-AU"/>
        </w:rPr>
      </w:pPr>
      <w:r>
        <w:rPr>
          <w:noProof/>
        </w:rPr>
        <w:lastRenderedPageBreak/>
        <w:drawing>
          <wp:anchor distT="0" distB="0" distL="114300" distR="114300" simplePos="0" relativeHeight="251658309" behindDoc="0" locked="0" layoutInCell="1" allowOverlap="1" wp14:anchorId="586B729B" wp14:editId="1FAB02D2">
            <wp:simplePos x="0" y="0"/>
            <wp:positionH relativeFrom="margin">
              <wp:align>left</wp:align>
            </wp:positionH>
            <wp:positionV relativeFrom="paragraph">
              <wp:posOffset>297815</wp:posOffset>
            </wp:positionV>
            <wp:extent cx="5728335" cy="2863850"/>
            <wp:effectExtent l="0" t="0" r="5715" b="0"/>
            <wp:wrapTopAndBottom/>
            <wp:docPr id="564349320" name="Chart 1" descr="A chart with two lines. The first line is an index of annual real Victorian business investment over 2013-14 to 2023-24, equal to 100 in 2013-14. This line increases from 100 to around 160 over the time period. The second line is an index of annual combined real business investment for all states and territories excluding Victoria over 2013-14 to 2023-24. This line decreases from 100 to 90 over the time period. ">
              <a:extLst xmlns:a="http://schemas.openxmlformats.org/drawingml/2006/main">
                <a:ext uri="{FF2B5EF4-FFF2-40B4-BE49-F238E27FC236}">
                  <a16:creationId xmlns:a16="http://schemas.microsoft.com/office/drawing/2014/main" id="{98B4FF2C-5218-21C0-4AC5-852B96B9DC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anchor>
        </w:drawing>
      </w:r>
      <w:r w:rsidR="00E04279">
        <w:rPr>
          <w:noProof/>
        </w:rPr>
        <mc:AlternateContent>
          <mc:Choice Requires="wps">
            <w:drawing>
              <wp:anchor distT="0" distB="0" distL="114300" distR="114300" simplePos="0" relativeHeight="251658321" behindDoc="0" locked="0" layoutInCell="1" allowOverlap="1" wp14:anchorId="57C2F6F1" wp14:editId="25D2A0D8">
                <wp:simplePos x="0" y="0"/>
                <wp:positionH relativeFrom="margin">
                  <wp:align>right</wp:align>
                </wp:positionH>
                <wp:positionV relativeFrom="paragraph">
                  <wp:posOffset>1326716</wp:posOffset>
                </wp:positionV>
                <wp:extent cx="1628140" cy="543560"/>
                <wp:effectExtent l="0" t="0" r="0" b="0"/>
                <wp:wrapTopAndBottom/>
                <wp:docPr id="21" name="TextBox 5">
                  <a:extLst xmlns:a="http://schemas.openxmlformats.org/drawingml/2006/main">
                    <a:ext uri="{FF2B5EF4-FFF2-40B4-BE49-F238E27FC236}">
                      <a16:creationId xmlns:a16="http://schemas.microsoft.com/office/drawing/2014/main" id="{CCC74599-29CC-4D25-B3DE-490AE8AA806A}"/>
                    </a:ext>
                  </a:extLst>
                </wp:docPr>
                <wp:cNvGraphicFramePr/>
                <a:graphic xmlns:a="http://schemas.openxmlformats.org/drawingml/2006/main">
                  <a:graphicData uri="http://schemas.microsoft.com/office/word/2010/wordprocessingShape">
                    <wps:wsp>
                      <wps:cNvSpPr txBox="1"/>
                      <wps:spPr>
                        <a:xfrm>
                          <a:off x="0" y="0"/>
                          <a:ext cx="1628140" cy="54356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74CBBFF" w14:textId="77777777" w:rsidR="00E46660" w:rsidRPr="00E04279" w:rsidRDefault="00E46660" w:rsidP="00E46660">
                            <w:pPr>
                              <w:rPr>
                                <w:rFonts w:ascii="Aptos" w:hAnsi="Aptos"/>
                                <w:color w:val="800080"/>
                                <w:kern w:val="0"/>
                                <w:szCs w:val="22"/>
                                <w14:ligatures w14:val="none"/>
                              </w:rPr>
                            </w:pPr>
                            <w:r w:rsidRPr="00E04279">
                              <w:rPr>
                                <w:rFonts w:ascii="Aptos" w:hAnsi="Aptos"/>
                                <w:color w:val="800080"/>
                                <w:szCs w:val="22"/>
                              </w:rPr>
                              <w:t>All states and territories excl. Vic</w:t>
                            </w:r>
                          </w:p>
                        </w:txbxContent>
                      </wps:txbx>
                      <wps:bodyPr vertOverflow="clip" horzOverflow="clip" wrap="square" rtlCol="0" anchor="t">
                        <a:noAutofit/>
                      </wps:bodyPr>
                    </wps:wsp>
                  </a:graphicData>
                </a:graphic>
                <wp14:sizeRelV relativeFrom="margin">
                  <wp14:pctHeight>0</wp14:pctHeight>
                </wp14:sizeRelV>
              </wp:anchor>
            </w:drawing>
          </mc:Choice>
          <mc:Fallback>
            <w:pict>
              <v:shape w14:anchorId="57C2F6F1" id="_x0000_s1040" type="#_x0000_t202" style="position:absolute;margin-left:77pt;margin-top:104.45pt;width:128.2pt;height:42.8pt;z-index:251658321;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" filled="f" stroked="f">
                <v:textbox>
                  <w:txbxContent>
                    <w:p w14:paraId="074CBBFF" w14:textId="77777777" w:rsidR="00E46660" w:rsidRPr="00E04279" w:rsidRDefault="00E46660" w:rsidP="00E46660">
                      <w:pPr>
                        <w:rPr>
                          <w:rFonts w:ascii="Aptos" w:hAnsi="Aptos"/>
                          <w:color w:val="800080"/>
                          <w:kern w:val="0"/>
                          <w:szCs w:val="22"/>
                          <w14:ligatures w14:val="none"/>
                        </w:rPr>
                      </w:pPr>
                      <w:r w:rsidRPr="00E04279">
                        <w:rPr>
                          <w:rFonts w:ascii="Aptos" w:hAnsi="Aptos"/>
                          <w:color w:val="800080"/>
                          <w:szCs w:val="22"/>
                        </w:rPr>
                        <w:t>All states and territories excl. Vic</w:t>
                      </w:r>
                    </w:p>
                  </w:txbxContent>
                </v:textbox>
                <w10:wrap type="topAndBottom" anchorx="margin"/>
              </v:shape>
            </w:pict>
          </mc:Fallback>
        </mc:AlternateContent>
      </w:r>
      <w:r w:rsidR="003212C7">
        <w:rPr>
          <w:noProof/>
        </w:rPr>
        <mc:AlternateContent>
          <mc:Choice Requires="wps">
            <w:drawing>
              <wp:anchor distT="0" distB="0" distL="114300" distR="114300" simplePos="0" relativeHeight="251658320" behindDoc="0" locked="0" layoutInCell="1" allowOverlap="1" wp14:anchorId="23D03D07" wp14:editId="2CA25C65">
                <wp:simplePos x="0" y="0"/>
                <wp:positionH relativeFrom="column">
                  <wp:posOffset>4627245</wp:posOffset>
                </wp:positionH>
                <wp:positionV relativeFrom="paragraph">
                  <wp:posOffset>614045</wp:posOffset>
                </wp:positionV>
                <wp:extent cx="508635" cy="301625"/>
                <wp:effectExtent l="0" t="0" r="0" b="3175"/>
                <wp:wrapTopAndBottom/>
                <wp:docPr id="20" name="TextBox 4">
                  <a:extLst xmlns:a="http://schemas.openxmlformats.org/drawingml/2006/main">
                    <a:ext uri="{FF2B5EF4-FFF2-40B4-BE49-F238E27FC236}">
                      <a16:creationId xmlns:a16="http://schemas.microsoft.com/office/drawing/2014/main" id="{7BF462EA-04EE-40C4-AC0F-0870829A9B05}"/>
                    </a:ext>
                  </a:extLst>
                </wp:docPr>
                <wp:cNvGraphicFramePr/>
                <a:graphic xmlns:a="http://schemas.openxmlformats.org/drawingml/2006/main">
                  <a:graphicData uri="http://schemas.microsoft.com/office/word/2010/wordprocessingShape">
                    <wps:wsp>
                      <wps:cNvSpPr txBox="1"/>
                      <wps:spPr>
                        <a:xfrm>
                          <a:off x="0" y="0"/>
                          <a:ext cx="508635" cy="3016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084CA24" w14:textId="77777777" w:rsidR="00E46660" w:rsidRPr="00E04279" w:rsidRDefault="00E46660" w:rsidP="00E46660">
                            <w:pPr>
                              <w:rPr>
                                <w:rFonts w:ascii="Aptos" w:hAnsi="Aptos"/>
                                <w:color w:val="1CADE4"/>
                                <w:kern w:val="0"/>
                                <w:szCs w:val="22"/>
                                <w14:ligatures w14:val="none"/>
                              </w:rPr>
                            </w:pPr>
                            <w:r w:rsidRPr="00E04279">
                              <w:rPr>
                                <w:rFonts w:ascii="Aptos" w:hAnsi="Aptos"/>
                                <w:color w:val="1CADE4"/>
                                <w:szCs w:val="22"/>
                              </w:rPr>
                              <w:t>Vic</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3D03D07" id="_x0000_s1041" type="#_x0000_t202" style="position:absolute;margin-left:364.35pt;margin-top:48.35pt;width:40.05pt;height:23.7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" filled="f" stroked="f">
                <v:textbox>
                  <w:txbxContent>
                    <w:p w14:paraId="7084CA24" w14:textId="77777777" w:rsidR="00E46660" w:rsidRPr="00E04279" w:rsidRDefault="00E46660" w:rsidP="00E46660">
                      <w:pPr>
                        <w:rPr>
                          <w:rFonts w:ascii="Aptos" w:hAnsi="Aptos"/>
                          <w:color w:val="1CADE4"/>
                          <w:kern w:val="0"/>
                          <w:szCs w:val="22"/>
                          <w14:ligatures w14:val="none"/>
                        </w:rPr>
                      </w:pPr>
                      <w:r w:rsidRPr="00E04279">
                        <w:rPr>
                          <w:rFonts w:ascii="Aptos" w:hAnsi="Aptos"/>
                          <w:color w:val="1CADE4"/>
                          <w:szCs w:val="22"/>
                        </w:rPr>
                        <w:t>Vic</w:t>
                      </w:r>
                    </w:p>
                  </w:txbxContent>
                </v:textbox>
                <w10:wrap type="topAndBottom"/>
              </v:shape>
            </w:pict>
          </mc:Fallback>
        </mc:AlternateContent>
      </w:r>
      <w:r w:rsidR="003E1852" w:rsidRPr="0058580D">
        <w:rPr>
          <w:lang w:eastAsia="en-AU"/>
        </w:rPr>
        <w:t>Figure 2.6: Real business investment</w:t>
      </w:r>
    </w:p>
    <w:p w14:paraId="4AC15EA7" w14:textId="3E3C20DA" w:rsidR="003E1852" w:rsidRPr="004C3A02" w:rsidRDefault="003E1852" w:rsidP="00F37074">
      <w:pPr>
        <w:pStyle w:val="Caption"/>
        <w:spacing w:before="360"/>
        <w:rPr>
          <w:rFonts w:ascii="Aptos" w:eastAsia="Times New Roman" w:hAnsi="Aptos" w:cs="Times New Roman"/>
          <w:i w:val="0"/>
          <w:lang w:eastAsia="en-AU"/>
        </w:rPr>
      </w:pPr>
      <w:r w:rsidRPr="003E1852">
        <w:rPr>
          <w:lang w:eastAsia="en-AU"/>
        </w:rPr>
        <w:t>Source: ABS</w:t>
      </w:r>
    </w:p>
    <w:p w14:paraId="5C705916" w14:textId="77777777" w:rsidR="00B93056" w:rsidRDefault="00B93056" w:rsidP="00434E81">
      <w:pPr>
        <w:sectPr w:rsidR="00B93056" w:rsidSect="00AE6104">
          <w:type w:val="continuous"/>
          <w:pgSz w:w="11906" w:h="16838"/>
          <w:pgMar w:top="1440" w:right="1440" w:bottom="1440" w:left="1440" w:header="708" w:footer="708" w:gutter="0"/>
          <w:cols w:space="708"/>
          <w:docGrid w:linePitch="360"/>
          <w15:footnoteColumns w:val="1"/>
        </w:sectPr>
      </w:pPr>
    </w:p>
    <w:p w14:paraId="77C20EED" w14:textId="4BF2BF64" w:rsidR="00434E81" w:rsidRPr="00C05CF0" w:rsidRDefault="00434E81" w:rsidP="00434E81">
      <w:r w:rsidRPr="00764C36">
        <w:t>Economic growth over the forward estimates assists in reducing net debt as a share of the economy, consistent with the government’s fiscal strategy. Nominal GSP is forecast to grow at an average of 5.</w:t>
      </w:r>
      <w:r>
        <w:t>4</w:t>
      </w:r>
      <w:r w:rsidR="00175845">
        <w:t> </w:t>
      </w:r>
      <w:r w:rsidRPr="00764C36">
        <w:t>per</w:t>
      </w:r>
      <w:r w:rsidR="00175845">
        <w:t> </w:t>
      </w:r>
      <w:r w:rsidRPr="00764C36">
        <w:t>cent per year between 2025–26 and 2028–29 and net debt is forecast to grow at 5</w:t>
      </w:r>
      <w:r w:rsidR="00941D6B">
        <w:t> </w:t>
      </w:r>
      <w:r w:rsidRPr="00764C36">
        <w:t>per</w:t>
      </w:r>
      <w:r w:rsidR="00941D6B">
        <w:t> </w:t>
      </w:r>
      <w:r w:rsidRPr="00764C36">
        <w:t xml:space="preserve">cent per year over the same period. Progress is </w:t>
      </w:r>
      <w:r>
        <w:t xml:space="preserve">good but more </w:t>
      </w:r>
      <w:r w:rsidRPr="00764C36">
        <w:t xml:space="preserve">significant improvements to the state’s position </w:t>
      </w:r>
      <w:r>
        <w:t xml:space="preserve">will </w:t>
      </w:r>
      <w:r w:rsidRPr="00764C36">
        <w:t xml:space="preserve">require </w:t>
      </w:r>
      <w:r w:rsidR="00A565C0" w:rsidRPr="009708A4">
        <w:t xml:space="preserve">sustainable </w:t>
      </w:r>
      <w:r w:rsidRPr="009708A4">
        <w:t>expenditure</w:t>
      </w:r>
      <w:r w:rsidR="00A565C0" w:rsidRPr="009708A4">
        <w:t xml:space="preserve"> reductions</w:t>
      </w:r>
      <w:r w:rsidR="00F458C3">
        <w:t> </w:t>
      </w:r>
      <w:r w:rsidRPr="00764C36">
        <w:t xml:space="preserve">– the focus of this </w:t>
      </w:r>
      <w:r w:rsidRPr="00C05CF0">
        <w:t>Review.</w:t>
      </w:r>
    </w:p>
    <w:p w14:paraId="6AC39820" w14:textId="77777777" w:rsidR="00434E81" w:rsidRPr="00C05CF0" w:rsidRDefault="00434E81" w:rsidP="004D556B">
      <w:pPr>
        <w:pStyle w:val="Heading3"/>
      </w:pPr>
      <w:r w:rsidRPr="00C05CF0">
        <w:t>Growth in size, expense and complexity of government</w:t>
      </w:r>
    </w:p>
    <w:p w14:paraId="6CAFF18B" w14:textId="77777777" w:rsidR="00434E81" w:rsidRPr="00C05CF0" w:rsidRDefault="00434E81" w:rsidP="00434E81">
      <w:r w:rsidRPr="00C05CF0">
        <w:t xml:space="preserve">With growth in expenditure on programs and infrastructure, government has become larger, much more expensive and complex to navigate – internally and for the community, stakeholders and business. </w:t>
      </w:r>
    </w:p>
    <w:p w14:paraId="34D24D3E" w14:textId="3C27DE83" w:rsidR="00434E81" w:rsidRPr="00C05CF0" w:rsidRDefault="00434E81" w:rsidP="00434E81">
      <w:r w:rsidRPr="00C05CF0">
        <w:t xml:space="preserve">Victoria now has more than 500 public entities and 3,400 public boards – more than other jurisdictions. This is fuelling duplication, inefficiency and an increase in the indirect costs of oversight functions in departments. It also makes it more difficult for </w:t>
      </w:r>
      <w:r w:rsidR="002533CC" w:rsidRPr="00C30531">
        <w:t>citizens</w:t>
      </w:r>
      <w:r w:rsidRPr="00C05CF0">
        <w:t xml:space="preserve"> and business to engage with the government. The opportunities for public entity reform are covered in Chapter</w:t>
      </w:r>
      <w:r w:rsidR="002541D0">
        <w:t> </w:t>
      </w:r>
      <w:r>
        <w:t>6</w:t>
      </w:r>
      <w:r w:rsidRPr="00C05CF0">
        <w:t>.</w:t>
      </w:r>
    </w:p>
    <w:p w14:paraId="3195ABF0" w14:textId="56A1064B" w:rsidR="002541D0" w:rsidRDefault="00434E81">
      <w:pPr>
        <w:rPr>
          <w:rFonts w:ascii="Aptos" w:eastAsia="Times New Roman" w:hAnsi="Aptos" w:cs="Times New Roman"/>
          <w:i/>
          <w:iCs/>
          <w:highlight w:val="cyan"/>
          <w:lang w:eastAsia="en-AU"/>
        </w:rPr>
      </w:pPr>
      <w:r w:rsidRPr="00C05CF0">
        <w:t>The Victorian public sector grew by 45</w:t>
      </w:r>
      <w:r w:rsidR="00232905">
        <w:t> </w:t>
      </w:r>
      <w:r w:rsidRPr="00C05CF0">
        <w:t>per</w:t>
      </w:r>
      <w:r w:rsidR="00232905">
        <w:t> </w:t>
      </w:r>
      <w:r w:rsidRPr="00C05CF0">
        <w:t xml:space="preserve">cent between </w:t>
      </w:r>
      <w:r>
        <w:t>2013</w:t>
      </w:r>
      <w:r w:rsidR="00BC446F" w:rsidRPr="00764C36">
        <w:t>–</w:t>
      </w:r>
      <w:r w:rsidRPr="00C05CF0">
        <w:t xml:space="preserve">14 and </w:t>
      </w:r>
      <w:r>
        <w:t>2023</w:t>
      </w:r>
      <w:r w:rsidR="00BC446F" w:rsidRPr="00764C36">
        <w:t>–</w:t>
      </w:r>
      <w:r w:rsidRPr="00C05CF0">
        <w:t>24, while the population grew at around 18</w:t>
      </w:r>
      <w:r w:rsidR="00232905">
        <w:t> </w:t>
      </w:r>
      <w:r w:rsidRPr="00C05CF0">
        <w:t>per</w:t>
      </w:r>
      <w:r w:rsidR="00232905">
        <w:t> </w:t>
      </w:r>
      <w:r w:rsidRPr="00C05CF0">
        <w:t>cent. Government investment in services</w:t>
      </w:r>
      <w:r>
        <w:t xml:space="preserve"> has largely driven this growth – in particular the growth in healthcare and government schools’ workforces. The VPS as a proportion of the broader public sector has fallen since 2021 and is now below pre-pandemic levels </w:t>
      </w:r>
      <w:r w:rsidRPr="00C35269">
        <w:t>(Figure 2.</w:t>
      </w:r>
      <w:r w:rsidR="003E1852" w:rsidRPr="00C35269">
        <w:t>7</w:t>
      </w:r>
      <w:r w:rsidRPr="00C35269">
        <w:t>)</w:t>
      </w:r>
      <w:r w:rsidR="00B4304B">
        <w:t>.</w:t>
      </w:r>
    </w:p>
    <w:p w14:paraId="16A301FE" w14:textId="77777777" w:rsidR="00B93056" w:rsidRDefault="00B93056" w:rsidP="00A20596">
      <w:pPr>
        <w:pStyle w:val="Figureheading"/>
        <w:rPr>
          <w:lang w:eastAsia="en-AU"/>
        </w:rPr>
      </w:pPr>
    </w:p>
    <w:p w14:paraId="5D168F96" w14:textId="77777777" w:rsidR="00FA0D9B" w:rsidRDefault="00FA0D9B" w:rsidP="00A20596">
      <w:pPr>
        <w:pStyle w:val="Figureheading"/>
        <w:rPr>
          <w:lang w:eastAsia="en-AU"/>
        </w:rPr>
        <w:sectPr w:rsidR="00FA0D9B" w:rsidSect="00B93056">
          <w:type w:val="continuous"/>
          <w:pgSz w:w="11906" w:h="16838"/>
          <w:pgMar w:top="1440" w:right="1440" w:bottom="1440" w:left="1440" w:header="708" w:footer="708" w:gutter="0"/>
          <w:cols w:num="2" w:space="708"/>
          <w:docGrid w:linePitch="360"/>
          <w15:footnoteColumns w:val="1"/>
        </w:sectPr>
      </w:pPr>
    </w:p>
    <w:p w14:paraId="6BA03D01" w14:textId="388F3E4A" w:rsidR="00434E81" w:rsidRDefault="000D1D3E" w:rsidP="001636A8">
      <w:pPr>
        <w:pStyle w:val="Figureheading"/>
        <w:spacing w:before="240"/>
      </w:pPr>
      <w:r>
        <w:rPr>
          <w:noProof/>
        </w:rPr>
        <w:lastRenderedPageBreak/>
        <mc:AlternateContent>
          <mc:Choice Requires="wps">
            <w:drawing>
              <wp:anchor distT="0" distB="0" distL="114300" distR="114300" simplePos="0" relativeHeight="251658287" behindDoc="0" locked="0" layoutInCell="1" allowOverlap="1" wp14:anchorId="2F0A85C8" wp14:editId="64C1B807">
                <wp:simplePos x="0" y="0"/>
                <wp:positionH relativeFrom="column">
                  <wp:posOffset>1120748</wp:posOffset>
                </wp:positionH>
                <wp:positionV relativeFrom="paragraph">
                  <wp:posOffset>3023373</wp:posOffset>
                </wp:positionV>
                <wp:extent cx="1590040" cy="747395"/>
                <wp:effectExtent l="0" t="0" r="0" b="0"/>
                <wp:wrapTopAndBottom/>
                <wp:docPr id="1790289070" name="TextBox 4"/>
                <wp:cNvGraphicFramePr/>
                <a:graphic xmlns:a="http://schemas.openxmlformats.org/drawingml/2006/main">
                  <a:graphicData uri="http://schemas.microsoft.com/office/word/2010/wordprocessingShape">
                    <wps:wsp>
                      <wps:cNvSpPr txBox="1"/>
                      <wps:spPr>
                        <a:xfrm>
                          <a:off x="0" y="0"/>
                          <a:ext cx="1590040" cy="74739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BB2E1DB" w14:textId="58B7C355" w:rsidR="009F177C" w:rsidRPr="00EA56A7" w:rsidRDefault="009F177C" w:rsidP="009F177C">
                            <w:pPr>
                              <w:rPr>
                                <w:rFonts w:ascii="Aptos" w:hAnsi="Aptos"/>
                                <w:color w:val="00B0F0"/>
                                <w:kern w:val="0"/>
                                <w:szCs w:val="22"/>
                                <w14:ligatures w14:val="none"/>
                              </w:rPr>
                            </w:pPr>
                            <w:r w:rsidRPr="00EA56A7">
                              <w:rPr>
                                <w:rFonts w:ascii="Aptos" w:hAnsi="Aptos"/>
                                <w:color w:val="00B0F0"/>
                                <w:szCs w:val="22"/>
                              </w:rPr>
                              <w:t xml:space="preserve">VPS (department and agency) FTE </w:t>
                            </w:r>
                            <w:r w:rsidR="00EA56A7">
                              <w:rPr>
                                <w:rFonts w:ascii="Aptos" w:hAnsi="Aptos"/>
                                <w:color w:val="00B0F0"/>
                                <w:szCs w:val="22"/>
                              </w:rPr>
                              <w:br/>
                            </w:r>
                            <w:r w:rsidRPr="00EA56A7">
                              <w:rPr>
                                <w:rFonts w:ascii="Aptos" w:hAnsi="Aptos"/>
                                <w:color w:val="00B0F0"/>
                                <w:szCs w:val="22"/>
                              </w:rPr>
                              <w:t>(LHS)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F0A85C8" id="_x0000_s1042" type="#_x0000_t202" style="position:absolute;margin-left:88.25pt;margin-top:238.05pt;width:125.2pt;height:58.8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" filled="f" stroked="f">
                <v:textbox>
                  <w:txbxContent>
                    <w:p w14:paraId="1BB2E1DB" w14:textId="58B7C355" w:rsidR="009F177C" w:rsidRPr="00EA56A7" w:rsidRDefault="009F177C" w:rsidP="009F177C">
                      <w:pPr>
                        <w:rPr>
                          <w:rFonts w:ascii="Aptos" w:hAnsi="Aptos"/>
                          <w:color w:val="00B0F0"/>
                          <w:kern w:val="0"/>
                          <w:szCs w:val="22"/>
                          <w14:ligatures w14:val="none"/>
                        </w:rPr>
                      </w:pPr>
                      <w:r w:rsidRPr="00EA56A7">
                        <w:rPr>
                          <w:rFonts w:ascii="Aptos" w:hAnsi="Aptos"/>
                          <w:color w:val="00B0F0"/>
                          <w:szCs w:val="22"/>
                        </w:rPr>
                        <w:t xml:space="preserve">VPS (department and agency) FTE </w:t>
                      </w:r>
                      <w:r w:rsidR="00EA56A7">
                        <w:rPr>
                          <w:rFonts w:ascii="Aptos" w:hAnsi="Aptos"/>
                          <w:color w:val="00B0F0"/>
                          <w:szCs w:val="22"/>
                        </w:rPr>
                        <w:br/>
                      </w:r>
                      <w:r w:rsidRPr="00EA56A7">
                        <w:rPr>
                          <w:rFonts w:ascii="Aptos" w:hAnsi="Aptos"/>
                          <w:color w:val="00B0F0"/>
                          <w:szCs w:val="22"/>
                        </w:rPr>
                        <w:t>(LHS)</w:t>
                      </w:r>
                    </w:p>
                  </w:txbxContent>
                </v:textbox>
                <w10:wrap type="topAndBottom"/>
              </v:shape>
            </w:pict>
          </mc:Fallback>
        </mc:AlternateContent>
      </w:r>
      <w:r w:rsidR="00823D08">
        <w:rPr>
          <w:noProof/>
        </w:rPr>
        <mc:AlternateContent>
          <mc:Choice Requires="wps">
            <w:drawing>
              <wp:anchor distT="0" distB="0" distL="114300" distR="114300" simplePos="0" relativeHeight="251658286" behindDoc="0" locked="0" layoutInCell="1" allowOverlap="1" wp14:anchorId="3E8507E7" wp14:editId="6FAA5E94">
                <wp:simplePos x="0" y="0"/>
                <wp:positionH relativeFrom="column">
                  <wp:posOffset>920188</wp:posOffset>
                </wp:positionH>
                <wp:positionV relativeFrom="paragraph">
                  <wp:posOffset>1133611</wp:posOffset>
                </wp:positionV>
                <wp:extent cx="1836420" cy="809625"/>
                <wp:effectExtent l="0" t="0" r="0" b="0"/>
                <wp:wrapTopAndBottom/>
                <wp:docPr id="1073535394" name="TextBox 3"/>
                <wp:cNvGraphicFramePr/>
                <a:graphic xmlns:a="http://schemas.openxmlformats.org/drawingml/2006/main">
                  <a:graphicData uri="http://schemas.microsoft.com/office/word/2010/wordprocessingShape">
                    <wps:wsp>
                      <wps:cNvSpPr txBox="1"/>
                      <wps:spPr>
                        <a:xfrm>
                          <a:off x="0" y="0"/>
                          <a:ext cx="1836420" cy="8096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338B219" w14:textId="77777777" w:rsidR="009F177C" w:rsidRPr="00EA56A7" w:rsidRDefault="009F177C" w:rsidP="009F177C">
                            <w:pPr>
                              <w:rPr>
                                <w:rFonts w:ascii="Aptos" w:hAnsi="Aptos"/>
                                <w:color w:val="264C72"/>
                                <w:kern w:val="0"/>
                                <w:szCs w:val="22"/>
                                <w14:ligatures w14:val="none"/>
                              </w:rPr>
                            </w:pPr>
                            <w:r w:rsidRPr="00EA56A7">
                              <w:rPr>
                                <w:rFonts w:ascii="Aptos" w:hAnsi="Aptos"/>
                                <w:color w:val="264C72"/>
                                <w:szCs w:val="22"/>
                              </w:rPr>
                              <w:t xml:space="preserve">Total Victorian public sector FTE </w:t>
                            </w:r>
                            <w:r w:rsidRPr="00EA56A7">
                              <w:rPr>
                                <w:rFonts w:ascii="Aptos" w:hAnsi="Aptos"/>
                                <w:color w:val="264C72"/>
                                <w:szCs w:val="22"/>
                              </w:rPr>
                              <w:br/>
                              <w:t>(LHS)</w:t>
                            </w:r>
                          </w:p>
                        </w:txbxContent>
                      </wps:txbx>
                      <wps:bodyPr vertOverflow="clip" horzOverflow="clip" wrap="square" rtlCol="0" anchor="t">
                        <a:noAutofit/>
                      </wps:bodyPr>
                    </wps:wsp>
                  </a:graphicData>
                </a:graphic>
                <wp14:sizeRelV relativeFrom="margin">
                  <wp14:pctHeight>0</wp14:pctHeight>
                </wp14:sizeRelV>
              </wp:anchor>
            </w:drawing>
          </mc:Choice>
          <mc:Fallback>
            <w:pict>
              <v:shape w14:anchorId="3E8507E7" id="TextBox 3" o:spid="_x0000_s1043" type="#_x0000_t202" style="position:absolute;margin-left:72.45pt;margin-top:89.25pt;width:144.6pt;height:63.75pt;z-index:251658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" filled="f" stroked="f">
                <v:textbox>
                  <w:txbxContent>
                    <w:p w14:paraId="0338B219" w14:textId="77777777" w:rsidR="009F177C" w:rsidRPr="00EA56A7" w:rsidRDefault="009F177C" w:rsidP="009F177C">
                      <w:pPr>
                        <w:rPr>
                          <w:rFonts w:ascii="Aptos" w:hAnsi="Aptos"/>
                          <w:color w:val="264C72"/>
                          <w:kern w:val="0"/>
                          <w:szCs w:val="22"/>
                          <w14:ligatures w14:val="none"/>
                        </w:rPr>
                      </w:pPr>
                      <w:r w:rsidRPr="00EA56A7">
                        <w:rPr>
                          <w:rFonts w:ascii="Aptos" w:hAnsi="Aptos"/>
                          <w:color w:val="264C72"/>
                          <w:szCs w:val="22"/>
                        </w:rPr>
                        <w:t xml:space="preserve">Total Victorian public sector FTE </w:t>
                      </w:r>
                      <w:r w:rsidRPr="00EA56A7">
                        <w:rPr>
                          <w:rFonts w:ascii="Aptos" w:hAnsi="Aptos"/>
                          <w:color w:val="264C72"/>
                          <w:szCs w:val="22"/>
                        </w:rPr>
                        <w:br/>
                        <w:t>(LHS)</w:t>
                      </w:r>
                    </w:p>
                  </w:txbxContent>
                </v:textbox>
                <w10:wrap type="topAndBottom"/>
              </v:shape>
            </w:pict>
          </mc:Fallback>
        </mc:AlternateContent>
      </w:r>
      <w:r w:rsidR="00823D08">
        <w:rPr>
          <w:noProof/>
        </w:rPr>
        <mc:AlternateContent>
          <mc:Choice Requires="wps">
            <w:drawing>
              <wp:anchor distT="0" distB="0" distL="114300" distR="114300" simplePos="0" relativeHeight="251658288" behindDoc="0" locked="0" layoutInCell="1" allowOverlap="1" wp14:anchorId="0B3FAEB5" wp14:editId="543F29A9">
                <wp:simplePos x="0" y="0"/>
                <wp:positionH relativeFrom="column">
                  <wp:posOffset>3663130</wp:posOffset>
                </wp:positionH>
                <wp:positionV relativeFrom="paragraph">
                  <wp:posOffset>2001858</wp:posOffset>
                </wp:positionV>
                <wp:extent cx="1666240" cy="850900"/>
                <wp:effectExtent l="0" t="0" r="0" b="6350"/>
                <wp:wrapTopAndBottom/>
                <wp:docPr id="6" name="TextBox 5">
                  <a:extLst xmlns:a="http://schemas.openxmlformats.org/drawingml/2006/main">
                    <a:ext uri="{FF2B5EF4-FFF2-40B4-BE49-F238E27FC236}">
                      <a16:creationId xmlns:a16="http://schemas.microsoft.com/office/drawing/2014/main" id="{00998E56-EAA7-4CED-AC80-182D665843F0}"/>
                    </a:ext>
                  </a:extLst>
                </wp:docPr>
                <wp:cNvGraphicFramePr/>
                <a:graphic xmlns:a="http://schemas.openxmlformats.org/drawingml/2006/main">
                  <a:graphicData uri="http://schemas.microsoft.com/office/word/2010/wordprocessingShape">
                    <wps:wsp>
                      <wps:cNvSpPr txBox="1"/>
                      <wps:spPr>
                        <a:xfrm>
                          <a:off x="0" y="0"/>
                          <a:ext cx="1666240" cy="850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23D4865" w14:textId="6AA22C5A" w:rsidR="009F177C" w:rsidRPr="00EA56A7" w:rsidRDefault="009F177C" w:rsidP="009F177C">
                            <w:pPr>
                              <w:rPr>
                                <w:rFonts w:ascii="Aptos" w:hAnsi="Aptos"/>
                                <w:color w:val="27CED7"/>
                                <w:kern w:val="0"/>
                                <w:szCs w:val="22"/>
                                <w14:ligatures w14:val="none"/>
                              </w:rPr>
                            </w:pPr>
                            <w:r w:rsidRPr="00EA56A7">
                              <w:rPr>
                                <w:rFonts w:ascii="Aptos" w:hAnsi="Aptos"/>
                                <w:color w:val="27CED7"/>
                                <w:szCs w:val="22"/>
                              </w:rPr>
                              <w:t xml:space="preserve">VPS as a per cent of public sector (%) </w:t>
                            </w:r>
                            <w:r w:rsidR="00EA56A7">
                              <w:rPr>
                                <w:rFonts w:ascii="Aptos" w:hAnsi="Aptos"/>
                                <w:color w:val="27CED7"/>
                                <w:szCs w:val="22"/>
                              </w:rPr>
                              <w:br/>
                            </w:r>
                            <w:r w:rsidRPr="00EA56A7">
                              <w:rPr>
                                <w:rFonts w:ascii="Aptos" w:hAnsi="Aptos"/>
                                <w:color w:val="27CED7"/>
                                <w:szCs w:val="22"/>
                              </w:rPr>
                              <w:t>(RHS)</w:t>
                            </w:r>
                          </w:p>
                        </w:txbxContent>
                      </wps:txbx>
                      <wps:bodyPr vertOverflow="clip" horzOverflow="clip" wrap="square" rtlCol="0" anchor="t"/>
                    </wps:wsp>
                  </a:graphicData>
                </a:graphic>
                <wp14:sizeRelH relativeFrom="margin">
                  <wp14:pctWidth>0</wp14:pctWidth>
                </wp14:sizeRelH>
              </wp:anchor>
            </w:drawing>
          </mc:Choice>
          <mc:Fallback>
            <w:pict>
              <v:shape w14:anchorId="0B3FAEB5" id="_x0000_s1044" type="#_x0000_t202" style="position:absolute;margin-left:288.45pt;margin-top:157.65pt;width:131.2pt;height:67pt;z-index:25165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" filled="f" stroked="f">
                <v:textbox>
                  <w:txbxContent>
                    <w:p w14:paraId="123D4865" w14:textId="6AA22C5A" w:rsidR="009F177C" w:rsidRPr="00EA56A7" w:rsidRDefault="009F177C" w:rsidP="009F177C">
                      <w:pPr>
                        <w:rPr>
                          <w:rFonts w:ascii="Aptos" w:hAnsi="Aptos"/>
                          <w:color w:val="27CED7"/>
                          <w:kern w:val="0"/>
                          <w:szCs w:val="22"/>
                          <w14:ligatures w14:val="none"/>
                        </w:rPr>
                      </w:pPr>
                      <w:r w:rsidRPr="00EA56A7">
                        <w:rPr>
                          <w:rFonts w:ascii="Aptos" w:hAnsi="Aptos"/>
                          <w:color w:val="27CED7"/>
                          <w:szCs w:val="22"/>
                        </w:rPr>
                        <w:t xml:space="preserve">VPS as a per cent of public sector (%) </w:t>
                      </w:r>
                      <w:r w:rsidR="00EA56A7">
                        <w:rPr>
                          <w:rFonts w:ascii="Aptos" w:hAnsi="Aptos"/>
                          <w:color w:val="27CED7"/>
                          <w:szCs w:val="22"/>
                        </w:rPr>
                        <w:br/>
                      </w:r>
                      <w:r w:rsidRPr="00EA56A7">
                        <w:rPr>
                          <w:rFonts w:ascii="Aptos" w:hAnsi="Aptos"/>
                          <w:color w:val="27CED7"/>
                          <w:szCs w:val="22"/>
                        </w:rPr>
                        <w:t>(RHS)</w:t>
                      </w:r>
                    </w:p>
                  </w:txbxContent>
                </v:textbox>
                <w10:wrap type="topAndBottom"/>
              </v:shape>
            </w:pict>
          </mc:Fallback>
        </mc:AlternateContent>
      </w:r>
      <w:r w:rsidR="00A004E8">
        <w:rPr>
          <w:noProof/>
        </w:rPr>
        <w:drawing>
          <wp:anchor distT="0" distB="0" distL="114300" distR="114300" simplePos="0" relativeHeight="251658310" behindDoc="0" locked="0" layoutInCell="1" allowOverlap="1" wp14:anchorId="0AD3BF70" wp14:editId="3C4639AC">
            <wp:simplePos x="0" y="0"/>
            <wp:positionH relativeFrom="column">
              <wp:posOffset>69215</wp:posOffset>
            </wp:positionH>
            <wp:positionV relativeFrom="paragraph">
              <wp:posOffset>676556</wp:posOffset>
            </wp:positionV>
            <wp:extent cx="5731510" cy="3811905"/>
            <wp:effectExtent l="0" t="0" r="0" b="0"/>
            <wp:wrapTopAndBottom/>
            <wp:docPr id="1244957418" name="Chart 1" descr="A chart with three lines displaying growth in FTE across the VPS and public sector from June 2014 to June 2024. The first line shows growth in total Victorian public sector, measured in number of FTE. This line increases from around 220,000 to around 315,000 over the period. The second line shows the VPS as a per cent of the public sector. This line increases from around 15 per cent to around 17 per cent over the period. The third line shows the size of the VPS, measured in number of FTE. This line increases from around 33,000 FTE to 55,000 FTE over the period. ">
              <a:extLst xmlns:a="http://schemas.openxmlformats.org/drawingml/2006/main">
                <a:ext uri="{FF2B5EF4-FFF2-40B4-BE49-F238E27FC236}">
                  <a16:creationId xmlns:a16="http://schemas.microsoft.com/office/drawing/2014/main" id="{B3FCDD47-4580-536B-2225-79676227A4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A004E8">
        <w:rPr>
          <w:noProof/>
        </w:rPr>
        <mc:AlternateContent>
          <mc:Choice Requires="wps">
            <w:drawing>
              <wp:anchor distT="0" distB="0" distL="114300" distR="114300" simplePos="0" relativeHeight="251658285" behindDoc="0" locked="0" layoutInCell="1" allowOverlap="1" wp14:anchorId="0D93204E" wp14:editId="274DDE42">
                <wp:simplePos x="0" y="0"/>
                <wp:positionH relativeFrom="margin">
                  <wp:posOffset>5014595</wp:posOffset>
                </wp:positionH>
                <wp:positionV relativeFrom="paragraph">
                  <wp:posOffset>295910</wp:posOffset>
                </wp:positionV>
                <wp:extent cx="920115" cy="310515"/>
                <wp:effectExtent l="0" t="0" r="0" b="0"/>
                <wp:wrapTopAndBottom/>
                <wp:docPr id="1770510395" name="TextBox 7"/>
                <wp:cNvGraphicFramePr/>
                <a:graphic xmlns:a="http://schemas.openxmlformats.org/drawingml/2006/main">
                  <a:graphicData uri="http://schemas.microsoft.com/office/word/2010/wordprocessingShape">
                    <wps:wsp>
                      <wps:cNvSpPr txBox="1"/>
                      <wps:spPr>
                        <a:xfrm>
                          <a:off x="0" y="0"/>
                          <a:ext cx="920115" cy="31051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3B63CDA" w14:textId="77777777" w:rsidR="009F177C" w:rsidRPr="00EA56A7" w:rsidRDefault="009F177C" w:rsidP="009F177C">
                            <w:pPr>
                              <w:rPr>
                                <w:rFonts w:ascii="Aptos" w:hAnsi="Aptos"/>
                                <w:color w:val="000000"/>
                                <w:kern w:val="0"/>
                                <w:szCs w:val="22"/>
                                <w14:ligatures w14:val="none"/>
                              </w:rPr>
                            </w:pPr>
                            <w:r w:rsidRPr="00EA56A7">
                              <w:rPr>
                                <w:rFonts w:ascii="Aptos" w:hAnsi="Aptos"/>
                                <w:color w:val="000000"/>
                                <w:szCs w:val="22"/>
                              </w:rPr>
                              <w:t>Per cent</w:t>
                            </w:r>
                          </w:p>
                        </w:txbxContent>
                      </wps:txbx>
                      <wps:bodyPr vertOverflow="clip" horzOverflow="clip" wrap="none" rtlCol="0" anchor="t">
                        <a:noAutofit/>
                      </wps:bodyPr>
                    </wps:wsp>
                  </a:graphicData>
                </a:graphic>
              </wp:anchor>
            </w:drawing>
          </mc:Choice>
          <mc:Fallback>
            <w:pict>
              <v:shape w14:anchorId="0D93204E" id="TextBox 7" o:spid="_x0000_s1045" type="#_x0000_t202" style="position:absolute;margin-left:394.85pt;margin-top:23.3pt;width:72.45pt;height:24.45pt;z-index:251658285;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" filled="f" stroked="f">
                <v:textbox>
                  <w:txbxContent>
                    <w:p w14:paraId="13B63CDA" w14:textId="77777777" w:rsidR="009F177C" w:rsidRPr="00EA56A7" w:rsidRDefault="009F177C" w:rsidP="009F177C">
                      <w:pPr>
                        <w:rPr>
                          <w:rFonts w:ascii="Aptos" w:hAnsi="Aptos"/>
                          <w:color w:val="000000"/>
                          <w:kern w:val="0"/>
                          <w:szCs w:val="22"/>
                          <w14:ligatures w14:val="none"/>
                        </w:rPr>
                      </w:pPr>
                      <w:r w:rsidRPr="00EA56A7">
                        <w:rPr>
                          <w:rFonts w:ascii="Aptos" w:hAnsi="Aptos"/>
                          <w:color w:val="000000"/>
                          <w:szCs w:val="22"/>
                        </w:rPr>
                        <w:t>Per cent</w:t>
                      </w:r>
                    </w:p>
                  </w:txbxContent>
                </v:textbox>
                <w10:wrap type="topAndBottom" anchorx="margin"/>
              </v:shape>
            </w:pict>
          </mc:Fallback>
        </mc:AlternateContent>
      </w:r>
      <w:r w:rsidR="00A004E8">
        <w:rPr>
          <w:noProof/>
        </w:rPr>
        <mc:AlternateContent>
          <mc:Choice Requires="wps">
            <w:drawing>
              <wp:anchor distT="0" distB="0" distL="114300" distR="114300" simplePos="0" relativeHeight="251658284" behindDoc="0" locked="0" layoutInCell="1" allowOverlap="1" wp14:anchorId="3A25C57E" wp14:editId="2DDFA55D">
                <wp:simplePos x="0" y="0"/>
                <wp:positionH relativeFrom="margin">
                  <wp:posOffset>27795</wp:posOffset>
                </wp:positionH>
                <wp:positionV relativeFrom="paragraph">
                  <wp:posOffset>309744</wp:posOffset>
                </wp:positionV>
                <wp:extent cx="1886059" cy="317284"/>
                <wp:effectExtent l="0" t="0" r="0" b="0"/>
                <wp:wrapTopAndBottom/>
                <wp:docPr id="7" name="TextBox 6">
                  <a:extLst xmlns:a="http://schemas.openxmlformats.org/drawingml/2006/main">
                    <a:ext uri="{FF2B5EF4-FFF2-40B4-BE49-F238E27FC236}">
                      <a16:creationId xmlns:a16="http://schemas.microsoft.com/office/drawing/2014/main" id="{060C6ACA-091A-451C-B2AC-BF7F944EEF84}"/>
                    </a:ext>
                  </a:extLst>
                </wp:docPr>
                <wp:cNvGraphicFramePr/>
                <a:graphic xmlns:a="http://schemas.openxmlformats.org/drawingml/2006/main">
                  <a:graphicData uri="http://schemas.microsoft.com/office/word/2010/wordprocessingShape">
                    <wps:wsp>
                      <wps:cNvSpPr txBox="1"/>
                      <wps:spPr>
                        <a:xfrm>
                          <a:off x="0" y="0"/>
                          <a:ext cx="1886059" cy="317284"/>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260B2D8" w14:textId="77777777" w:rsidR="009F177C" w:rsidRPr="00EA56A7" w:rsidRDefault="009F177C" w:rsidP="009F177C">
                            <w:pPr>
                              <w:rPr>
                                <w:rFonts w:ascii="Aptos" w:hAnsi="Aptos"/>
                                <w:color w:val="000000"/>
                                <w:kern w:val="0"/>
                                <w:szCs w:val="22"/>
                                <w14:ligatures w14:val="none"/>
                              </w:rPr>
                            </w:pPr>
                            <w:r w:rsidRPr="00EA56A7">
                              <w:rPr>
                                <w:rFonts w:ascii="Aptos" w:hAnsi="Aptos"/>
                                <w:color w:val="000000"/>
                                <w:szCs w:val="22"/>
                              </w:rPr>
                              <w:t>Employees – Full Time Equivalent (FTE)</w:t>
                            </w:r>
                          </w:p>
                        </w:txbxContent>
                      </wps:txbx>
                      <wps:bodyPr vertOverflow="clip" horzOverflow="clip" wrap="none" rtlCol="0" anchor="t">
                        <a:noAutofit/>
                      </wps:bodyPr>
                    </wps:wsp>
                  </a:graphicData>
                </a:graphic>
              </wp:anchor>
            </w:drawing>
          </mc:Choice>
          <mc:Fallback>
            <w:pict>
              <v:shape w14:anchorId="3A25C57E" id="_x0000_s1046" type="#_x0000_t202" style="position:absolute;margin-left:2.2pt;margin-top:24.4pt;width:148.5pt;height:25pt;z-index:2516582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" filled="f" stroked="f">
                <v:textbox>
                  <w:txbxContent>
                    <w:p w14:paraId="0260B2D8" w14:textId="77777777" w:rsidR="009F177C" w:rsidRPr="00EA56A7" w:rsidRDefault="009F177C" w:rsidP="009F177C">
                      <w:pPr>
                        <w:rPr>
                          <w:rFonts w:ascii="Aptos" w:hAnsi="Aptos"/>
                          <w:color w:val="000000"/>
                          <w:kern w:val="0"/>
                          <w:szCs w:val="22"/>
                          <w14:ligatures w14:val="none"/>
                        </w:rPr>
                      </w:pPr>
                      <w:r w:rsidRPr="00EA56A7">
                        <w:rPr>
                          <w:rFonts w:ascii="Aptos" w:hAnsi="Aptos"/>
                          <w:color w:val="000000"/>
                          <w:szCs w:val="22"/>
                        </w:rPr>
                        <w:t>Employees – Full Time Equivalent (FTE)</w:t>
                      </w:r>
                    </w:p>
                  </w:txbxContent>
                </v:textbox>
                <w10:wrap type="topAndBottom" anchorx="margin"/>
              </v:shape>
            </w:pict>
          </mc:Fallback>
        </mc:AlternateContent>
      </w:r>
      <w:r w:rsidR="00434E81" w:rsidRPr="00C35269">
        <w:rPr>
          <w:lang w:eastAsia="en-AU"/>
        </w:rPr>
        <w:t xml:space="preserve">Figure </w:t>
      </w:r>
      <w:r w:rsidR="00BB161B" w:rsidRPr="00C35269">
        <w:rPr>
          <w:rFonts w:ascii="Aptos" w:eastAsia="Times New Roman" w:hAnsi="Aptos" w:cs="Times New Roman"/>
          <w:i w:val="0"/>
          <w:lang w:eastAsia="en-AU"/>
        </w:rPr>
        <w:t>2</w:t>
      </w:r>
      <w:r w:rsidR="00434E81" w:rsidRPr="00C35269">
        <w:rPr>
          <w:rFonts w:ascii="Aptos" w:eastAsia="Times New Roman" w:hAnsi="Aptos" w:cs="Times New Roman"/>
          <w:i w:val="0"/>
          <w:lang w:eastAsia="en-AU"/>
        </w:rPr>
        <w:t>.</w:t>
      </w:r>
      <w:r w:rsidR="003E1852" w:rsidRPr="00C35269">
        <w:rPr>
          <w:rFonts w:ascii="Aptos" w:eastAsia="Times New Roman" w:hAnsi="Aptos" w:cs="Times New Roman"/>
          <w:i w:val="0"/>
          <w:lang w:eastAsia="en-AU"/>
        </w:rPr>
        <w:t>7</w:t>
      </w:r>
      <w:r w:rsidR="00434E81">
        <w:rPr>
          <w:rFonts w:ascii="Aptos" w:eastAsia="Times New Roman" w:hAnsi="Aptos" w:cs="Times New Roman"/>
          <w:i w:val="0"/>
          <w:lang w:eastAsia="en-AU"/>
        </w:rPr>
        <w:t>:</w:t>
      </w:r>
      <w:r w:rsidR="00434E81" w:rsidRPr="006868D8">
        <w:rPr>
          <w:rFonts w:ascii="Aptos" w:eastAsia="Times New Roman" w:hAnsi="Aptos" w:cs="Times New Roman"/>
          <w:i w:val="0"/>
          <w:lang w:eastAsia="en-AU"/>
        </w:rPr>
        <w:t xml:space="preserve"> </w:t>
      </w:r>
      <w:r w:rsidR="00434E81" w:rsidRPr="00930875">
        <w:t>Growth in FTE across the VPS</w:t>
      </w:r>
      <w:r w:rsidR="00434E81">
        <w:rPr>
          <w:rStyle w:val="FootnoteReference"/>
          <w:rFonts w:ascii="Aptos" w:eastAsia="Times New Roman" w:hAnsi="Aptos" w:cs="Times New Roman"/>
          <w:i w:val="0"/>
          <w:lang w:eastAsia="en-AU"/>
        </w:rPr>
        <w:footnoteReference w:id="3"/>
      </w:r>
      <w:r w:rsidR="00434E81" w:rsidRPr="006868D8">
        <w:rPr>
          <w:rFonts w:ascii="Aptos" w:eastAsia="Times New Roman" w:hAnsi="Aptos" w:cs="Times New Roman"/>
          <w:i w:val="0"/>
          <w:lang w:eastAsia="en-AU"/>
        </w:rPr>
        <w:t xml:space="preserve"> </w:t>
      </w:r>
      <w:r w:rsidR="00434E81" w:rsidRPr="00930875">
        <w:t>and public sector</w:t>
      </w:r>
      <w:r w:rsidR="00434E81">
        <w:rPr>
          <w:rStyle w:val="FootnoteReference"/>
          <w:rFonts w:ascii="Aptos" w:eastAsia="Times New Roman" w:hAnsi="Aptos" w:cs="Times New Roman"/>
          <w:i w:val="0"/>
          <w:lang w:eastAsia="en-AU"/>
        </w:rPr>
        <w:footnoteReference w:id="4"/>
      </w:r>
    </w:p>
    <w:p w14:paraId="32582282" w14:textId="79C07CED" w:rsidR="00434E81" w:rsidRPr="00567DB5" w:rsidRDefault="00434E81" w:rsidP="00F37074">
      <w:pPr>
        <w:pStyle w:val="Caption"/>
        <w:spacing w:before="360"/>
      </w:pPr>
      <w:r w:rsidRPr="00567DB5">
        <w:t>Source: Victorian Public Sector Commission (VPSC)</w:t>
      </w:r>
    </w:p>
    <w:p w14:paraId="7E4FBE69" w14:textId="77777777" w:rsidR="00B054DA" w:rsidRDefault="00B054DA" w:rsidP="00B41C7A">
      <w:pPr>
        <w:spacing w:before="240"/>
        <w:rPr>
          <w:rFonts w:eastAsia="Times New Roman"/>
        </w:rPr>
        <w:sectPr w:rsidR="00B054DA" w:rsidSect="00AE6104">
          <w:type w:val="continuous"/>
          <w:pgSz w:w="11906" w:h="16838"/>
          <w:pgMar w:top="1440" w:right="1440" w:bottom="1440" w:left="1440" w:header="708" w:footer="708" w:gutter="0"/>
          <w:cols w:space="708"/>
          <w:docGrid w:linePitch="360"/>
          <w15:footnoteColumns w:val="1"/>
        </w:sectPr>
      </w:pPr>
    </w:p>
    <w:p w14:paraId="37DE7AAD" w14:textId="26B0CFC3" w:rsidR="00434E81" w:rsidRPr="00C05CF0" w:rsidRDefault="00434E81" w:rsidP="008A7D52">
      <w:pPr>
        <w:rPr>
          <w:rFonts w:eastAsia="Times New Roman"/>
        </w:rPr>
      </w:pPr>
      <w:r>
        <w:rPr>
          <w:rFonts w:eastAsia="Times New Roman"/>
        </w:rPr>
        <w:t>While overall VPS growth has stabilised since the COVID-19 peak, there has been a</w:t>
      </w:r>
      <w:r w:rsidR="00F0213D">
        <w:rPr>
          <w:rFonts w:eastAsia="Times New Roman"/>
        </w:rPr>
        <w:t> </w:t>
      </w:r>
      <w:r>
        <w:rPr>
          <w:rFonts w:eastAsia="Times New Roman"/>
        </w:rPr>
        <w:t xml:space="preserve">disproportionate growth at the higher </w:t>
      </w:r>
      <w:r w:rsidRPr="00C05CF0">
        <w:rPr>
          <w:rFonts w:eastAsia="Times New Roman"/>
        </w:rPr>
        <w:t xml:space="preserve">classifications. Chapter </w:t>
      </w:r>
      <w:r>
        <w:rPr>
          <w:rFonts w:eastAsia="Times New Roman"/>
        </w:rPr>
        <w:t>5</w:t>
      </w:r>
      <w:r w:rsidRPr="00C05CF0">
        <w:rPr>
          <w:rFonts w:eastAsia="Times New Roman"/>
        </w:rPr>
        <w:t xml:space="preserve"> discusses opportunities to reform the size and structure of the VPS.</w:t>
      </w:r>
    </w:p>
    <w:p w14:paraId="6D151EAE" w14:textId="3D42AA7C" w:rsidR="00434E81" w:rsidRPr="00C05CF0" w:rsidRDefault="00434E81" w:rsidP="00434E81">
      <w:pPr>
        <w:rPr>
          <w:rFonts w:eastAsia="Times New Roman"/>
        </w:rPr>
      </w:pPr>
      <w:r w:rsidRPr="00C05CF0">
        <w:rPr>
          <w:rFonts w:eastAsia="Times New Roman"/>
        </w:rPr>
        <w:t>There has also been disproportionate growth of FTE within VPS non-departmental entities. There are currently around 16,700</w:t>
      </w:r>
      <w:r w:rsidR="00006C4F">
        <w:rPr>
          <w:rFonts w:eastAsia="Times New Roman"/>
        </w:rPr>
        <w:t> </w:t>
      </w:r>
      <w:r w:rsidRPr="00C05CF0">
        <w:rPr>
          <w:rFonts w:eastAsia="Times New Roman"/>
        </w:rPr>
        <w:t>FTE employed in these entities, compared with approximately 7,800 in 2014</w:t>
      </w:r>
      <w:r>
        <w:rPr>
          <w:rFonts w:eastAsia="Times New Roman"/>
        </w:rPr>
        <w:t xml:space="preserve"> </w:t>
      </w:r>
      <w:r w:rsidRPr="00C50FA2">
        <w:rPr>
          <w:rFonts w:eastAsia="Times New Roman"/>
        </w:rPr>
        <w:t xml:space="preserve">(114 per cent growth over the past </w:t>
      </w:r>
      <w:r w:rsidR="00C11164">
        <w:rPr>
          <w:rFonts w:eastAsia="Times New Roman"/>
        </w:rPr>
        <w:t>1</w:t>
      </w:r>
      <w:r w:rsidRPr="00C50FA2">
        <w:rPr>
          <w:rFonts w:eastAsia="Times New Roman"/>
        </w:rPr>
        <w:t>0</w:t>
      </w:r>
      <w:r w:rsidR="00F00387">
        <w:rPr>
          <w:rFonts w:eastAsia="Times New Roman"/>
        </w:rPr>
        <w:t> </w:t>
      </w:r>
      <w:r w:rsidRPr="00C50FA2">
        <w:rPr>
          <w:rFonts w:eastAsia="Times New Roman"/>
        </w:rPr>
        <w:t>years)</w:t>
      </w:r>
      <w:r w:rsidRPr="005B0434">
        <w:rPr>
          <w:rFonts w:eastAsia="Times New Roman"/>
        </w:rPr>
        <w:t>.</w:t>
      </w:r>
      <w:r w:rsidRPr="00C05CF0">
        <w:rPr>
          <w:rFonts w:eastAsia="Times New Roman"/>
        </w:rPr>
        <w:t xml:space="preserve"> </w:t>
      </w:r>
    </w:p>
    <w:p w14:paraId="5E46DF43" w14:textId="1863340E" w:rsidR="00434E81" w:rsidRPr="00C05CF0" w:rsidRDefault="00FD7100" w:rsidP="008A7D52">
      <w:r>
        <w:br w:type="column"/>
      </w:r>
      <w:r w:rsidR="00434E81" w:rsidRPr="00C05CF0" w:rsidDel="00CA1A8B">
        <w:t xml:space="preserve">The complexity of government is also compounded by the number of distinct systems and manual processes used for service delivery and internal to government corporate services. Victorians expect government to be easy to deal with, yet they must often repeat information, navigate complex systems, or wait for manual approvals. In 2023, more than 10 million rules-based transactions </w:t>
      </w:r>
      <w:r w:rsidR="000B7076">
        <w:t>with Victorians</w:t>
      </w:r>
      <w:r w:rsidR="00434E81" w:rsidRPr="00C05CF0">
        <w:t xml:space="preserve"> </w:t>
      </w:r>
      <w:r w:rsidR="00434E81" w:rsidRPr="00C05CF0" w:rsidDel="00CA1A8B">
        <w:t>were handled differently across agencies. Public servants also lose time navigating different</w:t>
      </w:r>
      <w:r w:rsidR="007E3023" w:rsidDel="00CA1A8B">
        <w:t xml:space="preserve"> </w:t>
      </w:r>
      <w:r w:rsidR="007E3023" w:rsidRPr="0095184C" w:rsidDel="00CA1A8B">
        <w:t>human</w:t>
      </w:r>
      <w:r w:rsidR="007E3023" w:rsidRPr="0095184C">
        <w:t xml:space="preserve"> resources (</w:t>
      </w:r>
      <w:r w:rsidR="00434E81" w:rsidRPr="0095184C">
        <w:t>HR</w:t>
      </w:r>
      <w:r w:rsidR="007E3023" w:rsidRPr="0095184C">
        <w:t>)</w:t>
      </w:r>
      <w:r w:rsidR="00434E81" w:rsidRPr="00C05CF0">
        <w:t>, finance and procurement systems.</w:t>
      </w:r>
    </w:p>
    <w:p w14:paraId="5FEFF676" w14:textId="7024E1EB" w:rsidR="00434E81" w:rsidRPr="00C05CF0" w:rsidRDefault="00434E81" w:rsidP="00434E81">
      <w:r w:rsidRPr="00C05CF0">
        <w:lastRenderedPageBreak/>
        <w:t>The Victorian Government has made some progress developing shared platforms to digitise, simplify and join up services, and</w:t>
      </w:r>
      <w:r w:rsidR="004513F0">
        <w:t xml:space="preserve"> </w:t>
      </w:r>
      <w:r w:rsidRPr="00C05CF0">
        <w:t xml:space="preserve">the Review believes this needs to be accelerated. The advent of AI will also </w:t>
      </w:r>
      <w:r w:rsidRPr="00C05CF0">
        <w:t xml:space="preserve">change the nature of government services and the way the public sector works. This needs greater focus. Accelerating digital capability in Victoria is discussed in Chapter </w:t>
      </w:r>
      <w:r>
        <w:t>7</w:t>
      </w:r>
      <w:r w:rsidRPr="00C05CF0">
        <w:t xml:space="preserve">. </w:t>
      </w:r>
    </w:p>
    <w:p w14:paraId="5448C378" w14:textId="77777777" w:rsidR="00B054DA" w:rsidRDefault="00B054DA" w:rsidP="002B2F6E">
      <w:pPr>
        <w:pStyle w:val="Heading2"/>
        <w:sectPr w:rsidR="00B054DA" w:rsidSect="00B054DA">
          <w:type w:val="continuous"/>
          <w:pgSz w:w="11906" w:h="16838"/>
          <w:pgMar w:top="1440" w:right="1440" w:bottom="1440" w:left="1440" w:header="708" w:footer="708" w:gutter="0"/>
          <w:cols w:num="2" w:space="708"/>
          <w:docGrid w:linePitch="360"/>
          <w15:footnoteColumns w:val="1"/>
        </w:sectPr>
      </w:pPr>
      <w:bookmarkStart w:id="22" w:name="_Toc202523964"/>
    </w:p>
    <w:p w14:paraId="63FBAB98" w14:textId="77777777" w:rsidR="002B2F6E" w:rsidRDefault="008E71A0" w:rsidP="002B2F6E">
      <w:pPr>
        <w:pStyle w:val="Heading2"/>
      </w:pPr>
      <w:bookmarkStart w:id="23" w:name="_Toc214911984"/>
      <w:r>
        <w:t xml:space="preserve">2.3   </w:t>
      </w:r>
      <w:r w:rsidR="00434E81" w:rsidRPr="00C05CF0">
        <w:t>Review approach</w:t>
      </w:r>
      <w:bookmarkEnd w:id="22"/>
      <w:bookmarkEnd w:id="23"/>
    </w:p>
    <w:p w14:paraId="30165C12" w14:textId="77777777" w:rsidR="004C3DA8" w:rsidRDefault="004C3DA8" w:rsidP="00434E81">
      <w:pPr>
        <w:sectPr w:rsidR="004C3DA8" w:rsidSect="00AE6104">
          <w:type w:val="continuous"/>
          <w:pgSz w:w="11906" w:h="16838"/>
          <w:pgMar w:top="1440" w:right="1440" w:bottom="1440" w:left="1440" w:header="708" w:footer="708" w:gutter="0"/>
          <w:cols w:space="708"/>
          <w:docGrid w:linePitch="360"/>
          <w15:footnoteColumns w:val="1"/>
        </w:sectPr>
      </w:pPr>
    </w:p>
    <w:p w14:paraId="03D9E054" w14:textId="53CFBFBE" w:rsidR="00A54437" w:rsidRPr="00DD4795" w:rsidRDefault="00434E81" w:rsidP="00434E81">
      <w:pPr>
        <w:rPr>
          <w:szCs w:val="22"/>
        </w:rPr>
      </w:pPr>
      <w:r w:rsidRPr="525B2E01">
        <w:t xml:space="preserve">The </w:t>
      </w:r>
      <w:r>
        <w:t>R</w:t>
      </w:r>
      <w:r w:rsidRPr="525B2E01">
        <w:t xml:space="preserve">eview provided </w:t>
      </w:r>
      <w:r>
        <w:t>interim recommendations</w:t>
      </w:r>
      <w:r w:rsidRPr="525B2E01">
        <w:t xml:space="preserve"> to the </w:t>
      </w:r>
      <w:r>
        <w:t>g</w:t>
      </w:r>
      <w:r w:rsidRPr="525B2E01">
        <w:t>overnment ahead of the</w:t>
      </w:r>
      <w:r>
        <w:t xml:space="preserve"> </w:t>
      </w:r>
      <w:r w:rsidRPr="525B2E01">
        <w:t>2025</w:t>
      </w:r>
      <w:r>
        <w:t>/26</w:t>
      </w:r>
      <w:r w:rsidRPr="525B2E01">
        <w:t xml:space="preserve"> </w:t>
      </w:r>
      <w:r>
        <w:t>B</w:t>
      </w:r>
      <w:r w:rsidRPr="525B2E01">
        <w:t>udget</w:t>
      </w:r>
      <w:r w:rsidR="00500679">
        <w:t>. These contributed</w:t>
      </w:r>
      <w:r w:rsidR="00500679">
        <w:rPr>
          <w:szCs w:val="22"/>
        </w:rPr>
        <w:t xml:space="preserve"> </w:t>
      </w:r>
      <w:r w:rsidR="00850CFD" w:rsidRPr="009708A4">
        <w:rPr>
          <w:szCs w:val="22"/>
        </w:rPr>
        <w:t>$2.</w:t>
      </w:r>
      <w:r w:rsidR="00CC17E6" w:rsidRPr="009708A4">
        <w:rPr>
          <w:szCs w:val="22"/>
        </w:rPr>
        <w:t>8</w:t>
      </w:r>
      <w:r w:rsidR="00850CFD" w:rsidRPr="009708A4">
        <w:rPr>
          <w:szCs w:val="22"/>
        </w:rPr>
        <w:t xml:space="preserve"> billion of savings over 4 years from 2025</w:t>
      </w:r>
      <w:r w:rsidR="00CC17E6" w:rsidRPr="009708A4">
        <w:rPr>
          <w:szCs w:val="22"/>
        </w:rPr>
        <w:t>–</w:t>
      </w:r>
      <w:r w:rsidR="00850CFD" w:rsidRPr="009708A4">
        <w:rPr>
          <w:szCs w:val="22"/>
        </w:rPr>
        <w:t>26 and 619 ongoing FTE reductions</w:t>
      </w:r>
      <w:r w:rsidR="00500679">
        <w:rPr>
          <w:szCs w:val="22"/>
        </w:rPr>
        <w:t xml:space="preserve"> to the government’s overall savings and efficiencies in the</w:t>
      </w:r>
      <w:r w:rsidR="00A27854">
        <w:rPr>
          <w:szCs w:val="22"/>
        </w:rPr>
        <w:t xml:space="preserve"> Budget</w:t>
      </w:r>
      <w:r w:rsidR="00850CFD">
        <w:rPr>
          <w:szCs w:val="22"/>
        </w:rPr>
        <w:t xml:space="preserve">. </w:t>
      </w:r>
    </w:p>
    <w:p w14:paraId="763298DC" w14:textId="6A4D5AC7" w:rsidR="00434E81" w:rsidRPr="00FE210C" w:rsidRDefault="00434E81" w:rsidP="00434E81">
      <w:r w:rsidRPr="00FE210C">
        <w:t xml:space="preserve">This </w:t>
      </w:r>
      <w:r w:rsidR="00CA7D65">
        <w:t>F</w:t>
      </w:r>
      <w:r w:rsidR="008254AB">
        <w:t xml:space="preserve">inal </w:t>
      </w:r>
      <w:r w:rsidR="00CA7D65">
        <w:t>R</w:t>
      </w:r>
      <w:r w:rsidRPr="00FE210C">
        <w:t xml:space="preserve">eport provides advice on how to achieve further programmatic spending reductions </w:t>
      </w:r>
      <w:r w:rsidR="00DD4795">
        <w:t xml:space="preserve">and entity </w:t>
      </w:r>
      <w:r w:rsidR="009C01A5">
        <w:t>changes</w:t>
      </w:r>
      <w:r w:rsidRPr="00FE210C">
        <w:t xml:space="preserve"> across government, and a recommended annual process to find more over the coming years. </w:t>
      </w:r>
    </w:p>
    <w:p w14:paraId="0E1F2C88" w14:textId="77777777" w:rsidR="00434E81" w:rsidRPr="00FE210C" w:rsidRDefault="00434E81" w:rsidP="00434E81">
      <w:r w:rsidRPr="00FE210C">
        <w:t>The hard work of systematic review on a regular, ongoing basis with strong central oversight is needed to achieve sustainable savings. ‘Set and forget’ approaches to spending allocations cannot be sustained.</w:t>
      </w:r>
    </w:p>
    <w:p w14:paraId="5CFC1394" w14:textId="2F38D10A" w:rsidR="00434E81" w:rsidRPr="00FE210C" w:rsidRDefault="00434E81" w:rsidP="00434E81">
      <w:r w:rsidRPr="00E25428">
        <w:t xml:space="preserve">More significantly, this report provides a </w:t>
      </w:r>
      <w:r w:rsidR="00D554B2" w:rsidRPr="00E25428">
        <w:t>map</w:t>
      </w:r>
      <w:r w:rsidRPr="00E25428">
        <w:t xml:space="preserve"> for a reset of government systems, practices and processes, the role and number of public entities, and the size and structure of the </w:t>
      </w:r>
      <w:r w:rsidR="00D554B2" w:rsidRPr="00E25428">
        <w:t>VPS</w:t>
      </w:r>
      <w:r w:rsidRPr="00E25428">
        <w:t>.</w:t>
      </w:r>
    </w:p>
    <w:p w14:paraId="4D87FB1E" w14:textId="2E346F49" w:rsidR="00434E81" w:rsidRPr="00FE210C" w:rsidRDefault="00434E81" w:rsidP="00434E81">
      <w:r w:rsidRPr="00FE210C">
        <w:t xml:space="preserve">Blanket FTE reduction targets, recruitment freezes, and vacancy management have been attempted previously and do not achieve sustainable </w:t>
      </w:r>
      <w:r w:rsidR="00DD3801" w:rsidRPr="00E25428">
        <w:t>reductions</w:t>
      </w:r>
      <w:r w:rsidRPr="00FE210C">
        <w:t xml:space="preserve">. Similarly, efficiency dividends may work for </w:t>
      </w:r>
      <w:proofErr w:type="gramStart"/>
      <w:r w:rsidRPr="00FE210C">
        <w:t>a period of time</w:t>
      </w:r>
      <w:proofErr w:type="gramEnd"/>
      <w:r w:rsidRPr="00FE210C">
        <w:t xml:space="preserve"> but are a blunt tool that, without regular review, can have perverse consequences.</w:t>
      </w:r>
      <w:r w:rsidR="00482D11">
        <w:t xml:space="preserve"> </w:t>
      </w:r>
      <w:r w:rsidR="00482D11" w:rsidRPr="007F75E2">
        <w:t>A GED has</w:t>
      </w:r>
      <w:r w:rsidRPr="00FE210C">
        <w:t xml:space="preserve"> been in place in the Victorian budget since 2013. Despite </w:t>
      </w:r>
      <w:r w:rsidR="007B0C79">
        <w:br w:type="column"/>
      </w:r>
      <w:r w:rsidRPr="00FE210C">
        <w:t>cumulative savings of more than $5.1 billion</w:t>
      </w:r>
      <w:r w:rsidRPr="00FE210C" w:rsidDel="00556556">
        <w:t xml:space="preserve"> </w:t>
      </w:r>
      <w:r w:rsidRPr="00FE210C">
        <w:t>since its introduction</w:t>
      </w:r>
      <w:r w:rsidR="009A0628">
        <w:t xml:space="preserve"> </w:t>
      </w:r>
      <w:r w:rsidR="009A0628" w:rsidRPr="001F1307">
        <w:t>and</w:t>
      </w:r>
      <w:r w:rsidRPr="00FE210C">
        <w:t xml:space="preserve"> to the end of 2028</w:t>
      </w:r>
      <w:r w:rsidR="00631508">
        <w:t>–</w:t>
      </w:r>
      <w:r w:rsidRPr="00FE210C">
        <w:t xml:space="preserve">29, it is unclear </w:t>
      </w:r>
      <w:r w:rsidRPr="00FE210C" w:rsidDel="0021581D">
        <w:t xml:space="preserve">how </w:t>
      </w:r>
      <w:r w:rsidR="009A0628" w:rsidRPr="001F1307">
        <w:t>it has</w:t>
      </w:r>
      <w:r w:rsidRPr="00FE210C">
        <w:t xml:space="preserve"> contributed to managing expenditure growth and improved effectiveness.</w:t>
      </w:r>
    </w:p>
    <w:p w14:paraId="74B98C61" w14:textId="31A90101" w:rsidR="00434E81" w:rsidRDefault="00434E81" w:rsidP="00434E81">
      <w:r>
        <w:t>T</w:t>
      </w:r>
      <w:r w:rsidRPr="2630487B">
        <w:t xml:space="preserve">he Review scope does not include frontline staff, </w:t>
      </w:r>
      <w:r>
        <w:t>nor</w:t>
      </w:r>
      <w:r w:rsidRPr="2630487B">
        <w:t xml:space="preserve"> </w:t>
      </w:r>
      <w:r>
        <w:t>i</w:t>
      </w:r>
      <w:r w:rsidRPr="2630487B">
        <w:t xml:space="preserve">ntegrity agencies and </w:t>
      </w:r>
      <w:r>
        <w:t>the Parliament, given their independent functions</w:t>
      </w:r>
      <w:r w:rsidRPr="2630487B">
        <w:t xml:space="preserve">. </w:t>
      </w:r>
      <w:r>
        <w:t>Notwithstanding, the government should expect that they be part</w:t>
      </w:r>
      <w:r w:rsidR="00921E6E">
        <w:t> </w:t>
      </w:r>
      <w:r>
        <w:t xml:space="preserve">of broader efforts to improve efficiency and effectiveness. </w:t>
      </w:r>
    </w:p>
    <w:p w14:paraId="0D4B6751" w14:textId="16A77642" w:rsidR="00434E81" w:rsidRDefault="007F6683" w:rsidP="00434E81">
      <w:r>
        <w:t>W</w:t>
      </w:r>
      <w:r w:rsidR="00434E81">
        <w:t xml:space="preserve">hile not tasked with reviewing the government’s capital program, the Review does provide advice that is relevant to the delivery of infrastructure investment generally. It is not possible to provide strategic and comprehensive advice about government’s operating expenditure, entities and the VPS without some consideration of the impact of general government sector infrastructure investment. Infrastructure necessarily impacts operating expenditure – through operational costs, maintenance and depreciation, interest expense on debt, along with departments and entities that undertake infrastructure planning, advice and delivery. </w:t>
      </w:r>
    </w:p>
    <w:p w14:paraId="20C74E7E" w14:textId="1393D9C5" w:rsidR="00434E81" w:rsidRPr="00FE210C" w:rsidRDefault="00434E81" w:rsidP="00434E81">
      <w:r w:rsidRPr="00FE210C">
        <w:rPr>
          <w:szCs w:val="22"/>
        </w:rPr>
        <w:t xml:space="preserve">VPS spending on consultants was not a focus of this Review. Spending has declined </w:t>
      </w:r>
      <w:r w:rsidR="001A436B">
        <w:rPr>
          <w:szCs w:val="22"/>
        </w:rPr>
        <w:br w:type="column"/>
      </w:r>
      <w:r w:rsidRPr="00FE210C">
        <w:rPr>
          <w:szCs w:val="22"/>
        </w:rPr>
        <w:lastRenderedPageBreak/>
        <w:t>from a 2021–22 peak ($</w:t>
      </w:r>
      <w:r w:rsidR="00C11F9D">
        <w:rPr>
          <w:szCs w:val="22"/>
        </w:rPr>
        <w:t>167</w:t>
      </w:r>
      <w:r w:rsidRPr="00FE210C">
        <w:rPr>
          <w:szCs w:val="22"/>
        </w:rPr>
        <w:t xml:space="preserve"> million) to below</w:t>
      </w:r>
      <w:r w:rsidR="00AE1BC0">
        <w:rPr>
          <w:szCs w:val="22"/>
        </w:rPr>
        <w:t xml:space="preserve"> </w:t>
      </w:r>
      <w:r w:rsidRPr="00FE210C">
        <w:rPr>
          <w:szCs w:val="22"/>
        </w:rPr>
        <w:t>pre-pandemic levels in 2023–24 ($130</w:t>
      </w:r>
      <w:r w:rsidR="00F574E6">
        <w:rPr>
          <w:szCs w:val="22"/>
        </w:rPr>
        <w:t> </w:t>
      </w:r>
      <w:r w:rsidRPr="00FE210C">
        <w:rPr>
          <w:szCs w:val="22"/>
        </w:rPr>
        <w:t>million).</w:t>
      </w:r>
      <w:r w:rsidRPr="00FE210C">
        <w:rPr>
          <w:rStyle w:val="FootnoteReference"/>
          <w:szCs w:val="22"/>
        </w:rPr>
        <w:footnoteReference w:id="5"/>
      </w:r>
      <w:r w:rsidRPr="00FE210C">
        <w:rPr>
          <w:szCs w:val="22"/>
        </w:rPr>
        <w:t xml:space="preserve"> This issue has been addressed in two recent </w:t>
      </w:r>
      <w:r>
        <w:rPr>
          <w:szCs w:val="22"/>
        </w:rPr>
        <w:t>Victorian Auditor-General’s Office (</w:t>
      </w:r>
      <w:r w:rsidRPr="00FE210C">
        <w:rPr>
          <w:szCs w:val="22"/>
        </w:rPr>
        <w:t>VAGO</w:t>
      </w:r>
      <w:r>
        <w:rPr>
          <w:szCs w:val="22"/>
        </w:rPr>
        <w:t>)</w:t>
      </w:r>
      <w:r w:rsidRPr="00FE210C">
        <w:rPr>
          <w:szCs w:val="22"/>
        </w:rPr>
        <w:t xml:space="preserve"> reports. Oversight </w:t>
      </w:r>
      <w:r w:rsidRPr="00FE210C">
        <w:rPr>
          <w:szCs w:val="22"/>
        </w:rPr>
        <w:t xml:space="preserve">has also been strengthened through updated professional services and labour hire guidelines recently </w:t>
      </w:r>
      <w:r w:rsidRPr="00C54CD3">
        <w:rPr>
          <w:bCs/>
          <w:szCs w:val="22"/>
        </w:rPr>
        <w:t>issued</w:t>
      </w:r>
      <w:r>
        <w:rPr>
          <w:bCs/>
          <w:szCs w:val="22"/>
        </w:rPr>
        <w:t xml:space="preserve"> by DPC.</w:t>
      </w:r>
      <w:r w:rsidRPr="00C54CD3">
        <w:rPr>
          <w:bCs/>
          <w:szCs w:val="22"/>
        </w:rPr>
        <w:t xml:space="preserve"> </w:t>
      </w:r>
      <w:r w:rsidRPr="00696387">
        <w:rPr>
          <w:szCs w:val="22"/>
        </w:rPr>
        <w:t>It will be an important area of expenditure to continue to monitor.</w:t>
      </w:r>
    </w:p>
    <w:p w14:paraId="64D6F11C" w14:textId="77777777" w:rsidR="004C3DA8" w:rsidRDefault="004C3DA8" w:rsidP="00960941">
      <w:pPr>
        <w:pStyle w:val="Heading2"/>
        <w:sectPr w:rsidR="004C3DA8" w:rsidSect="004C3DA8">
          <w:type w:val="continuous"/>
          <w:pgSz w:w="11906" w:h="16838"/>
          <w:pgMar w:top="1440" w:right="1440" w:bottom="1440" w:left="1440" w:header="708" w:footer="708" w:gutter="0"/>
          <w:cols w:num="2" w:space="708"/>
          <w:docGrid w:linePitch="360"/>
          <w15:footnoteColumns w:val="1"/>
        </w:sectPr>
      </w:pPr>
      <w:bookmarkStart w:id="24" w:name="_Toc202523965"/>
    </w:p>
    <w:p w14:paraId="5409C5B1" w14:textId="77777777" w:rsidR="00960941" w:rsidRDefault="008E71A0" w:rsidP="00960941">
      <w:pPr>
        <w:pStyle w:val="Heading2"/>
      </w:pPr>
      <w:bookmarkStart w:id="25" w:name="_Toc214911985"/>
      <w:r>
        <w:t xml:space="preserve">2.4   </w:t>
      </w:r>
      <w:r w:rsidR="00434E81" w:rsidRPr="00E67DBF">
        <w:t>Methodology</w:t>
      </w:r>
      <w:bookmarkEnd w:id="24"/>
      <w:bookmarkEnd w:id="25"/>
    </w:p>
    <w:p w14:paraId="383F2D5D" w14:textId="77777777" w:rsidR="00DE5CF4" w:rsidRDefault="00DE5CF4" w:rsidP="00434E81">
      <w:pPr>
        <w:sectPr w:rsidR="00DE5CF4" w:rsidSect="00AE6104">
          <w:type w:val="continuous"/>
          <w:pgSz w:w="11906" w:h="16838"/>
          <w:pgMar w:top="1440" w:right="1440" w:bottom="1440" w:left="1440" w:header="708" w:footer="708" w:gutter="0"/>
          <w:cols w:space="708"/>
          <w:docGrid w:linePitch="360"/>
          <w15:footnoteColumns w:val="1"/>
        </w:sectPr>
      </w:pPr>
    </w:p>
    <w:p w14:paraId="3A7D53E1" w14:textId="62E62F41" w:rsidR="00434E81" w:rsidRDefault="00434E81" w:rsidP="00434E81">
      <w:r>
        <w:t xml:space="preserve">The Review has been undertaken in a rapid timeframe – approximately </w:t>
      </w:r>
      <w:r w:rsidR="00631508">
        <w:t xml:space="preserve">4 </w:t>
      </w:r>
      <w:r>
        <w:t xml:space="preserve">months. This has meant that it was not possible to undertake detailed analysis of all </w:t>
      </w:r>
      <w:r w:rsidRPr="00141AB5">
        <w:t xml:space="preserve">government portfolios and programs. Therefore, the Review took a first principles approach and developed </w:t>
      </w:r>
      <w:r w:rsidR="00631508">
        <w:t>5</w:t>
      </w:r>
      <w:r w:rsidR="00631508" w:rsidRPr="00141AB5">
        <w:t xml:space="preserve"> </w:t>
      </w:r>
      <w:r w:rsidRPr="00141AB5">
        <w:t>criteria that it applied to its identification of reforms and</w:t>
      </w:r>
      <w:r w:rsidR="009F55B5">
        <w:t> </w:t>
      </w:r>
      <w:r w:rsidRPr="00141AB5">
        <w:t>savings.</w:t>
      </w:r>
      <w:r>
        <w:t xml:space="preserve">  </w:t>
      </w:r>
    </w:p>
    <w:p w14:paraId="75079F2C" w14:textId="77777777" w:rsidR="00434E81" w:rsidRPr="00B32F2E" w:rsidRDefault="00434E81" w:rsidP="00D207B3">
      <w:pPr>
        <w:pStyle w:val="ListParagraph"/>
        <w:numPr>
          <w:ilvl w:val="0"/>
          <w:numId w:val="1"/>
        </w:numPr>
        <w:rPr>
          <w:rFonts w:ascii="Aptos" w:eastAsia="Aptos" w:hAnsi="Aptos" w:cs="Aptos"/>
          <w:b/>
          <w:color w:val="000000" w:themeColor="text1"/>
        </w:rPr>
      </w:pPr>
      <w:r w:rsidRPr="00B32F2E">
        <w:rPr>
          <w:rFonts w:ascii="Aptos" w:eastAsia="Aptos" w:hAnsi="Aptos" w:cs="Aptos"/>
          <w:b/>
          <w:color w:val="000000" w:themeColor="text1"/>
        </w:rPr>
        <w:t>Duplication</w:t>
      </w:r>
    </w:p>
    <w:p w14:paraId="40726347" w14:textId="77777777" w:rsidR="00434E81" w:rsidRPr="00762CAF" w:rsidRDefault="00434E81" w:rsidP="00434E81">
      <w:pPr>
        <w:ind w:left="360"/>
        <w:rPr>
          <w:rFonts w:ascii="Aptos" w:eastAsia="Aptos" w:hAnsi="Aptos" w:cs="Aptos"/>
          <w:color w:val="000000" w:themeColor="text1"/>
        </w:rPr>
      </w:pPr>
      <w:r w:rsidRPr="00762CAF">
        <w:rPr>
          <w:rFonts w:ascii="Aptos" w:eastAsia="Aptos" w:hAnsi="Aptos" w:cs="Aptos"/>
          <w:color w:val="000000" w:themeColor="text1"/>
        </w:rPr>
        <w:t>The program overlaps with other government services, creating redundancy and inefficiency. This includes multiple agencies performing similar functions or funding streams supporting the same outcomes.</w:t>
      </w:r>
    </w:p>
    <w:p w14:paraId="7F578437" w14:textId="77777777" w:rsidR="00434E81" w:rsidRPr="00F62930" w:rsidRDefault="00434E81" w:rsidP="00D207B3">
      <w:pPr>
        <w:pStyle w:val="ListParagraph"/>
        <w:numPr>
          <w:ilvl w:val="0"/>
          <w:numId w:val="1"/>
        </w:numPr>
        <w:rPr>
          <w:rFonts w:ascii="Aptos" w:eastAsia="Aptos" w:hAnsi="Aptos" w:cs="Aptos"/>
          <w:b/>
          <w:color w:val="000000" w:themeColor="text1"/>
        </w:rPr>
      </w:pPr>
      <w:r w:rsidRPr="00F62930">
        <w:rPr>
          <w:rFonts w:ascii="Aptos" w:eastAsia="Aptos" w:hAnsi="Aptos" w:cs="Aptos"/>
          <w:b/>
          <w:color w:val="000000" w:themeColor="text1"/>
        </w:rPr>
        <w:t>Role expansion</w:t>
      </w:r>
    </w:p>
    <w:p w14:paraId="5B78219F" w14:textId="77777777" w:rsidR="00434E81" w:rsidRPr="001B5F84" w:rsidRDefault="00434E81" w:rsidP="00434E81">
      <w:pPr>
        <w:ind w:left="360"/>
        <w:rPr>
          <w:rFonts w:ascii="Aptos" w:eastAsia="Aptos" w:hAnsi="Aptos" w:cs="Aptos"/>
          <w:color w:val="000000" w:themeColor="text1"/>
        </w:rPr>
      </w:pPr>
      <w:r w:rsidRPr="001B5F84">
        <w:rPr>
          <w:rFonts w:ascii="Aptos" w:eastAsia="Aptos" w:hAnsi="Aptos" w:cs="Aptos"/>
          <w:color w:val="000000" w:themeColor="text1"/>
        </w:rPr>
        <w:t>The program delivers a service that is the primary responsibility of the Commonwealth or local government, and/or could be more effectively delivered by the private sector. This includes expenditure going beyond national partnership agreements, causing duplication and confusion, and reducing government’s flexibility to invest in other areas of demand.</w:t>
      </w:r>
    </w:p>
    <w:p w14:paraId="2AAEC37B" w14:textId="2A161F47" w:rsidR="00434E81" w:rsidRPr="00F62930" w:rsidRDefault="00AE1BC0" w:rsidP="00D207B3">
      <w:pPr>
        <w:pStyle w:val="ListParagraph"/>
        <w:numPr>
          <w:ilvl w:val="0"/>
          <w:numId w:val="1"/>
        </w:numPr>
        <w:rPr>
          <w:rFonts w:ascii="Aptos" w:eastAsia="Aptos" w:hAnsi="Aptos" w:cs="Aptos"/>
          <w:b/>
          <w:color w:val="000000" w:themeColor="text1"/>
        </w:rPr>
      </w:pPr>
      <w:r>
        <w:rPr>
          <w:rFonts w:ascii="Aptos" w:eastAsia="Aptos" w:hAnsi="Aptos" w:cs="Aptos"/>
          <w:b/>
          <w:color w:val="000000" w:themeColor="text1"/>
        </w:rPr>
        <w:br w:type="column"/>
      </w:r>
      <w:r w:rsidR="00434E81" w:rsidRPr="00F62930">
        <w:rPr>
          <w:rFonts w:ascii="Aptos" w:eastAsia="Aptos" w:hAnsi="Aptos" w:cs="Aptos"/>
          <w:b/>
          <w:color w:val="000000" w:themeColor="text1"/>
        </w:rPr>
        <w:t>Effectiveness</w:t>
      </w:r>
      <w:r w:rsidR="00434E81">
        <w:rPr>
          <w:rFonts w:ascii="Aptos" w:eastAsia="Aptos" w:hAnsi="Aptos" w:cs="Aptos"/>
          <w:b/>
          <w:color w:val="000000" w:themeColor="text1"/>
        </w:rPr>
        <w:t xml:space="preserve"> (including efficiency)</w:t>
      </w:r>
    </w:p>
    <w:p w14:paraId="0D8DFCAF" w14:textId="77777777" w:rsidR="00434E81" w:rsidRPr="00081E9B" w:rsidRDefault="00434E81" w:rsidP="00434E81">
      <w:pPr>
        <w:ind w:left="360"/>
        <w:rPr>
          <w:rFonts w:ascii="Aptos" w:eastAsia="Aptos" w:hAnsi="Aptos" w:cs="Aptos"/>
          <w:color w:val="000000" w:themeColor="text1"/>
        </w:rPr>
      </w:pPr>
      <w:r w:rsidRPr="001B7D09">
        <w:rPr>
          <w:rFonts w:ascii="Aptos" w:eastAsia="Aptos" w:hAnsi="Aptos" w:cs="Aptos"/>
          <w:color w:val="000000" w:themeColor="text1"/>
        </w:rPr>
        <w:t>The program is not achieving its intended outcomes or lacks clear performance metrics to measure success or could be delivered more efficiently. Evidence from audits, evaluations, or benchmarking suggests it has low impact. This includes where demand for a service has declined but costs have not.</w:t>
      </w:r>
    </w:p>
    <w:p w14:paraId="1B23857E" w14:textId="77777777" w:rsidR="00434E81" w:rsidRPr="00F62930" w:rsidRDefault="00434E81" w:rsidP="00D207B3">
      <w:pPr>
        <w:pStyle w:val="ListParagraph"/>
        <w:numPr>
          <w:ilvl w:val="0"/>
          <w:numId w:val="1"/>
        </w:numPr>
        <w:rPr>
          <w:rFonts w:ascii="Aptos" w:eastAsia="Aptos" w:hAnsi="Aptos" w:cs="Aptos"/>
          <w:b/>
          <w:color w:val="000000" w:themeColor="text1"/>
        </w:rPr>
      </w:pPr>
      <w:r w:rsidRPr="00F62930">
        <w:rPr>
          <w:rFonts w:ascii="Aptos" w:eastAsia="Aptos" w:hAnsi="Aptos" w:cs="Aptos"/>
          <w:b/>
          <w:bCs/>
          <w:color w:val="000000" w:themeColor="text1"/>
        </w:rPr>
        <w:t>Significant expenditure growth</w:t>
      </w:r>
    </w:p>
    <w:p w14:paraId="3CC4E3ED" w14:textId="77777777" w:rsidR="00434E81" w:rsidRPr="00765D90" w:rsidRDefault="00434E81" w:rsidP="00434E81">
      <w:pPr>
        <w:ind w:left="360"/>
        <w:rPr>
          <w:rFonts w:ascii="Aptos" w:eastAsia="Aptos" w:hAnsi="Aptos" w:cs="Aptos"/>
          <w:color w:val="000000" w:themeColor="text1"/>
        </w:rPr>
      </w:pPr>
      <w:r w:rsidRPr="000F2D18">
        <w:rPr>
          <w:rFonts w:ascii="Aptos" w:eastAsia="Aptos" w:hAnsi="Aptos" w:cs="Aptos"/>
          <w:color w:val="000000" w:themeColor="text1"/>
        </w:rPr>
        <w:t>The program's costs have grown significantly over time without corresponding efficiency gains or measurable improvements in service deliver</w:t>
      </w:r>
      <w:r>
        <w:rPr>
          <w:rFonts w:ascii="Aptos" w:eastAsia="Aptos" w:hAnsi="Aptos" w:cs="Aptos"/>
          <w:color w:val="000000" w:themeColor="text1"/>
        </w:rPr>
        <w:t>y outcomes</w:t>
      </w:r>
      <w:r w:rsidRPr="000F2D18">
        <w:rPr>
          <w:rFonts w:ascii="Aptos" w:eastAsia="Aptos" w:hAnsi="Aptos" w:cs="Aptos"/>
          <w:color w:val="000000" w:themeColor="text1"/>
        </w:rPr>
        <w:t>.</w:t>
      </w:r>
    </w:p>
    <w:p w14:paraId="6868DAEE" w14:textId="77777777" w:rsidR="00434E81" w:rsidRPr="00F62930" w:rsidRDefault="00434E81" w:rsidP="00D207B3">
      <w:pPr>
        <w:pStyle w:val="ListParagraph"/>
        <w:numPr>
          <w:ilvl w:val="0"/>
          <w:numId w:val="1"/>
        </w:numPr>
        <w:rPr>
          <w:rFonts w:ascii="Aptos" w:eastAsia="Aptos" w:hAnsi="Aptos" w:cs="Aptos"/>
          <w:b/>
          <w:bCs/>
          <w:color w:val="000000" w:themeColor="text1"/>
        </w:rPr>
      </w:pPr>
      <w:r w:rsidRPr="00F62930">
        <w:rPr>
          <w:rFonts w:ascii="Aptos" w:eastAsia="Aptos" w:hAnsi="Aptos" w:cs="Aptos"/>
          <w:b/>
          <w:bCs/>
          <w:color w:val="000000" w:themeColor="text1"/>
        </w:rPr>
        <w:t>Alternative delivery models</w:t>
      </w:r>
    </w:p>
    <w:p w14:paraId="19A3C284" w14:textId="77777777" w:rsidR="00434E81" w:rsidRPr="009B183E" w:rsidRDefault="00434E81" w:rsidP="00434E81">
      <w:pPr>
        <w:ind w:left="360"/>
        <w:rPr>
          <w:rFonts w:ascii="Aptos" w:eastAsia="Aptos" w:hAnsi="Aptos" w:cs="Aptos"/>
          <w:color w:val="000000" w:themeColor="text1"/>
        </w:rPr>
      </w:pPr>
      <w:r w:rsidRPr="009B183E">
        <w:rPr>
          <w:rFonts w:ascii="Aptos" w:eastAsia="Aptos" w:hAnsi="Aptos" w:cs="Aptos"/>
          <w:color w:val="000000" w:themeColor="text1"/>
        </w:rPr>
        <w:t>There are opportunities to deliver the same outcomes more efficiently through innovative delivery methods.</w:t>
      </w:r>
    </w:p>
    <w:p w14:paraId="3A6A0491" w14:textId="205757D7" w:rsidR="00434E81" w:rsidRPr="00141AB5" w:rsidRDefault="00434E81" w:rsidP="00434E81">
      <w:pPr>
        <w:rPr>
          <w:rFonts w:ascii="Aptos" w:eastAsia="Aptos" w:hAnsi="Aptos" w:cs="Aptos"/>
          <w:color w:val="000000" w:themeColor="text1"/>
        </w:rPr>
      </w:pPr>
      <w:r>
        <w:rPr>
          <w:rFonts w:ascii="Aptos" w:eastAsia="Aptos" w:hAnsi="Aptos" w:cs="Aptos"/>
          <w:color w:val="000000" w:themeColor="text1"/>
        </w:rPr>
        <w:t xml:space="preserve">The criteria were applied to develop </w:t>
      </w:r>
      <w:r w:rsidRPr="0D4CF1EB">
        <w:rPr>
          <w:rFonts w:ascii="Aptos" w:eastAsia="Aptos" w:hAnsi="Aptos" w:cs="Aptos"/>
          <w:color w:val="000000" w:themeColor="text1"/>
        </w:rPr>
        <w:t xml:space="preserve">specific program </w:t>
      </w:r>
      <w:r>
        <w:rPr>
          <w:rFonts w:ascii="Aptos" w:eastAsia="Aptos" w:hAnsi="Aptos" w:cs="Aptos"/>
          <w:color w:val="000000" w:themeColor="text1"/>
        </w:rPr>
        <w:t xml:space="preserve">spending </w:t>
      </w:r>
      <w:r w:rsidRPr="0D4CF1EB">
        <w:rPr>
          <w:rFonts w:ascii="Aptos" w:eastAsia="Aptos" w:hAnsi="Aptos" w:cs="Aptos"/>
          <w:color w:val="000000" w:themeColor="text1"/>
        </w:rPr>
        <w:t>reductions</w:t>
      </w:r>
      <w:r>
        <w:rPr>
          <w:rFonts w:ascii="Aptos" w:eastAsia="Aptos" w:hAnsi="Aptos" w:cs="Aptos"/>
          <w:color w:val="000000" w:themeColor="text1"/>
        </w:rPr>
        <w:t xml:space="preserve"> and reforms</w:t>
      </w:r>
      <w:r w:rsidRPr="0D4CF1EB">
        <w:rPr>
          <w:rFonts w:ascii="Aptos" w:eastAsia="Aptos" w:hAnsi="Aptos" w:cs="Aptos"/>
          <w:color w:val="000000" w:themeColor="text1"/>
        </w:rPr>
        <w:t xml:space="preserve">, </w:t>
      </w:r>
      <w:r>
        <w:rPr>
          <w:rFonts w:ascii="Aptos" w:eastAsia="Aptos" w:hAnsi="Aptos" w:cs="Aptos"/>
          <w:color w:val="000000" w:themeColor="text1"/>
        </w:rPr>
        <w:t xml:space="preserve">changes to right-size and reform public entities and the VPS, along with changes to systems, processes, culture and practice. </w:t>
      </w:r>
      <w:r w:rsidR="007429B8">
        <w:rPr>
          <w:rFonts w:ascii="Aptos" w:eastAsia="Aptos" w:hAnsi="Aptos" w:cs="Aptos"/>
          <w:color w:val="000000" w:themeColor="text1"/>
        </w:rPr>
        <w:br w:type="column"/>
      </w:r>
      <w:r>
        <w:rPr>
          <w:rFonts w:ascii="Aptos" w:eastAsia="Aptos" w:hAnsi="Aptos" w:cs="Aptos"/>
          <w:color w:val="000000" w:themeColor="text1"/>
        </w:rPr>
        <w:lastRenderedPageBreak/>
        <w:t xml:space="preserve">The reforms and </w:t>
      </w:r>
      <w:r w:rsidRPr="00141AB5">
        <w:rPr>
          <w:rFonts w:ascii="Aptos" w:eastAsia="Aptos" w:hAnsi="Aptos" w:cs="Aptos"/>
          <w:color w:val="000000" w:themeColor="text1"/>
        </w:rPr>
        <w:t>savings are valuable and should be adopted; they also serve as case studies for regular and systematic reviews of programs. The Review has developed a model and process to undertake this as part of the annual budget cycle.</w:t>
      </w:r>
    </w:p>
    <w:p w14:paraId="103DF483" w14:textId="0C3E2377" w:rsidR="00434E81" w:rsidRPr="00141AB5" w:rsidRDefault="00434E81" w:rsidP="00434E81">
      <w:pPr>
        <w:rPr>
          <w:rFonts w:ascii="Aptos" w:eastAsia="Aptos" w:hAnsi="Aptos" w:cs="Aptos"/>
          <w:szCs w:val="22"/>
        </w:rPr>
      </w:pPr>
      <w:r w:rsidRPr="00141AB5">
        <w:rPr>
          <w:rFonts w:ascii="Aptos" w:eastAsia="Aptos" w:hAnsi="Aptos" w:cs="Aptos"/>
          <w:szCs w:val="22"/>
        </w:rPr>
        <w:t>The Review</w:t>
      </w:r>
      <w:r>
        <w:rPr>
          <w:rFonts w:ascii="Aptos" w:eastAsia="Aptos" w:hAnsi="Aptos" w:cs="Aptos"/>
          <w:szCs w:val="22"/>
        </w:rPr>
        <w:t>’s</w:t>
      </w:r>
      <w:r w:rsidRPr="00141AB5">
        <w:rPr>
          <w:rFonts w:ascii="Aptos" w:eastAsia="Aptos" w:hAnsi="Aptos" w:cs="Aptos"/>
          <w:szCs w:val="22"/>
        </w:rPr>
        <w:t xml:space="preserve"> Final Report draws on publicly available and internal to government sources. Publicly available data are current as of 20 May 2025. </w:t>
      </w:r>
      <w:r>
        <w:rPr>
          <w:rFonts w:ascii="Aptos" w:eastAsia="Aptos" w:hAnsi="Aptos" w:cs="Aptos"/>
          <w:szCs w:val="22"/>
        </w:rPr>
        <w:t>D</w:t>
      </w:r>
      <w:r w:rsidRPr="00141AB5">
        <w:rPr>
          <w:rFonts w:ascii="Aptos" w:eastAsia="Aptos" w:hAnsi="Aptos" w:cs="Aptos"/>
          <w:szCs w:val="22"/>
        </w:rPr>
        <w:t xml:space="preserve">ata releases after this date include labour force and population estimates released by the Australian Bureau of Statistics (ABS) in June and </w:t>
      </w:r>
      <w:r>
        <w:rPr>
          <w:rFonts w:ascii="Aptos" w:eastAsia="Aptos" w:hAnsi="Aptos" w:cs="Aptos"/>
          <w:szCs w:val="22"/>
        </w:rPr>
        <w:t>various state budgets</w:t>
      </w:r>
      <w:r w:rsidRPr="00141AB5">
        <w:rPr>
          <w:rFonts w:ascii="Aptos" w:eastAsia="Aptos" w:hAnsi="Aptos" w:cs="Aptos"/>
          <w:szCs w:val="22"/>
        </w:rPr>
        <w:t xml:space="preserve">. Unless otherwise specified, references to budget aggregates are for the general government sector. </w:t>
      </w:r>
    </w:p>
    <w:p w14:paraId="33DA0428" w14:textId="77777777" w:rsidR="00434E81" w:rsidRDefault="00434E81" w:rsidP="00434E81">
      <w:r w:rsidRPr="00141AB5">
        <w:t>The Independent Reviewer met with senior officials and ministers through</w:t>
      </w:r>
      <w:r>
        <w:t xml:space="preserve"> the Review </w:t>
      </w:r>
      <w:r>
        <w:t>to understand the operating context, systems and processes.</w:t>
      </w:r>
    </w:p>
    <w:p w14:paraId="4DDE3FB5" w14:textId="6ADC50F2" w:rsidR="00434E81" w:rsidRDefault="00434E81" w:rsidP="00434E81">
      <w:r w:rsidRPr="00C37136">
        <w:rPr>
          <w:rFonts w:ascii="Aptos" w:eastAsia="Aptos" w:hAnsi="Aptos" w:cs="Aptos"/>
          <w:color w:val="000000" w:themeColor="text1"/>
        </w:rPr>
        <w:t>The Review’s findings and recommendations are underpinned by substantial analysis.</w:t>
      </w:r>
    </w:p>
    <w:p w14:paraId="5406E3A2" w14:textId="1A3C5627" w:rsidR="00580139" w:rsidRDefault="00434E81" w:rsidP="00CF5D48">
      <w:pPr>
        <w:rPr>
          <w:rFonts w:ascii="Aptos" w:eastAsia="Aptos" w:hAnsi="Aptos" w:cs="Aptos"/>
          <w:color w:val="000000" w:themeColor="text1"/>
        </w:rPr>
      </w:pPr>
      <w:r w:rsidRPr="709E3850">
        <w:rPr>
          <w:rFonts w:ascii="Aptos" w:eastAsia="Aptos" w:hAnsi="Aptos" w:cs="Aptos"/>
          <w:color w:val="000000" w:themeColor="text1"/>
        </w:rPr>
        <w:t xml:space="preserve">The Review found that significant work has been undertaken or is underway in the VPS to improve its effectiveness and efficiency. Many </w:t>
      </w:r>
      <w:r w:rsidR="008A73C2" w:rsidRPr="005E5867">
        <w:rPr>
          <w:rFonts w:ascii="Aptos" w:eastAsia="Aptos" w:hAnsi="Aptos" w:cs="Aptos"/>
          <w:color w:val="000000" w:themeColor="text1"/>
        </w:rPr>
        <w:t>good</w:t>
      </w:r>
      <w:r w:rsidRPr="709E3850">
        <w:rPr>
          <w:rFonts w:ascii="Aptos" w:eastAsia="Aptos" w:hAnsi="Aptos" w:cs="Aptos"/>
          <w:color w:val="000000" w:themeColor="text1"/>
        </w:rPr>
        <w:t xml:space="preserve"> ideas to improve services and reduce costs have already been implemented, and more are in train. </w:t>
      </w:r>
      <w:r w:rsidRPr="00141AB5">
        <w:rPr>
          <w:rFonts w:ascii="Aptos" w:eastAsia="Aptos" w:hAnsi="Aptos" w:cs="Aptos"/>
          <w:color w:val="000000" w:themeColor="text1"/>
        </w:rPr>
        <w:t>There is a strong commitment to improving efficiency and effectiveness across the public service. The government needs to reinforce and encourage this work by implementing new and enhanced processes, systems and services to enable the VPS to do great work</w:t>
      </w:r>
      <w:bookmarkStart w:id="26" w:name="_Toc202523966"/>
      <w:r w:rsidR="00CF5D48">
        <w:rPr>
          <w:rFonts w:ascii="Aptos" w:eastAsia="Aptos" w:hAnsi="Aptos" w:cs="Aptos"/>
          <w:color w:val="000000" w:themeColor="text1"/>
        </w:rPr>
        <w:t>.</w:t>
      </w:r>
    </w:p>
    <w:p w14:paraId="6ABC2937" w14:textId="77777777" w:rsidR="00DE5CF4" w:rsidRDefault="00DE5CF4" w:rsidP="002B2F6E">
      <w:pPr>
        <w:sectPr w:rsidR="00DE5CF4" w:rsidSect="00DE5CF4">
          <w:type w:val="continuous"/>
          <w:pgSz w:w="11906" w:h="16838"/>
          <w:pgMar w:top="1440" w:right="1440" w:bottom="1440" w:left="1440" w:header="708" w:footer="708" w:gutter="0"/>
          <w:cols w:num="2" w:space="708"/>
          <w:docGrid w:linePitch="360"/>
          <w15:footnoteColumns w:val="1"/>
        </w:sectPr>
      </w:pPr>
    </w:p>
    <w:p w14:paraId="6882BE1A" w14:textId="77777777" w:rsidR="002A37FB" w:rsidRDefault="002A37FB" w:rsidP="002B2F6E">
      <w:r>
        <w:br w:type="page"/>
      </w:r>
    </w:p>
    <w:p w14:paraId="42956507" w14:textId="77777777" w:rsidR="006325FA" w:rsidRDefault="006325FA" w:rsidP="006325FA">
      <w:r>
        <w:lastRenderedPageBreak/>
        <w:br w:type="page"/>
      </w:r>
    </w:p>
    <w:p w14:paraId="3075BA0E" w14:textId="7384A406" w:rsidR="00077A28" w:rsidRDefault="0068471A" w:rsidP="00077A28">
      <w:pPr>
        <w:pStyle w:val="Heading1"/>
        <w:rPr>
          <w:color w:val="2F5496"/>
          <w:sz w:val="36"/>
          <w:szCs w:val="36"/>
        </w:rPr>
      </w:pPr>
      <w:bookmarkStart w:id="27" w:name="_Toc214911986"/>
      <w:r>
        <w:lastRenderedPageBreak/>
        <w:t xml:space="preserve">Chapter 3:  </w:t>
      </w:r>
      <w:r w:rsidR="00077A28" w:rsidRPr="5C3E32E3">
        <w:t>Fiscal management and strategy</w:t>
      </w:r>
      <w:bookmarkEnd w:id="26"/>
      <w:bookmarkEnd w:id="27"/>
    </w:p>
    <w:p w14:paraId="2F6F79E9" w14:textId="77777777" w:rsidR="00077A28" w:rsidRPr="00550DB1" w:rsidRDefault="00077A28" w:rsidP="00ED15FD">
      <w:pPr>
        <w:spacing w:before="160" w:after="80"/>
        <w:rPr>
          <w:rFonts w:asciiTheme="majorHAnsi" w:hAnsiTheme="majorHAnsi"/>
          <w:b/>
          <w:color w:val="0F4761" w:themeColor="accent1" w:themeShade="BF"/>
          <w:sz w:val="32"/>
          <w:szCs w:val="32"/>
        </w:rPr>
      </w:pPr>
      <w:r w:rsidRPr="00550DB1">
        <w:rPr>
          <w:rFonts w:asciiTheme="majorHAnsi" w:hAnsiTheme="majorHAnsi"/>
          <w:b/>
          <w:color w:val="0F4761" w:themeColor="accent1" w:themeShade="BF"/>
          <w:sz w:val="32"/>
          <w:szCs w:val="32"/>
        </w:rPr>
        <w:t>Key points </w:t>
      </w:r>
    </w:p>
    <w:p w14:paraId="62A4BCC7" w14:textId="77777777" w:rsidR="00077A28" w:rsidRPr="00ED15FD" w:rsidRDefault="00077A28" w:rsidP="003B1134">
      <w:pPr>
        <w:pStyle w:val="ShadedBoxBullet"/>
      </w:pPr>
      <w:r w:rsidRPr="00ED15FD">
        <w:t>Strong financial management enables government to deliver on its objectives while supporting the community, business and the economy.</w:t>
      </w:r>
    </w:p>
    <w:p w14:paraId="64EB1607" w14:textId="51409883" w:rsidR="00077A28" w:rsidRPr="00ED15FD" w:rsidRDefault="00077A28" w:rsidP="003B1134">
      <w:pPr>
        <w:pStyle w:val="ShadedBoxBullet"/>
      </w:pPr>
      <w:r w:rsidRPr="00ED15FD">
        <w:t xml:space="preserve">Savings programs to reduce operational expenditures do not occur in a vacuum and need to be intricately linked to the government’s overall fiscal management strategy. If not, they will lack sufficient support and will appear to be </w:t>
      </w:r>
      <w:r w:rsidR="004A44AA">
        <w:t>‘</w:t>
      </w:r>
      <w:r w:rsidRPr="00ED15FD">
        <w:t>add</w:t>
      </w:r>
      <w:r w:rsidR="00855674">
        <w:t>-</w:t>
      </w:r>
      <w:r w:rsidRPr="00ED15FD">
        <w:t>ons</w:t>
      </w:r>
      <w:r w:rsidR="004A44AA">
        <w:t>’</w:t>
      </w:r>
      <w:r w:rsidRPr="00ED15FD">
        <w:t xml:space="preserve"> rather than an important part of the budget and resource allocation process.</w:t>
      </w:r>
    </w:p>
    <w:p w14:paraId="2C0A1569" w14:textId="77777777" w:rsidR="004A44AA" w:rsidRPr="004A44AA" w:rsidRDefault="00077A28" w:rsidP="003B1134">
      <w:pPr>
        <w:pStyle w:val="ShadedBoxBullet"/>
      </w:pPr>
      <w:r w:rsidRPr="00ED15FD">
        <w:t xml:space="preserve">The government’s fiscal management and strategy are sound but should be enhanced. Budget practices required during the pandemic are still having an impact. </w:t>
      </w:r>
    </w:p>
    <w:p w14:paraId="29B8EE6D" w14:textId="3627B2FB" w:rsidR="00077A28" w:rsidRPr="00ED15FD" w:rsidRDefault="00077A28" w:rsidP="003B1134">
      <w:pPr>
        <w:pStyle w:val="ShadedBoxBullet"/>
      </w:pPr>
      <w:r w:rsidRPr="00ED15FD">
        <w:t xml:space="preserve">Good budget practices help create more budget capacity. They also build confidence in Victoria’s budget and financial position by providing a strong pathway to manage debt servicing over the medium to longer term. </w:t>
      </w:r>
    </w:p>
    <w:p w14:paraId="369F83F2" w14:textId="0BE54F9B" w:rsidR="00077A28" w:rsidRPr="00ED15FD" w:rsidRDefault="00077A28" w:rsidP="003B1134">
      <w:pPr>
        <w:pStyle w:val="ShadedBoxBullet"/>
      </w:pPr>
      <w:r w:rsidRPr="00ED15FD">
        <w:t>Adhering to enhanced budget rules would support the government to achieve its fiscal</w:t>
      </w:r>
      <w:r w:rsidR="00A36BB3">
        <w:t> </w:t>
      </w:r>
      <w:r w:rsidRPr="00ED15FD">
        <w:t xml:space="preserve">strategy and improve the operational effectiveness, efficiency and quality of government service delivery. </w:t>
      </w:r>
    </w:p>
    <w:p w14:paraId="28758B81" w14:textId="77777777" w:rsidR="002B2F6E" w:rsidRDefault="00336579" w:rsidP="0018413D">
      <w:pPr>
        <w:pStyle w:val="Heading2"/>
        <w:spacing w:before="360"/>
      </w:pPr>
      <w:bookmarkStart w:id="28" w:name="_Toc202523967"/>
      <w:bookmarkStart w:id="29" w:name="_Toc214911987"/>
      <w:r>
        <w:t xml:space="preserve">3.1   </w:t>
      </w:r>
      <w:r w:rsidR="00077A28" w:rsidRPr="000C2D4B">
        <w:t>Introduction</w:t>
      </w:r>
      <w:bookmarkEnd w:id="28"/>
      <w:bookmarkEnd w:id="29"/>
    </w:p>
    <w:p w14:paraId="558D326B" w14:textId="77777777" w:rsidR="00C735CA" w:rsidRDefault="00C735CA" w:rsidP="00077A28">
      <w:pPr>
        <w:rPr>
          <w:rFonts w:eastAsia="Aptos" w:cs="Aptos"/>
          <w:color w:val="000000" w:themeColor="text1"/>
          <w:szCs w:val="22"/>
        </w:rPr>
        <w:sectPr w:rsidR="00C735CA" w:rsidSect="00AE6104">
          <w:type w:val="continuous"/>
          <w:pgSz w:w="11906" w:h="16838"/>
          <w:pgMar w:top="1440" w:right="1440" w:bottom="1440" w:left="1440" w:header="708" w:footer="708" w:gutter="0"/>
          <w:cols w:space="708"/>
          <w:docGrid w:linePitch="360"/>
          <w15:footnoteColumns w:val="1"/>
        </w:sectPr>
      </w:pPr>
    </w:p>
    <w:p w14:paraId="27EE3CB0" w14:textId="3050D7DA" w:rsidR="00077A28" w:rsidRPr="00B86860" w:rsidRDefault="00077A28" w:rsidP="00077A28">
      <w:pPr>
        <w:rPr>
          <w:rFonts w:eastAsia="Aptos" w:cs="Aptos"/>
          <w:color w:val="000000" w:themeColor="text1"/>
          <w:szCs w:val="22"/>
        </w:rPr>
      </w:pPr>
      <w:r w:rsidRPr="00B86860">
        <w:rPr>
          <w:rFonts w:eastAsia="Aptos" w:cs="Aptos"/>
          <w:color w:val="000000" w:themeColor="text1"/>
          <w:szCs w:val="22"/>
        </w:rPr>
        <w:t>The Review’s recommendations on</w:t>
      </w:r>
      <w:r>
        <w:rPr>
          <w:rFonts w:eastAsia="Aptos" w:cs="Aptos"/>
          <w:color w:val="000000" w:themeColor="text1"/>
          <w:szCs w:val="22"/>
        </w:rPr>
        <w:t xml:space="preserve"> programmatic and public entity</w:t>
      </w:r>
      <w:r w:rsidRPr="00B86860">
        <w:rPr>
          <w:rFonts w:eastAsia="Aptos" w:cs="Aptos"/>
          <w:color w:val="000000" w:themeColor="text1"/>
          <w:szCs w:val="22"/>
        </w:rPr>
        <w:t xml:space="preserve"> savings are not made in isolation. They need to be considered as part of a strong financial management strategy</w:t>
      </w:r>
      <w:r>
        <w:rPr>
          <w:rFonts w:eastAsia="Aptos" w:cs="Aptos"/>
          <w:color w:val="000000" w:themeColor="text1"/>
          <w:szCs w:val="22"/>
        </w:rPr>
        <w:t xml:space="preserve"> – </w:t>
      </w:r>
      <w:r w:rsidRPr="00B86860">
        <w:rPr>
          <w:rFonts w:eastAsia="Aptos" w:cs="Aptos"/>
          <w:color w:val="000000" w:themeColor="text1"/>
          <w:szCs w:val="22"/>
        </w:rPr>
        <w:t xml:space="preserve">a fundamental element of public administration. </w:t>
      </w:r>
    </w:p>
    <w:p w14:paraId="799AEC26" w14:textId="52AAB13D" w:rsidR="00077A28" w:rsidRPr="00B86860" w:rsidRDefault="00077A28" w:rsidP="00077A28">
      <w:pPr>
        <w:rPr>
          <w:rFonts w:eastAsia="Aptos" w:cs="Aptos"/>
          <w:color w:val="000000" w:themeColor="text1"/>
          <w:szCs w:val="22"/>
        </w:rPr>
      </w:pPr>
      <w:r w:rsidRPr="00B86860">
        <w:rPr>
          <w:rFonts w:eastAsia="Aptos" w:cs="Aptos"/>
          <w:color w:val="000000" w:themeColor="text1"/>
          <w:szCs w:val="22"/>
        </w:rPr>
        <w:t xml:space="preserve">To provide enduring value, the Review has considered and makes recommendations </w:t>
      </w:r>
      <w:r>
        <w:rPr>
          <w:rFonts w:eastAsia="Aptos" w:cs="Aptos"/>
          <w:color w:val="000000" w:themeColor="text1"/>
          <w:szCs w:val="22"/>
        </w:rPr>
        <w:t xml:space="preserve">that are embedded </w:t>
      </w:r>
      <w:r w:rsidRPr="00B86860">
        <w:rPr>
          <w:rFonts w:eastAsia="Aptos" w:cs="Aptos"/>
          <w:color w:val="000000" w:themeColor="text1"/>
          <w:szCs w:val="22"/>
        </w:rPr>
        <w:t>in good public financial principles and practices</w:t>
      </w:r>
      <w:r>
        <w:rPr>
          <w:rFonts w:eastAsia="Aptos" w:cs="Aptos"/>
          <w:color w:val="000000" w:themeColor="text1"/>
          <w:szCs w:val="22"/>
        </w:rPr>
        <w:t xml:space="preserve">. They aim </w:t>
      </w:r>
      <w:r w:rsidRPr="00B86860">
        <w:rPr>
          <w:rFonts w:eastAsia="Aptos" w:cs="Aptos"/>
          <w:color w:val="000000" w:themeColor="text1"/>
          <w:szCs w:val="22"/>
        </w:rPr>
        <w:t xml:space="preserve">to strengthen Victoria’s financial management approach and assist </w:t>
      </w:r>
      <w:r w:rsidR="00CC253D">
        <w:rPr>
          <w:rFonts w:eastAsia="Aptos" w:cs="Aptos"/>
          <w:color w:val="000000" w:themeColor="text1"/>
          <w:szCs w:val="22"/>
        </w:rPr>
        <w:t xml:space="preserve">the </w:t>
      </w:r>
      <w:r w:rsidRPr="00B86860">
        <w:rPr>
          <w:rFonts w:eastAsia="Aptos" w:cs="Aptos"/>
          <w:color w:val="000000" w:themeColor="text1"/>
          <w:szCs w:val="22"/>
        </w:rPr>
        <w:t xml:space="preserve">government’s ongoing consideration of its operating expenditure. Managed well, they will provide further opportunities to create budget sustainability and capacity, provide certainty and confidence to the economy, and support </w:t>
      </w:r>
      <w:r>
        <w:rPr>
          <w:rFonts w:eastAsia="Aptos" w:cs="Aptos"/>
          <w:color w:val="000000" w:themeColor="text1"/>
          <w:szCs w:val="22"/>
        </w:rPr>
        <w:t xml:space="preserve">the government’s </w:t>
      </w:r>
      <w:r w:rsidRPr="00B86860">
        <w:rPr>
          <w:rFonts w:eastAsia="Aptos" w:cs="Aptos"/>
          <w:color w:val="000000" w:themeColor="text1"/>
          <w:szCs w:val="22"/>
        </w:rPr>
        <w:t xml:space="preserve">delivery of excellent core services to the community. </w:t>
      </w:r>
    </w:p>
    <w:p w14:paraId="47626132" w14:textId="75BC1680" w:rsidR="00077A28" w:rsidRPr="00B86860" w:rsidRDefault="00C735CA" w:rsidP="00077A28">
      <w:pPr>
        <w:rPr>
          <w:rFonts w:eastAsia="Aptos" w:cs="Aptos"/>
          <w:color w:val="000000" w:themeColor="text1"/>
          <w:szCs w:val="22"/>
        </w:rPr>
      </w:pPr>
      <w:r>
        <w:rPr>
          <w:rFonts w:eastAsia="Aptos" w:cs="Aptos"/>
          <w:color w:val="000000" w:themeColor="text1"/>
          <w:szCs w:val="22"/>
        </w:rPr>
        <w:br w:type="column"/>
      </w:r>
      <w:r w:rsidR="00077A28" w:rsidRPr="00B86860">
        <w:rPr>
          <w:rFonts w:eastAsia="Aptos" w:cs="Aptos"/>
          <w:color w:val="000000" w:themeColor="text1"/>
          <w:szCs w:val="22"/>
        </w:rPr>
        <w:t>Strong financial management allows for:</w:t>
      </w:r>
    </w:p>
    <w:p w14:paraId="24378A84" w14:textId="77777777" w:rsidR="00077A28" w:rsidRPr="00B86860" w:rsidRDefault="00077A28" w:rsidP="00D207B3">
      <w:pPr>
        <w:pStyle w:val="ListParagraph"/>
        <w:numPr>
          <w:ilvl w:val="0"/>
          <w:numId w:val="12"/>
        </w:numPr>
        <w:ind w:left="714" w:hanging="357"/>
        <w:contextualSpacing w:val="0"/>
        <w:rPr>
          <w:rFonts w:eastAsia="Aptos" w:cs="Aptos"/>
          <w:color w:val="000000" w:themeColor="text1"/>
          <w:szCs w:val="22"/>
        </w:rPr>
      </w:pPr>
      <w:r w:rsidRPr="00B86860">
        <w:rPr>
          <w:rFonts w:eastAsia="Aptos" w:cs="Aptos"/>
          <w:color w:val="000000" w:themeColor="text1"/>
          <w:szCs w:val="22"/>
        </w:rPr>
        <w:t>consistent and stable revenue through balanced taxation and spending, which enables government to fund key public services</w:t>
      </w:r>
      <w:r>
        <w:rPr>
          <w:rFonts w:eastAsia="Aptos" w:cs="Aptos"/>
          <w:color w:val="000000" w:themeColor="text1"/>
          <w:szCs w:val="22"/>
        </w:rPr>
        <w:t xml:space="preserve"> </w:t>
      </w:r>
      <w:r w:rsidRPr="00B86860">
        <w:rPr>
          <w:rFonts w:eastAsia="Aptos" w:cs="Aptos"/>
          <w:color w:val="000000" w:themeColor="text1"/>
          <w:szCs w:val="22"/>
        </w:rPr>
        <w:t>to benefit the community, enhance equity and grow the economy</w:t>
      </w:r>
    </w:p>
    <w:p w14:paraId="01C9AB25" w14:textId="77777777" w:rsidR="00077A28" w:rsidRPr="00B86860" w:rsidRDefault="00077A28" w:rsidP="00D207B3">
      <w:pPr>
        <w:pStyle w:val="ListParagraph"/>
        <w:numPr>
          <w:ilvl w:val="0"/>
          <w:numId w:val="12"/>
        </w:numPr>
        <w:ind w:left="714" w:hanging="357"/>
        <w:contextualSpacing w:val="0"/>
        <w:rPr>
          <w:rFonts w:eastAsia="Aptos" w:cs="Aptos"/>
          <w:color w:val="000000" w:themeColor="text1"/>
          <w:szCs w:val="22"/>
        </w:rPr>
      </w:pPr>
      <w:r w:rsidRPr="00B86860">
        <w:rPr>
          <w:rFonts w:eastAsia="Aptos" w:cs="Aptos"/>
          <w:color w:val="000000" w:themeColor="text1"/>
          <w:szCs w:val="22"/>
        </w:rPr>
        <w:t>strategic and sustainable investments in public infrastructure and programs that create amenity, employment opportunities and economic development</w:t>
      </w:r>
    </w:p>
    <w:p w14:paraId="30B75EF8" w14:textId="531226CB" w:rsidR="00077A28" w:rsidRPr="00B86860" w:rsidRDefault="00077A28" w:rsidP="00D207B3">
      <w:pPr>
        <w:pStyle w:val="ListParagraph"/>
        <w:numPr>
          <w:ilvl w:val="0"/>
          <w:numId w:val="12"/>
        </w:numPr>
        <w:ind w:left="714" w:hanging="357"/>
        <w:contextualSpacing w:val="0"/>
        <w:rPr>
          <w:rFonts w:eastAsia="Aptos" w:cs="Aptos"/>
          <w:color w:val="000000" w:themeColor="text1"/>
          <w:szCs w:val="22"/>
        </w:rPr>
      </w:pPr>
      <w:r w:rsidRPr="00B86860">
        <w:rPr>
          <w:rFonts w:eastAsia="Aptos" w:cs="Aptos"/>
          <w:color w:val="000000" w:themeColor="text1"/>
          <w:szCs w:val="22"/>
        </w:rPr>
        <w:t>long-term financial health which creates financial sustainability and strong credit ratings that give government the ability to access the bond markets to raise capital to invest in public services</w:t>
      </w:r>
      <w:r>
        <w:rPr>
          <w:rFonts w:eastAsia="Aptos" w:cs="Aptos"/>
          <w:color w:val="000000" w:themeColor="text1"/>
          <w:szCs w:val="22"/>
        </w:rPr>
        <w:t xml:space="preserve"> and </w:t>
      </w:r>
      <w:r w:rsidR="00261334">
        <w:rPr>
          <w:rFonts w:eastAsia="Aptos" w:cs="Aptos"/>
          <w:color w:val="000000" w:themeColor="text1"/>
          <w:szCs w:val="22"/>
        </w:rPr>
        <w:br w:type="column"/>
      </w:r>
      <w:r>
        <w:rPr>
          <w:rFonts w:eastAsia="Aptos" w:cs="Aptos"/>
          <w:color w:val="000000" w:themeColor="text1"/>
          <w:szCs w:val="22"/>
        </w:rPr>
        <w:lastRenderedPageBreak/>
        <w:t>infrastructure</w:t>
      </w:r>
      <w:r w:rsidRPr="00B86860">
        <w:rPr>
          <w:rFonts w:eastAsia="Aptos" w:cs="Aptos"/>
          <w:color w:val="000000" w:themeColor="text1"/>
          <w:szCs w:val="22"/>
        </w:rPr>
        <w:t xml:space="preserve"> </w:t>
      </w:r>
      <w:r w:rsidR="00FA6D8B">
        <w:rPr>
          <w:rFonts w:eastAsia="Aptos" w:cs="Aptos"/>
          <w:color w:val="000000" w:themeColor="text1"/>
          <w:szCs w:val="22"/>
        </w:rPr>
        <w:t>(</w:t>
      </w:r>
      <w:r w:rsidRPr="00B86860">
        <w:rPr>
          <w:rFonts w:eastAsia="Aptos" w:cs="Aptos"/>
          <w:color w:val="000000" w:themeColor="text1"/>
          <w:szCs w:val="22"/>
        </w:rPr>
        <w:t>and provides the bond markets with the high-quality bonds they need</w:t>
      </w:r>
      <w:r>
        <w:rPr>
          <w:rFonts w:eastAsia="Aptos" w:cs="Aptos"/>
          <w:color w:val="000000" w:themeColor="text1"/>
          <w:szCs w:val="22"/>
        </w:rPr>
        <w:t xml:space="preserve"> to meet prudential requirements</w:t>
      </w:r>
      <w:r w:rsidR="00FA6D8B">
        <w:rPr>
          <w:rFonts w:eastAsia="Aptos" w:cs="Aptos"/>
          <w:color w:val="000000" w:themeColor="text1"/>
          <w:szCs w:val="22"/>
        </w:rPr>
        <w:t>)</w:t>
      </w:r>
    </w:p>
    <w:p w14:paraId="05C3103D" w14:textId="77777777" w:rsidR="00077A28" w:rsidRPr="00B86860" w:rsidRDefault="00077A28" w:rsidP="00D207B3">
      <w:pPr>
        <w:pStyle w:val="ListParagraph"/>
        <w:numPr>
          <w:ilvl w:val="0"/>
          <w:numId w:val="12"/>
        </w:numPr>
        <w:ind w:left="714" w:hanging="357"/>
        <w:contextualSpacing w:val="0"/>
        <w:rPr>
          <w:rFonts w:eastAsia="Aptos" w:cs="Aptos"/>
          <w:color w:val="000000" w:themeColor="text1"/>
          <w:szCs w:val="22"/>
        </w:rPr>
      </w:pPr>
      <w:r w:rsidRPr="00B86860">
        <w:rPr>
          <w:rFonts w:eastAsia="Aptos" w:cs="Aptos"/>
          <w:color w:val="000000" w:themeColor="text1"/>
          <w:szCs w:val="22"/>
        </w:rPr>
        <w:t>a buffer to</w:t>
      </w:r>
      <w:r>
        <w:rPr>
          <w:rFonts w:eastAsia="Aptos" w:cs="Aptos"/>
          <w:color w:val="000000" w:themeColor="text1"/>
          <w:szCs w:val="22"/>
        </w:rPr>
        <w:t xml:space="preserve"> absorb</w:t>
      </w:r>
      <w:r w:rsidRPr="00B86860">
        <w:rPr>
          <w:rFonts w:eastAsia="Aptos" w:cs="Aptos"/>
          <w:color w:val="000000" w:themeColor="text1"/>
          <w:szCs w:val="22"/>
        </w:rPr>
        <w:t xml:space="preserve"> economic downturns or </w:t>
      </w:r>
      <w:r>
        <w:rPr>
          <w:rFonts w:eastAsia="Aptos" w:cs="Aptos"/>
          <w:color w:val="000000" w:themeColor="text1"/>
          <w:szCs w:val="22"/>
        </w:rPr>
        <w:t xml:space="preserve">respond to </w:t>
      </w:r>
      <w:r w:rsidRPr="00B86860">
        <w:rPr>
          <w:rFonts w:eastAsia="Aptos" w:cs="Aptos"/>
          <w:color w:val="000000" w:themeColor="text1"/>
          <w:szCs w:val="22"/>
        </w:rPr>
        <w:t>emergencies quickly and effectively</w:t>
      </w:r>
    </w:p>
    <w:p w14:paraId="2752AADC" w14:textId="33035BDE" w:rsidR="00077A28" w:rsidRDefault="00077A28" w:rsidP="00D207B3">
      <w:pPr>
        <w:pStyle w:val="ListParagraph"/>
        <w:numPr>
          <w:ilvl w:val="0"/>
          <w:numId w:val="12"/>
        </w:numPr>
        <w:ind w:left="714" w:hanging="357"/>
        <w:contextualSpacing w:val="0"/>
        <w:rPr>
          <w:rFonts w:eastAsia="Aptos" w:cs="Aptos"/>
          <w:color w:val="000000" w:themeColor="text1"/>
          <w:szCs w:val="22"/>
        </w:rPr>
      </w:pPr>
      <w:r w:rsidRPr="00B86860">
        <w:rPr>
          <w:rFonts w:eastAsia="Aptos" w:cs="Aptos"/>
          <w:color w:val="000000" w:themeColor="text1"/>
          <w:szCs w:val="22"/>
        </w:rPr>
        <w:t>investor confidence</w:t>
      </w:r>
      <w:r w:rsidR="00920784">
        <w:rPr>
          <w:rFonts w:eastAsia="Aptos" w:cs="Aptos"/>
          <w:color w:val="000000" w:themeColor="text1"/>
          <w:szCs w:val="22"/>
        </w:rPr>
        <w:t>,</w:t>
      </w:r>
      <w:r w:rsidRPr="00B86860">
        <w:rPr>
          <w:rFonts w:eastAsia="Aptos" w:cs="Aptos"/>
          <w:color w:val="000000" w:themeColor="text1"/>
          <w:szCs w:val="22"/>
        </w:rPr>
        <w:t xml:space="preserve"> which attracts investment to the </w:t>
      </w:r>
      <w:r>
        <w:rPr>
          <w:rFonts w:eastAsia="Aptos" w:cs="Aptos"/>
          <w:color w:val="000000" w:themeColor="text1"/>
          <w:szCs w:val="22"/>
        </w:rPr>
        <w:t>s</w:t>
      </w:r>
      <w:r w:rsidRPr="00B86860">
        <w:rPr>
          <w:rFonts w:eastAsia="Aptos" w:cs="Aptos"/>
          <w:color w:val="000000" w:themeColor="text1"/>
          <w:szCs w:val="22"/>
        </w:rPr>
        <w:t xml:space="preserve">tate and provides </w:t>
      </w:r>
      <w:r w:rsidRPr="00B86860">
        <w:rPr>
          <w:rFonts w:eastAsia="Aptos" w:cs="Aptos"/>
          <w:color w:val="000000" w:themeColor="text1"/>
          <w:szCs w:val="22"/>
        </w:rPr>
        <w:t>certainty for businesses to plan, invest and expand operations.</w:t>
      </w:r>
    </w:p>
    <w:p w14:paraId="29718454" w14:textId="5C4890B8" w:rsidR="00077A28" w:rsidRPr="00EB096B" w:rsidRDefault="00077A28" w:rsidP="00077A28">
      <w:pPr>
        <w:rPr>
          <w:rFonts w:eastAsia="Aptos" w:cs="Aptos"/>
          <w:color w:val="000000" w:themeColor="text1"/>
          <w:szCs w:val="22"/>
        </w:rPr>
      </w:pPr>
      <w:r w:rsidRPr="00EB096B">
        <w:rPr>
          <w:rFonts w:eastAsia="Aptos" w:cs="Aptos"/>
          <w:color w:val="000000" w:themeColor="text1"/>
          <w:szCs w:val="22"/>
        </w:rPr>
        <w:t>A strong financial management strategy provides the government with a pathway to manage the complex delivery of core services within a more constrained expenditure environment over the short to medium</w:t>
      </w:r>
      <w:r w:rsidR="00805221" w:rsidRPr="00EB096B">
        <w:rPr>
          <w:rFonts w:eastAsia="Aptos" w:cs="Aptos"/>
          <w:color w:val="000000" w:themeColor="text1"/>
          <w:szCs w:val="22"/>
        </w:rPr>
        <w:t xml:space="preserve"> </w:t>
      </w:r>
      <w:r w:rsidRPr="00EB096B">
        <w:rPr>
          <w:rFonts w:eastAsia="Aptos" w:cs="Aptos"/>
          <w:color w:val="000000" w:themeColor="text1"/>
          <w:szCs w:val="22"/>
        </w:rPr>
        <w:t>term.</w:t>
      </w:r>
    </w:p>
    <w:p w14:paraId="24D40B23" w14:textId="77777777" w:rsidR="00C735CA" w:rsidRDefault="00C735CA" w:rsidP="005315A6">
      <w:pPr>
        <w:pStyle w:val="Heading2"/>
        <w:sectPr w:rsidR="00C735CA" w:rsidSect="00C735CA">
          <w:type w:val="continuous"/>
          <w:pgSz w:w="11906" w:h="16838"/>
          <w:pgMar w:top="1440" w:right="1440" w:bottom="1440" w:left="1440" w:header="708" w:footer="708" w:gutter="0"/>
          <w:cols w:num="2" w:space="708"/>
          <w:docGrid w:linePitch="360"/>
          <w15:footnoteColumns w:val="1"/>
        </w:sectPr>
      </w:pPr>
      <w:bookmarkStart w:id="30" w:name="_Toc202523968"/>
    </w:p>
    <w:p w14:paraId="5DD9476B" w14:textId="77777777" w:rsidR="005315A6" w:rsidRDefault="00336579" w:rsidP="005315A6">
      <w:pPr>
        <w:pStyle w:val="Heading2"/>
      </w:pPr>
      <w:bookmarkStart w:id="31" w:name="_Toc214911988"/>
      <w:r>
        <w:t xml:space="preserve">3.2   </w:t>
      </w:r>
      <w:r w:rsidR="00077A28" w:rsidRPr="000C2D4B">
        <w:t>Principles for strong public sector financial management</w:t>
      </w:r>
      <w:bookmarkEnd w:id="30"/>
      <w:bookmarkEnd w:id="31"/>
      <w:r w:rsidR="00077A28" w:rsidRPr="000C2D4B">
        <w:t xml:space="preserve"> </w:t>
      </w:r>
    </w:p>
    <w:p w14:paraId="78628903" w14:textId="77777777" w:rsidR="003D22BD" w:rsidRDefault="003D22BD" w:rsidP="00077A28">
      <w:pPr>
        <w:rPr>
          <w:rFonts w:eastAsia="Aptos" w:cs="Aptos"/>
          <w:color w:val="000000" w:themeColor="text1"/>
          <w:szCs w:val="22"/>
        </w:rPr>
        <w:sectPr w:rsidR="003D22BD" w:rsidSect="00AE6104">
          <w:type w:val="continuous"/>
          <w:pgSz w:w="11906" w:h="16838"/>
          <w:pgMar w:top="1440" w:right="1440" w:bottom="1440" w:left="1440" w:header="708" w:footer="708" w:gutter="0"/>
          <w:cols w:space="708"/>
          <w:docGrid w:linePitch="360"/>
          <w15:footnoteColumns w:val="1"/>
        </w:sectPr>
      </w:pPr>
    </w:p>
    <w:p w14:paraId="2725ECA5" w14:textId="737EADAA" w:rsidR="00077A28" w:rsidRPr="00B86860" w:rsidRDefault="00077A28" w:rsidP="00077A28">
      <w:pPr>
        <w:rPr>
          <w:rFonts w:eastAsia="Aptos" w:cs="Aptos"/>
          <w:color w:val="000000" w:themeColor="text1"/>
          <w:szCs w:val="22"/>
        </w:rPr>
      </w:pPr>
      <w:r w:rsidRPr="00B86860">
        <w:rPr>
          <w:rFonts w:eastAsia="Aptos" w:cs="Aptos"/>
          <w:color w:val="000000" w:themeColor="text1"/>
          <w:szCs w:val="22"/>
        </w:rPr>
        <w:t xml:space="preserve">The </w:t>
      </w:r>
      <w:r w:rsidRPr="00196816">
        <w:rPr>
          <w:rFonts w:eastAsia="Aptos" w:cs="Aptos"/>
          <w:i/>
          <w:color w:val="000000" w:themeColor="text1"/>
          <w:szCs w:val="22"/>
        </w:rPr>
        <w:t>Financial Management Act 1994</w:t>
      </w:r>
      <w:r w:rsidRPr="00B86860">
        <w:rPr>
          <w:rFonts w:eastAsia="Aptos" w:cs="Aptos"/>
          <w:color w:val="000000" w:themeColor="text1"/>
          <w:szCs w:val="22"/>
        </w:rPr>
        <w:t xml:space="preserve"> (the</w:t>
      </w:r>
      <w:r w:rsidR="0067142D">
        <w:rPr>
          <w:rFonts w:eastAsia="Aptos" w:cs="Aptos"/>
          <w:color w:val="000000" w:themeColor="text1"/>
          <w:szCs w:val="22"/>
        </w:rPr>
        <w:t> </w:t>
      </w:r>
      <w:r w:rsidR="00B43C48">
        <w:rPr>
          <w:rFonts w:eastAsia="Aptos" w:cs="Aptos"/>
          <w:color w:val="000000" w:themeColor="text1"/>
          <w:szCs w:val="22"/>
        </w:rPr>
        <w:t>FMA</w:t>
      </w:r>
      <w:r w:rsidRPr="00B86860">
        <w:rPr>
          <w:rFonts w:eastAsia="Aptos" w:cs="Aptos"/>
          <w:color w:val="000000" w:themeColor="text1"/>
          <w:szCs w:val="22"/>
        </w:rPr>
        <w:t>) sets out high</w:t>
      </w:r>
      <w:r w:rsidR="00D07DA4">
        <w:rPr>
          <w:rFonts w:eastAsia="Aptos" w:cs="Aptos"/>
          <w:color w:val="000000" w:themeColor="text1"/>
          <w:szCs w:val="22"/>
        </w:rPr>
        <w:t>-</w:t>
      </w:r>
      <w:r w:rsidRPr="00B86860">
        <w:rPr>
          <w:rFonts w:eastAsia="Aptos" w:cs="Aptos"/>
          <w:color w:val="000000" w:themeColor="text1"/>
          <w:szCs w:val="22"/>
        </w:rPr>
        <w:t xml:space="preserve">level principles for sound financial management for Victorians. The </w:t>
      </w:r>
      <w:r>
        <w:rPr>
          <w:rFonts w:eastAsia="Aptos" w:cs="Aptos"/>
          <w:color w:val="000000" w:themeColor="text1"/>
          <w:szCs w:val="22"/>
        </w:rPr>
        <w:t>g</w:t>
      </w:r>
      <w:r w:rsidRPr="00B86860">
        <w:rPr>
          <w:rFonts w:eastAsia="Aptos" w:cs="Aptos"/>
          <w:color w:val="000000" w:themeColor="text1"/>
          <w:szCs w:val="22"/>
        </w:rPr>
        <w:t xml:space="preserve">overnment </w:t>
      </w:r>
      <w:r>
        <w:rPr>
          <w:rFonts w:eastAsia="Aptos" w:cs="Aptos"/>
          <w:color w:val="000000" w:themeColor="text1"/>
          <w:szCs w:val="22"/>
        </w:rPr>
        <w:t>has recently introduced</w:t>
      </w:r>
      <w:r w:rsidRPr="00B86860">
        <w:rPr>
          <w:rFonts w:eastAsia="Aptos" w:cs="Aptos"/>
          <w:color w:val="000000" w:themeColor="text1"/>
          <w:szCs w:val="22"/>
        </w:rPr>
        <w:t xml:space="preserve"> legislation to amend the </w:t>
      </w:r>
      <w:r w:rsidR="00D75333">
        <w:rPr>
          <w:rFonts w:eastAsia="Aptos" w:cs="Aptos"/>
          <w:color w:val="000000" w:themeColor="text1"/>
          <w:szCs w:val="22"/>
        </w:rPr>
        <w:t>FMA</w:t>
      </w:r>
      <w:r w:rsidRPr="00B86860">
        <w:rPr>
          <w:rFonts w:eastAsia="Aptos" w:cs="Aptos"/>
          <w:color w:val="000000" w:themeColor="text1"/>
          <w:szCs w:val="22"/>
        </w:rPr>
        <w:t xml:space="preserve"> to strengthen its financial management approach. This include</w:t>
      </w:r>
      <w:r w:rsidR="0027449E">
        <w:rPr>
          <w:rFonts w:eastAsia="Aptos" w:cs="Aptos"/>
          <w:color w:val="000000" w:themeColor="text1"/>
          <w:szCs w:val="22"/>
        </w:rPr>
        <w:t>s</w:t>
      </w:r>
      <w:r w:rsidRPr="00B86860">
        <w:rPr>
          <w:rFonts w:eastAsia="Aptos" w:cs="Aptos"/>
          <w:color w:val="000000" w:themeColor="text1"/>
          <w:szCs w:val="22"/>
        </w:rPr>
        <w:t xml:space="preserve"> adding an </w:t>
      </w:r>
      <w:r>
        <w:rPr>
          <w:rFonts w:eastAsia="Aptos" w:cs="Aptos"/>
          <w:color w:val="000000" w:themeColor="text1"/>
          <w:szCs w:val="22"/>
        </w:rPr>
        <w:t xml:space="preserve">explicit </w:t>
      </w:r>
      <w:r w:rsidRPr="00B86860">
        <w:rPr>
          <w:rFonts w:eastAsia="Aptos" w:cs="Aptos"/>
          <w:color w:val="000000" w:themeColor="text1"/>
          <w:szCs w:val="22"/>
        </w:rPr>
        <w:t xml:space="preserve">expectation that each department and public body should operate within its budget. </w:t>
      </w:r>
    </w:p>
    <w:p w14:paraId="74F42EE0" w14:textId="122EBC20" w:rsidR="00077A28" w:rsidRPr="00B86860" w:rsidRDefault="00077A28" w:rsidP="00077A28">
      <w:pPr>
        <w:rPr>
          <w:rFonts w:eastAsia="Aptos" w:cs="Aptos"/>
          <w:color w:val="000000" w:themeColor="text1"/>
          <w:szCs w:val="22"/>
        </w:rPr>
      </w:pPr>
      <w:r w:rsidRPr="008C6577">
        <w:rPr>
          <w:rFonts w:eastAsia="Aptos" w:cs="Aptos"/>
          <w:color w:val="000000" w:themeColor="text1"/>
          <w:szCs w:val="22"/>
        </w:rPr>
        <w:t xml:space="preserve">To support the government’s implementation of the </w:t>
      </w:r>
      <w:r w:rsidR="001A64A1">
        <w:rPr>
          <w:rFonts w:eastAsia="Aptos" w:cs="Aptos"/>
          <w:color w:val="000000" w:themeColor="text1"/>
          <w:szCs w:val="22"/>
        </w:rPr>
        <w:t>FMA</w:t>
      </w:r>
      <w:r w:rsidRPr="008C6577">
        <w:rPr>
          <w:rFonts w:eastAsia="Aptos" w:cs="Aptos"/>
          <w:color w:val="000000" w:themeColor="text1"/>
          <w:szCs w:val="22"/>
        </w:rPr>
        <w:t>, the Review believes it will assist all parties in the budget process to make explicit the currently somewhat implicit rules. This is particularly important as the government continues to be strongly focused on operational efficiency and effectiveness.</w:t>
      </w:r>
    </w:p>
    <w:p w14:paraId="56B73A20" w14:textId="7FE2DC41" w:rsidR="00077A28" w:rsidRPr="00B86860" w:rsidRDefault="00077A28" w:rsidP="00077A28">
      <w:pPr>
        <w:rPr>
          <w:rFonts w:eastAsia="Aptos" w:cs="Aptos"/>
          <w:color w:val="000000" w:themeColor="text1"/>
          <w:szCs w:val="22"/>
        </w:rPr>
      </w:pPr>
      <w:r>
        <w:rPr>
          <w:rFonts w:eastAsia="Aptos" w:cs="Aptos"/>
          <w:color w:val="000000" w:themeColor="text1"/>
          <w:szCs w:val="22"/>
        </w:rPr>
        <w:t xml:space="preserve">In this manner, the </w:t>
      </w:r>
      <w:r w:rsidRPr="00B86860">
        <w:rPr>
          <w:rFonts w:eastAsia="Aptos" w:cs="Aptos"/>
          <w:color w:val="000000" w:themeColor="text1"/>
          <w:szCs w:val="22"/>
        </w:rPr>
        <w:t xml:space="preserve">Review </w:t>
      </w:r>
      <w:r w:rsidRPr="002C3DDA">
        <w:rPr>
          <w:rFonts w:eastAsia="Aptos" w:cs="Aptos"/>
          <w:color w:val="000000" w:themeColor="text1"/>
          <w:szCs w:val="22"/>
        </w:rPr>
        <w:t>recommends</w:t>
      </w:r>
      <w:r w:rsidRPr="00B86860">
        <w:rPr>
          <w:rFonts w:eastAsia="Aptos" w:cs="Aptos"/>
          <w:color w:val="000000" w:themeColor="text1"/>
          <w:szCs w:val="22"/>
        </w:rPr>
        <w:t xml:space="preserve"> the government </w:t>
      </w:r>
      <w:r>
        <w:rPr>
          <w:rFonts w:eastAsia="Aptos" w:cs="Aptos"/>
          <w:color w:val="000000" w:themeColor="text1"/>
          <w:szCs w:val="22"/>
        </w:rPr>
        <w:t>highlight and actively</w:t>
      </w:r>
      <w:r w:rsidRPr="00B86860">
        <w:rPr>
          <w:rFonts w:eastAsia="Aptos" w:cs="Aptos"/>
          <w:color w:val="000000" w:themeColor="text1"/>
          <w:szCs w:val="22"/>
        </w:rPr>
        <w:t xml:space="preserve"> apply </w:t>
      </w:r>
      <w:r>
        <w:rPr>
          <w:rFonts w:eastAsia="Aptos" w:cs="Aptos"/>
          <w:color w:val="000000" w:themeColor="text1"/>
          <w:szCs w:val="22"/>
        </w:rPr>
        <w:t>enhanced</w:t>
      </w:r>
      <w:r w:rsidRPr="00B86860">
        <w:rPr>
          <w:rFonts w:eastAsia="Aptos" w:cs="Aptos"/>
          <w:color w:val="000000" w:themeColor="text1"/>
          <w:szCs w:val="22"/>
        </w:rPr>
        <w:t xml:space="preserve"> operating principles in conjunction with the </w:t>
      </w:r>
      <w:r>
        <w:rPr>
          <w:rFonts w:eastAsia="Aptos" w:cs="Aptos"/>
          <w:color w:val="000000" w:themeColor="text1"/>
          <w:szCs w:val="22"/>
        </w:rPr>
        <w:t xml:space="preserve">pending amendments to the </w:t>
      </w:r>
      <w:r w:rsidR="00A52CCA">
        <w:rPr>
          <w:rFonts w:eastAsia="Aptos" w:cs="Aptos"/>
          <w:color w:val="000000" w:themeColor="text1"/>
          <w:szCs w:val="22"/>
        </w:rPr>
        <w:t>FMA</w:t>
      </w:r>
      <w:r w:rsidRPr="00B86860">
        <w:rPr>
          <w:rFonts w:eastAsia="Aptos" w:cs="Aptos"/>
          <w:color w:val="000000" w:themeColor="text1"/>
          <w:szCs w:val="22"/>
        </w:rPr>
        <w:t xml:space="preserve"> to </w:t>
      </w:r>
      <w:r>
        <w:rPr>
          <w:rFonts w:eastAsia="Aptos" w:cs="Aptos"/>
          <w:color w:val="000000" w:themeColor="text1"/>
          <w:szCs w:val="22"/>
        </w:rPr>
        <w:t xml:space="preserve">improve </w:t>
      </w:r>
      <w:r w:rsidRPr="00B86860">
        <w:rPr>
          <w:rFonts w:eastAsia="Aptos" w:cs="Aptos"/>
          <w:color w:val="000000" w:themeColor="text1"/>
          <w:szCs w:val="22"/>
        </w:rPr>
        <w:t>financial management. They are:</w:t>
      </w:r>
    </w:p>
    <w:p w14:paraId="4E3DD1B0" w14:textId="735672F9" w:rsidR="00077A28" w:rsidRPr="00B86860" w:rsidRDefault="00077A28" w:rsidP="00D207B3">
      <w:pPr>
        <w:pStyle w:val="ListParagraph"/>
        <w:numPr>
          <w:ilvl w:val="0"/>
          <w:numId w:val="11"/>
        </w:numPr>
        <w:ind w:left="357" w:hanging="357"/>
        <w:contextualSpacing w:val="0"/>
        <w:rPr>
          <w:rFonts w:eastAsia="Aptos" w:cs="Aptos"/>
          <w:color w:val="000000" w:themeColor="text1"/>
          <w:szCs w:val="22"/>
        </w:rPr>
      </w:pPr>
      <w:r w:rsidRPr="00B86860">
        <w:rPr>
          <w:rFonts w:eastAsia="Aptos" w:cs="Aptos"/>
          <w:b/>
          <w:color w:val="000000" w:themeColor="text1"/>
          <w:szCs w:val="22"/>
        </w:rPr>
        <w:t>Financial sustainability</w:t>
      </w:r>
      <w:r w:rsidRPr="00B86860">
        <w:rPr>
          <w:rFonts w:eastAsia="Aptos" w:cs="Aptos"/>
          <w:color w:val="000000" w:themeColor="text1"/>
          <w:szCs w:val="22"/>
        </w:rPr>
        <w:t xml:space="preserve"> – The budget position and decision</w:t>
      </w:r>
      <w:r w:rsidR="00112378">
        <w:rPr>
          <w:rFonts w:eastAsia="Aptos" w:cs="Aptos"/>
          <w:color w:val="000000" w:themeColor="text1"/>
          <w:szCs w:val="22"/>
        </w:rPr>
        <w:t>-</w:t>
      </w:r>
      <w:r w:rsidRPr="00B86860">
        <w:rPr>
          <w:rFonts w:eastAsia="Aptos" w:cs="Aptos"/>
          <w:color w:val="000000" w:themeColor="text1"/>
          <w:szCs w:val="22"/>
        </w:rPr>
        <w:t>making should be</w:t>
      </w:r>
      <w:r w:rsidR="00E56C00">
        <w:rPr>
          <w:rFonts w:eastAsia="Aptos" w:cs="Aptos"/>
          <w:color w:val="000000" w:themeColor="text1"/>
          <w:szCs w:val="22"/>
        </w:rPr>
        <w:t> </w:t>
      </w:r>
      <w:r w:rsidRPr="00B86860">
        <w:rPr>
          <w:rFonts w:eastAsia="Aptos" w:cs="Aptos"/>
          <w:color w:val="000000" w:themeColor="text1"/>
          <w:szCs w:val="22"/>
        </w:rPr>
        <w:t>aligned with long-term fiscal health and affordability. The budget needs to be managed for immediate and future</w:t>
      </w:r>
      <w:r w:rsidR="00C77B3A">
        <w:rPr>
          <w:rFonts w:eastAsia="Aptos" w:cs="Aptos"/>
          <w:color w:val="000000" w:themeColor="text1"/>
          <w:szCs w:val="22"/>
        </w:rPr>
        <w:t> </w:t>
      </w:r>
      <w:r w:rsidRPr="00B86860">
        <w:rPr>
          <w:rFonts w:eastAsia="Aptos" w:cs="Aptos"/>
          <w:color w:val="000000" w:themeColor="text1"/>
          <w:szCs w:val="22"/>
        </w:rPr>
        <w:t>needs</w:t>
      </w:r>
      <w:r w:rsidR="007535FD">
        <w:rPr>
          <w:rFonts w:eastAsia="Aptos" w:cs="Aptos"/>
          <w:color w:val="000000" w:themeColor="text1"/>
          <w:szCs w:val="22"/>
        </w:rPr>
        <w:t>.</w:t>
      </w:r>
    </w:p>
    <w:p w14:paraId="34A234A4" w14:textId="77777777" w:rsidR="00077A28" w:rsidRPr="00B86860" w:rsidRDefault="00077A28" w:rsidP="00D207B3">
      <w:pPr>
        <w:pStyle w:val="ListParagraph"/>
        <w:numPr>
          <w:ilvl w:val="0"/>
          <w:numId w:val="11"/>
        </w:numPr>
        <w:ind w:left="357" w:hanging="357"/>
        <w:contextualSpacing w:val="0"/>
        <w:rPr>
          <w:rFonts w:eastAsia="Aptos" w:cs="Aptos"/>
          <w:color w:val="000000" w:themeColor="text1"/>
          <w:szCs w:val="22"/>
        </w:rPr>
      </w:pPr>
      <w:r w:rsidRPr="00B86860">
        <w:rPr>
          <w:rFonts w:eastAsia="Aptos" w:cs="Aptos"/>
          <w:b/>
          <w:color w:val="000000" w:themeColor="text1"/>
          <w:szCs w:val="22"/>
        </w:rPr>
        <w:t>Efficiency and effectiveness</w:t>
      </w:r>
      <w:r w:rsidRPr="00B86860">
        <w:rPr>
          <w:rFonts w:eastAsia="Aptos" w:cs="Aptos"/>
          <w:color w:val="000000" w:themeColor="text1"/>
          <w:szCs w:val="22"/>
        </w:rPr>
        <w:t xml:space="preserve"> – Resources should be allocated and utilised to maximise value and benefits.</w:t>
      </w:r>
      <w:r>
        <w:rPr>
          <w:rFonts w:eastAsia="Aptos" w:cs="Aptos"/>
          <w:color w:val="000000" w:themeColor="text1"/>
          <w:szCs w:val="22"/>
        </w:rPr>
        <w:t xml:space="preserve"> </w:t>
      </w:r>
    </w:p>
    <w:p w14:paraId="4DCA3A0A" w14:textId="7F19DEBE" w:rsidR="00077A28" w:rsidRPr="00B86860" w:rsidRDefault="00077A28" w:rsidP="00D207B3">
      <w:pPr>
        <w:pStyle w:val="ListParagraph"/>
        <w:numPr>
          <w:ilvl w:val="0"/>
          <w:numId w:val="11"/>
        </w:numPr>
        <w:ind w:left="357" w:hanging="357"/>
        <w:contextualSpacing w:val="0"/>
        <w:rPr>
          <w:rFonts w:eastAsia="Aptos" w:cs="Aptos"/>
          <w:color w:val="000000" w:themeColor="text1"/>
          <w:szCs w:val="22"/>
        </w:rPr>
      </w:pPr>
      <w:r w:rsidRPr="00B86860">
        <w:rPr>
          <w:rFonts w:eastAsia="Aptos" w:cs="Aptos"/>
          <w:b/>
          <w:color w:val="000000" w:themeColor="text1"/>
          <w:szCs w:val="22"/>
        </w:rPr>
        <w:t>Evidence</w:t>
      </w:r>
      <w:r w:rsidR="007506C0">
        <w:rPr>
          <w:rFonts w:eastAsia="Aptos" w:cs="Aptos"/>
          <w:b/>
          <w:color w:val="000000" w:themeColor="text1"/>
          <w:szCs w:val="22"/>
        </w:rPr>
        <w:t>-</w:t>
      </w:r>
      <w:r w:rsidRPr="00B86860">
        <w:rPr>
          <w:rFonts w:eastAsia="Aptos" w:cs="Aptos"/>
          <w:b/>
          <w:color w:val="000000" w:themeColor="text1"/>
          <w:szCs w:val="22"/>
        </w:rPr>
        <w:t>based decision</w:t>
      </w:r>
      <w:r w:rsidR="00112378">
        <w:rPr>
          <w:rFonts w:eastAsia="Aptos" w:cs="Aptos"/>
          <w:b/>
          <w:color w:val="000000" w:themeColor="text1"/>
          <w:szCs w:val="22"/>
        </w:rPr>
        <w:t>-</w:t>
      </w:r>
      <w:r w:rsidRPr="00B86860">
        <w:rPr>
          <w:rFonts w:eastAsia="Aptos" w:cs="Aptos"/>
          <w:b/>
          <w:color w:val="000000" w:themeColor="text1"/>
          <w:szCs w:val="22"/>
        </w:rPr>
        <w:t>making</w:t>
      </w:r>
      <w:r w:rsidRPr="00B86860">
        <w:rPr>
          <w:rFonts w:eastAsia="Aptos" w:cs="Aptos"/>
          <w:color w:val="000000" w:themeColor="text1"/>
          <w:szCs w:val="22"/>
        </w:rPr>
        <w:t xml:space="preserve"> – Resource allocation decisions should be based on robust information and analysis that details and validates net</w:t>
      </w:r>
      <w:r w:rsidR="007A3329">
        <w:rPr>
          <w:rFonts w:eastAsia="Aptos" w:cs="Aptos"/>
          <w:color w:val="000000" w:themeColor="text1"/>
          <w:szCs w:val="22"/>
        </w:rPr>
        <w:t> </w:t>
      </w:r>
      <w:r w:rsidRPr="00B86860">
        <w:rPr>
          <w:rFonts w:eastAsia="Aptos" w:cs="Aptos"/>
          <w:color w:val="000000" w:themeColor="text1"/>
          <w:szCs w:val="22"/>
        </w:rPr>
        <w:t>benefits.</w:t>
      </w:r>
    </w:p>
    <w:p w14:paraId="62216FE4" w14:textId="010FA6BA" w:rsidR="00077A28" w:rsidRPr="00B86860" w:rsidRDefault="00077A28" w:rsidP="00D207B3">
      <w:pPr>
        <w:pStyle w:val="ListParagraph"/>
        <w:numPr>
          <w:ilvl w:val="0"/>
          <w:numId w:val="11"/>
        </w:numPr>
        <w:ind w:left="357" w:hanging="357"/>
        <w:contextualSpacing w:val="0"/>
        <w:rPr>
          <w:rFonts w:eastAsia="Aptos" w:cs="Aptos"/>
          <w:color w:val="000000" w:themeColor="text1"/>
          <w:szCs w:val="22"/>
        </w:rPr>
      </w:pPr>
      <w:r w:rsidRPr="00B86860">
        <w:rPr>
          <w:rFonts w:eastAsia="Aptos" w:cs="Aptos"/>
          <w:b/>
          <w:color w:val="000000" w:themeColor="text1"/>
          <w:szCs w:val="22"/>
        </w:rPr>
        <w:t xml:space="preserve">Flexibility </w:t>
      </w:r>
      <w:r w:rsidRPr="00B86860">
        <w:rPr>
          <w:rFonts w:eastAsia="Aptos" w:cs="Aptos"/>
          <w:color w:val="000000" w:themeColor="text1"/>
          <w:szCs w:val="22"/>
        </w:rPr>
        <w:t xml:space="preserve">– While fiscal discipline is paramount, there should be a buffer in the state’s finances to allow government to respond to unexpected changes and meet its long-term liabilities.  </w:t>
      </w:r>
    </w:p>
    <w:p w14:paraId="37CE6B00" w14:textId="268004AC" w:rsidR="00077A28" w:rsidRPr="00B86860" w:rsidRDefault="00077A28" w:rsidP="00D207B3">
      <w:pPr>
        <w:pStyle w:val="ListParagraph"/>
        <w:numPr>
          <w:ilvl w:val="0"/>
          <w:numId w:val="11"/>
        </w:numPr>
        <w:ind w:left="357" w:hanging="357"/>
        <w:contextualSpacing w:val="0"/>
        <w:rPr>
          <w:rFonts w:eastAsia="Aptos" w:cs="Aptos"/>
          <w:color w:val="000000" w:themeColor="text1"/>
          <w:szCs w:val="22"/>
        </w:rPr>
      </w:pPr>
      <w:r w:rsidRPr="00B86860">
        <w:rPr>
          <w:rFonts w:eastAsia="Aptos" w:cs="Aptos"/>
          <w:b/>
          <w:color w:val="000000" w:themeColor="text1"/>
          <w:szCs w:val="22"/>
        </w:rPr>
        <w:t>Annu</w:t>
      </w:r>
      <w:r w:rsidR="001751B7">
        <w:rPr>
          <w:rFonts w:eastAsia="Aptos" w:cs="Aptos"/>
          <w:b/>
          <w:color w:val="000000" w:themeColor="text1"/>
          <w:szCs w:val="22"/>
        </w:rPr>
        <w:t>al budgets</w:t>
      </w:r>
      <w:r w:rsidRPr="00B86860">
        <w:rPr>
          <w:rFonts w:eastAsia="Aptos" w:cs="Aptos"/>
          <w:color w:val="000000" w:themeColor="text1"/>
          <w:szCs w:val="22"/>
        </w:rPr>
        <w:t xml:space="preserve"> – Budgets should be prepared on an annual basis with all budget matters included for consideration and decision within a</w:t>
      </w:r>
      <w:r w:rsidR="00667779">
        <w:rPr>
          <w:rFonts w:eastAsia="Aptos" w:cs="Aptos"/>
          <w:color w:val="000000" w:themeColor="text1"/>
          <w:szCs w:val="22"/>
        </w:rPr>
        <w:t> </w:t>
      </w:r>
      <w:r w:rsidRPr="00B86860">
        <w:rPr>
          <w:rFonts w:eastAsia="Aptos" w:cs="Aptos"/>
          <w:color w:val="000000" w:themeColor="text1"/>
          <w:szCs w:val="22"/>
        </w:rPr>
        <w:t>limited timeframe to allow for robust</w:t>
      </w:r>
      <w:r w:rsidR="00667779">
        <w:rPr>
          <w:rFonts w:eastAsia="Aptos" w:cs="Aptos"/>
          <w:color w:val="000000" w:themeColor="text1"/>
          <w:szCs w:val="22"/>
        </w:rPr>
        <w:t> </w:t>
      </w:r>
      <w:r w:rsidRPr="00B86860">
        <w:rPr>
          <w:rFonts w:eastAsia="Aptos" w:cs="Aptos"/>
          <w:color w:val="000000" w:themeColor="text1"/>
          <w:szCs w:val="22"/>
        </w:rPr>
        <w:t>prioritisation and cohesive decision</w:t>
      </w:r>
      <w:r w:rsidR="00667779">
        <w:rPr>
          <w:rFonts w:eastAsia="Aptos" w:cs="Aptos"/>
          <w:color w:val="000000" w:themeColor="text1"/>
          <w:szCs w:val="22"/>
        </w:rPr>
        <w:noBreakHyphen/>
      </w:r>
      <w:r w:rsidRPr="00B86860">
        <w:rPr>
          <w:rFonts w:eastAsia="Aptos" w:cs="Aptos"/>
          <w:color w:val="000000" w:themeColor="text1"/>
          <w:szCs w:val="22"/>
        </w:rPr>
        <w:t>making.</w:t>
      </w:r>
    </w:p>
    <w:p w14:paraId="04EBAB6E" w14:textId="30E3B638" w:rsidR="00077A28" w:rsidRPr="00B86860" w:rsidRDefault="00077A28" w:rsidP="00D207B3">
      <w:pPr>
        <w:pStyle w:val="ListParagraph"/>
        <w:numPr>
          <w:ilvl w:val="0"/>
          <w:numId w:val="11"/>
        </w:numPr>
        <w:ind w:left="357" w:hanging="357"/>
        <w:contextualSpacing w:val="0"/>
        <w:rPr>
          <w:rFonts w:eastAsia="Aptos" w:cs="Aptos"/>
          <w:color w:val="000000" w:themeColor="text1"/>
          <w:szCs w:val="22"/>
        </w:rPr>
      </w:pPr>
      <w:r w:rsidRPr="00B86860">
        <w:rPr>
          <w:rFonts w:eastAsia="Aptos" w:cs="Aptos"/>
          <w:b/>
          <w:color w:val="000000" w:themeColor="text1"/>
          <w:szCs w:val="22"/>
        </w:rPr>
        <w:t>Accountability</w:t>
      </w:r>
      <w:r w:rsidRPr="00B86860">
        <w:rPr>
          <w:rFonts w:eastAsia="Aptos" w:cs="Aptos"/>
          <w:color w:val="000000" w:themeColor="text1"/>
          <w:szCs w:val="22"/>
        </w:rPr>
        <w:t xml:space="preserve"> – Responsible parties must be clarified and held accountable for</w:t>
      </w:r>
      <w:r>
        <w:rPr>
          <w:rFonts w:eastAsia="Aptos" w:cs="Aptos"/>
          <w:color w:val="000000" w:themeColor="text1"/>
          <w:szCs w:val="22"/>
        </w:rPr>
        <w:t xml:space="preserve"> complying with strong public sector governance requirements,</w:t>
      </w:r>
      <w:r w:rsidRPr="00B86860">
        <w:rPr>
          <w:rFonts w:eastAsia="Aptos" w:cs="Aptos"/>
          <w:color w:val="000000" w:themeColor="text1"/>
          <w:szCs w:val="22"/>
        </w:rPr>
        <w:t xml:space="preserve"> budget execution</w:t>
      </w:r>
      <w:r>
        <w:rPr>
          <w:rFonts w:eastAsia="Aptos" w:cs="Aptos"/>
          <w:color w:val="000000" w:themeColor="text1"/>
          <w:szCs w:val="22"/>
        </w:rPr>
        <w:t xml:space="preserve"> and</w:t>
      </w:r>
      <w:r w:rsidRPr="00B86860">
        <w:rPr>
          <w:rFonts w:eastAsia="Aptos" w:cs="Aptos"/>
          <w:color w:val="000000" w:themeColor="text1"/>
          <w:szCs w:val="22"/>
        </w:rPr>
        <w:t xml:space="preserve"> financial performance</w:t>
      </w:r>
      <w:r w:rsidR="00CF1CAD">
        <w:rPr>
          <w:rFonts w:eastAsia="Aptos" w:cs="Aptos"/>
          <w:color w:val="000000" w:themeColor="text1"/>
          <w:szCs w:val="22"/>
        </w:rPr>
        <w:t>.</w:t>
      </w:r>
      <w:r w:rsidRPr="00B86860">
        <w:rPr>
          <w:rFonts w:eastAsia="Aptos" w:cs="Aptos"/>
          <w:color w:val="000000" w:themeColor="text1"/>
          <w:szCs w:val="22"/>
        </w:rPr>
        <w:t xml:space="preserve"> </w:t>
      </w:r>
    </w:p>
    <w:p w14:paraId="601C58ED" w14:textId="6FBBCEA2" w:rsidR="00077A28" w:rsidRPr="00B86860" w:rsidRDefault="00077A28" w:rsidP="00D207B3">
      <w:pPr>
        <w:pStyle w:val="ListParagraph"/>
        <w:numPr>
          <w:ilvl w:val="0"/>
          <w:numId w:val="11"/>
        </w:numPr>
        <w:ind w:left="357" w:hanging="357"/>
        <w:contextualSpacing w:val="0"/>
        <w:rPr>
          <w:rFonts w:eastAsia="Aptos" w:cs="Aptos"/>
          <w:color w:val="000000" w:themeColor="text1"/>
          <w:szCs w:val="22"/>
        </w:rPr>
      </w:pPr>
      <w:r w:rsidRPr="00B86860">
        <w:rPr>
          <w:rFonts w:eastAsia="Aptos" w:cs="Aptos"/>
          <w:b/>
          <w:color w:val="000000" w:themeColor="text1"/>
          <w:szCs w:val="22"/>
        </w:rPr>
        <w:t>Transparency</w:t>
      </w:r>
      <w:r w:rsidRPr="00B86860">
        <w:rPr>
          <w:rFonts w:eastAsia="Aptos" w:cs="Aptos"/>
          <w:color w:val="000000" w:themeColor="text1"/>
          <w:szCs w:val="22"/>
        </w:rPr>
        <w:t xml:space="preserve"> – The state’s fiscal position and budget papers should </w:t>
      </w:r>
      <w:r w:rsidR="009A5DD8">
        <w:rPr>
          <w:rFonts w:eastAsia="Aptos" w:cs="Aptos"/>
          <w:color w:val="000000" w:themeColor="text1"/>
          <w:szCs w:val="22"/>
        </w:rPr>
        <w:lastRenderedPageBreak/>
        <w:t xml:space="preserve">continue to </w:t>
      </w:r>
      <w:r w:rsidRPr="00B86860">
        <w:rPr>
          <w:rFonts w:eastAsia="Aptos" w:cs="Aptos"/>
          <w:color w:val="000000" w:themeColor="text1"/>
          <w:szCs w:val="22"/>
        </w:rPr>
        <w:t xml:space="preserve">be clear, accessible and understandable to all stakeholders. </w:t>
      </w:r>
    </w:p>
    <w:p w14:paraId="3A8C5E41" w14:textId="77777777" w:rsidR="00077A28" w:rsidRPr="00B86860" w:rsidRDefault="00077A28" w:rsidP="00077A28">
      <w:pPr>
        <w:rPr>
          <w:rFonts w:eastAsia="Aptos" w:cs="Aptos"/>
          <w:color w:val="000000" w:themeColor="text1"/>
          <w:szCs w:val="22"/>
        </w:rPr>
      </w:pPr>
      <w:r w:rsidRPr="00B86860">
        <w:rPr>
          <w:rFonts w:eastAsia="Aptos" w:cs="Aptos"/>
          <w:color w:val="000000" w:themeColor="text1"/>
          <w:szCs w:val="22"/>
        </w:rPr>
        <w:t xml:space="preserve">Full </w:t>
      </w:r>
      <w:r>
        <w:rPr>
          <w:rFonts w:eastAsia="Aptos" w:cs="Aptos"/>
          <w:color w:val="000000" w:themeColor="text1"/>
          <w:szCs w:val="22"/>
        </w:rPr>
        <w:t xml:space="preserve">and consistent </w:t>
      </w:r>
      <w:r w:rsidRPr="00B86860">
        <w:rPr>
          <w:rFonts w:eastAsia="Aptos" w:cs="Aptos"/>
          <w:color w:val="000000" w:themeColor="text1"/>
          <w:szCs w:val="22"/>
        </w:rPr>
        <w:t xml:space="preserve">implementation of these operating principles is imperative at </w:t>
      </w:r>
      <w:r w:rsidRPr="00B86860">
        <w:rPr>
          <w:rFonts w:eastAsia="Aptos" w:cs="Aptos"/>
          <w:color w:val="000000" w:themeColor="text1"/>
          <w:szCs w:val="22"/>
        </w:rPr>
        <w:t xml:space="preserve">this time as it will provide the </w:t>
      </w:r>
      <w:r>
        <w:rPr>
          <w:rFonts w:eastAsia="Aptos" w:cs="Aptos"/>
          <w:color w:val="000000" w:themeColor="text1"/>
          <w:szCs w:val="22"/>
        </w:rPr>
        <w:t>g</w:t>
      </w:r>
      <w:r w:rsidRPr="00B86860">
        <w:rPr>
          <w:rFonts w:eastAsia="Aptos" w:cs="Aptos"/>
          <w:color w:val="000000" w:themeColor="text1"/>
          <w:szCs w:val="22"/>
        </w:rPr>
        <w:t>overnment with a stable pathway to manage the current complex budget position over the medium to long term as it deals with its debt servicing requirements.</w:t>
      </w:r>
    </w:p>
    <w:p w14:paraId="772F3D62" w14:textId="77777777" w:rsidR="003D22BD" w:rsidRDefault="003D22BD" w:rsidP="003D22BD">
      <w:pPr>
        <w:pStyle w:val="Heading2"/>
        <w:sectPr w:rsidR="003D22BD" w:rsidSect="003D22BD">
          <w:type w:val="continuous"/>
          <w:pgSz w:w="11906" w:h="16838"/>
          <w:pgMar w:top="1440" w:right="1440" w:bottom="1440" w:left="1440" w:header="708" w:footer="708" w:gutter="0"/>
          <w:cols w:num="2" w:space="708"/>
          <w:docGrid w:linePitch="360"/>
          <w15:footnoteColumns w:val="1"/>
        </w:sectPr>
      </w:pPr>
      <w:bookmarkStart w:id="32" w:name="_Toc202523969"/>
    </w:p>
    <w:p w14:paraId="55F15D6F" w14:textId="77777777" w:rsidR="003D22BD" w:rsidRDefault="00336579" w:rsidP="003D22BD">
      <w:pPr>
        <w:pStyle w:val="Heading2"/>
      </w:pPr>
      <w:bookmarkStart w:id="33" w:name="_Toc214911989"/>
      <w:r>
        <w:t xml:space="preserve">3.3   </w:t>
      </w:r>
      <w:r w:rsidR="00077A28" w:rsidRPr="001778C8">
        <w:t xml:space="preserve">The </w:t>
      </w:r>
      <w:r w:rsidR="00F21130">
        <w:t>government’s</w:t>
      </w:r>
      <w:r w:rsidR="00077A28" w:rsidRPr="001778C8">
        <w:t xml:space="preserve"> fiscal strategy</w:t>
      </w:r>
      <w:bookmarkEnd w:id="32"/>
      <w:bookmarkEnd w:id="33"/>
    </w:p>
    <w:p w14:paraId="62AE2703" w14:textId="77777777" w:rsidR="003857EA" w:rsidRDefault="003857EA" w:rsidP="00077A28">
      <w:pPr>
        <w:rPr>
          <w:rFonts w:eastAsia="Aptos" w:cs="Aptos"/>
          <w:color w:val="000000" w:themeColor="text1"/>
          <w:szCs w:val="22"/>
        </w:rPr>
        <w:sectPr w:rsidR="003857EA" w:rsidSect="00AE6104">
          <w:type w:val="continuous"/>
          <w:pgSz w:w="11906" w:h="16838"/>
          <w:pgMar w:top="1440" w:right="1440" w:bottom="1440" w:left="1440" w:header="708" w:footer="708" w:gutter="0"/>
          <w:cols w:space="708"/>
          <w:docGrid w:linePitch="360"/>
          <w15:footnoteColumns w:val="1"/>
        </w:sectPr>
      </w:pPr>
    </w:p>
    <w:p w14:paraId="080E202E" w14:textId="563BF9F7" w:rsidR="00077A28" w:rsidRPr="00B86860" w:rsidRDefault="00077A28" w:rsidP="00077A28">
      <w:pPr>
        <w:rPr>
          <w:rFonts w:eastAsia="Aptos" w:cs="Aptos"/>
          <w:color w:val="000000" w:themeColor="text1"/>
          <w:szCs w:val="22"/>
        </w:rPr>
      </w:pPr>
      <w:r w:rsidRPr="00B86860">
        <w:rPr>
          <w:rFonts w:eastAsia="Aptos" w:cs="Aptos"/>
          <w:color w:val="000000" w:themeColor="text1"/>
          <w:szCs w:val="22"/>
        </w:rPr>
        <w:t xml:space="preserve">Victoria has a long history of setting fiscal strategies to guide sustainable management of the </w:t>
      </w:r>
      <w:r w:rsidR="0051517D">
        <w:rPr>
          <w:rFonts w:eastAsia="Aptos" w:cs="Aptos"/>
          <w:color w:val="000000" w:themeColor="text1"/>
          <w:szCs w:val="22"/>
        </w:rPr>
        <w:t>s</w:t>
      </w:r>
      <w:r w:rsidRPr="00B86860">
        <w:rPr>
          <w:rFonts w:eastAsia="Aptos" w:cs="Aptos"/>
          <w:color w:val="000000" w:themeColor="text1"/>
          <w:szCs w:val="22"/>
        </w:rPr>
        <w:t>tate’s finances. </w:t>
      </w:r>
    </w:p>
    <w:p w14:paraId="20F52FCC" w14:textId="77777777" w:rsidR="00077A28" w:rsidRPr="00B86860" w:rsidRDefault="00077A28" w:rsidP="00077A28">
      <w:pPr>
        <w:rPr>
          <w:rFonts w:eastAsia="Aptos" w:cs="Aptos"/>
          <w:color w:val="000000" w:themeColor="text1"/>
          <w:szCs w:val="22"/>
        </w:rPr>
      </w:pPr>
      <w:r w:rsidRPr="00B86860">
        <w:rPr>
          <w:rFonts w:eastAsia="Aptos" w:cs="Aptos"/>
          <w:color w:val="000000" w:themeColor="text1"/>
          <w:szCs w:val="22"/>
        </w:rPr>
        <w:t xml:space="preserve">Nearly all Australian </w:t>
      </w:r>
      <w:r>
        <w:rPr>
          <w:rFonts w:eastAsia="Aptos" w:cs="Aptos"/>
          <w:color w:val="000000" w:themeColor="text1"/>
          <w:szCs w:val="22"/>
        </w:rPr>
        <w:t>s</w:t>
      </w:r>
      <w:r w:rsidRPr="00B86860">
        <w:rPr>
          <w:rFonts w:eastAsia="Aptos" w:cs="Aptos"/>
          <w:color w:val="000000" w:themeColor="text1"/>
          <w:szCs w:val="22"/>
        </w:rPr>
        <w:t xml:space="preserve">tates and </w:t>
      </w:r>
      <w:r>
        <w:rPr>
          <w:rFonts w:eastAsia="Aptos" w:cs="Aptos"/>
          <w:color w:val="000000" w:themeColor="text1"/>
          <w:szCs w:val="22"/>
        </w:rPr>
        <w:t>t</w:t>
      </w:r>
      <w:r w:rsidRPr="00B86860">
        <w:rPr>
          <w:rFonts w:eastAsia="Aptos" w:cs="Aptos"/>
          <w:color w:val="000000" w:themeColor="text1"/>
          <w:szCs w:val="22"/>
        </w:rPr>
        <w:t>erritories have developed strategies or have adjusted their fiscal plans and targets following the COVID-19 pandemic. The plans and targets across other jurisdictions include varying combinations of: </w:t>
      </w:r>
    </w:p>
    <w:p w14:paraId="79376997" w14:textId="77777777" w:rsidR="00077A28" w:rsidRPr="00B86860" w:rsidRDefault="00077A28" w:rsidP="00D207B3">
      <w:pPr>
        <w:pStyle w:val="ListParagraph"/>
        <w:numPr>
          <w:ilvl w:val="0"/>
          <w:numId w:val="10"/>
        </w:numPr>
        <w:contextualSpacing w:val="0"/>
        <w:rPr>
          <w:rFonts w:eastAsia="Aptos" w:cs="Aptos"/>
          <w:color w:val="000000" w:themeColor="text1"/>
          <w:szCs w:val="22"/>
        </w:rPr>
      </w:pPr>
      <w:r w:rsidRPr="00B86860">
        <w:rPr>
          <w:rFonts w:eastAsia="Aptos" w:cs="Aptos"/>
          <w:color w:val="000000" w:themeColor="text1"/>
          <w:szCs w:val="22"/>
        </w:rPr>
        <w:t>returning to and/or maintaining cash and operating surpluses </w:t>
      </w:r>
    </w:p>
    <w:p w14:paraId="5DDAC6CE" w14:textId="77777777" w:rsidR="00077A28" w:rsidRPr="00B86860" w:rsidRDefault="00077A28" w:rsidP="00D207B3">
      <w:pPr>
        <w:pStyle w:val="ListParagraph"/>
        <w:numPr>
          <w:ilvl w:val="0"/>
          <w:numId w:val="9"/>
        </w:numPr>
        <w:contextualSpacing w:val="0"/>
        <w:rPr>
          <w:rFonts w:eastAsia="Aptos" w:cs="Aptos"/>
          <w:color w:val="000000" w:themeColor="text1"/>
          <w:szCs w:val="22"/>
        </w:rPr>
      </w:pPr>
      <w:r w:rsidRPr="00B86860">
        <w:rPr>
          <w:rFonts w:eastAsia="Aptos" w:cs="Aptos"/>
          <w:color w:val="000000" w:themeColor="text1"/>
          <w:szCs w:val="22"/>
        </w:rPr>
        <w:t>managing relative revenue and expenditure growth  </w:t>
      </w:r>
    </w:p>
    <w:p w14:paraId="2D09BDE7" w14:textId="34087895" w:rsidR="00077A28" w:rsidRPr="00B86860" w:rsidRDefault="00077A28" w:rsidP="00D207B3">
      <w:pPr>
        <w:pStyle w:val="ListParagraph"/>
        <w:numPr>
          <w:ilvl w:val="0"/>
          <w:numId w:val="8"/>
        </w:numPr>
        <w:contextualSpacing w:val="0"/>
        <w:rPr>
          <w:rFonts w:eastAsia="Aptos" w:cs="Aptos"/>
          <w:color w:val="000000" w:themeColor="text1"/>
          <w:szCs w:val="22"/>
        </w:rPr>
      </w:pPr>
      <w:r w:rsidRPr="00B86860">
        <w:rPr>
          <w:rFonts w:eastAsia="Aptos" w:cs="Aptos"/>
          <w:color w:val="000000" w:themeColor="text1"/>
          <w:szCs w:val="22"/>
        </w:rPr>
        <w:t>managing or stabilising government</w:t>
      </w:r>
      <w:r w:rsidR="0001770C">
        <w:rPr>
          <w:rFonts w:eastAsia="Aptos" w:cs="Aptos"/>
          <w:color w:val="000000" w:themeColor="text1"/>
          <w:szCs w:val="22"/>
        </w:rPr>
        <w:t> </w:t>
      </w:r>
      <w:r w:rsidRPr="00B86860">
        <w:rPr>
          <w:rFonts w:eastAsia="Aptos" w:cs="Aptos"/>
          <w:color w:val="000000" w:themeColor="text1"/>
          <w:szCs w:val="22"/>
        </w:rPr>
        <w:t>debt </w:t>
      </w:r>
    </w:p>
    <w:p w14:paraId="69C7246D" w14:textId="77777777" w:rsidR="00077A28" w:rsidRPr="00B86860" w:rsidRDefault="00077A28" w:rsidP="00D207B3">
      <w:pPr>
        <w:pStyle w:val="ListParagraph"/>
        <w:numPr>
          <w:ilvl w:val="0"/>
          <w:numId w:val="7"/>
        </w:numPr>
        <w:contextualSpacing w:val="0"/>
        <w:rPr>
          <w:rFonts w:eastAsia="Aptos" w:cs="Aptos"/>
          <w:color w:val="000000" w:themeColor="text1"/>
          <w:szCs w:val="22"/>
        </w:rPr>
      </w:pPr>
      <w:r w:rsidRPr="00B86860">
        <w:rPr>
          <w:rFonts w:eastAsia="Aptos" w:cs="Aptos"/>
          <w:color w:val="000000" w:themeColor="text1"/>
          <w:szCs w:val="22"/>
        </w:rPr>
        <w:t>sustainable infrastructure investment.</w:t>
      </w:r>
    </w:p>
    <w:p w14:paraId="17CD5DD0" w14:textId="25A371C2" w:rsidR="00077A28" w:rsidRPr="00B86860" w:rsidRDefault="00077A28" w:rsidP="00077A28">
      <w:pPr>
        <w:rPr>
          <w:rFonts w:eastAsia="Aptos" w:cs="Aptos"/>
          <w:color w:val="000000" w:themeColor="text1"/>
          <w:szCs w:val="22"/>
        </w:rPr>
      </w:pPr>
      <w:r w:rsidRPr="00B86860">
        <w:rPr>
          <w:rFonts w:eastAsia="Aptos" w:cs="Aptos"/>
          <w:color w:val="000000" w:themeColor="text1"/>
          <w:szCs w:val="22"/>
        </w:rPr>
        <w:t>In the 2020</w:t>
      </w:r>
      <w:r w:rsidR="00CB3530">
        <w:rPr>
          <w:rFonts w:eastAsia="Aptos" w:cs="Aptos"/>
          <w:color w:val="000000" w:themeColor="text1"/>
          <w:szCs w:val="22"/>
        </w:rPr>
        <w:t>/</w:t>
      </w:r>
      <w:r w:rsidRPr="00B86860">
        <w:rPr>
          <w:rFonts w:eastAsia="Aptos" w:cs="Aptos"/>
          <w:color w:val="000000" w:themeColor="text1"/>
          <w:szCs w:val="22"/>
        </w:rPr>
        <w:t xml:space="preserve">21 Budget, at the height of the pandemic and its economic implications, the Victorian Government </w:t>
      </w:r>
      <w:r>
        <w:rPr>
          <w:rFonts w:eastAsia="Aptos" w:cs="Aptos"/>
          <w:color w:val="000000" w:themeColor="text1"/>
          <w:szCs w:val="22"/>
        </w:rPr>
        <w:t>appropriately adopted</w:t>
      </w:r>
      <w:r w:rsidRPr="00B86860">
        <w:rPr>
          <w:rFonts w:eastAsia="Aptos" w:cs="Aptos"/>
          <w:color w:val="000000" w:themeColor="text1"/>
          <w:szCs w:val="22"/>
        </w:rPr>
        <w:t xml:space="preserve"> a plan for the medium term to recover and stabilise Victoria’s general government sector fiscal position beyond the pandemic. This plan had four steps:</w:t>
      </w:r>
    </w:p>
    <w:p w14:paraId="3C94C3D6" w14:textId="77777777" w:rsidR="00077A28" w:rsidRPr="00B443EA" w:rsidRDefault="00077A28" w:rsidP="00D207B3">
      <w:pPr>
        <w:pStyle w:val="ListParagraph"/>
        <w:numPr>
          <w:ilvl w:val="0"/>
          <w:numId w:val="14"/>
        </w:numPr>
        <w:ind w:left="714" w:hanging="357"/>
        <w:contextualSpacing w:val="0"/>
        <w:rPr>
          <w:rFonts w:eastAsia="Aptos" w:cs="Aptos"/>
          <w:color w:val="000000" w:themeColor="text1"/>
          <w:szCs w:val="22"/>
        </w:rPr>
      </w:pPr>
      <w:r w:rsidRPr="00B443EA">
        <w:rPr>
          <w:rFonts w:eastAsia="Aptos" w:cs="Aptos"/>
          <w:b/>
          <w:color w:val="000000" w:themeColor="text1"/>
          <w:szCs w:val="22"/>
        </w:rPr>
        <w:t>Step 1</w:t>
      </w:r>
      <w:r w:rsidRPr="00B443EA">
        <w:rPr>
          <w:rFonts w:eastAsia="Aptos" w:cs="Aptos"/>
          <w:color w:val="000000" w:themeColor="text1"/>
          <w:szCs w:val="22"/>
        </w:rPr>
        <w:t>: creating jobs, reducing unemployment and restoring economic growth</w:t>
      </w:r>
    </w:p>
    <w:p w14:paraId="3229C953" w14:textId="77777777" w:rsidR="00077A28" w:rsidRPr="00B443EA" w:rsidRDefault="00077A28" w:rsidP="00D207B3">
      <w:pPr>
        <w:pStyle w:val="ListParagraph"/>
        <w:numPr>
          <w:ilvl w:val="0"/>
          <w:numId w:val="14"/>
        </w:numPr>
        <w:ind w:left="714" w:hanging="357"/>
        <w:contextualSpacing w:val="0"/>
        <w:rPr>
          <w:rFonts w:eastAsia="Aptos" w:cs="Aptos"/>
          <w:color w:val="000000" w:themeColor="text1"/>
          <w:szCs w:val="22"/>
        </w:rPr>
      </w:pPr>
      <w:r w:rsidRPr="00B443EA">
        <w:rPr>
          <w:rFonts w:eastAsia="Aptos" w:cs="Aptos"/>
          <w:b/>
          <w:color w:val="000000" w:themeColor="text1"/>
          <w:szCs w:val="22"/>
        </w:rPr>
        <w:t>Step 2</w:t>
      </w:r>
      <w:r w:rsidRPr="00B443EA">
        <w:rPr>
          <w:rFonts w:eastAsia="Aptos" w:cs="Aptos"/>
          <w:color w:val="000000" w:themeColor="text1"/>
          <w:szCs w:val="22"/>
        </w:rPr>
        <w:t>: returning to an operating cash surplus</w:t>
      </w:r>
    </w:p>
    <w:p w14:paraId="081D542A" w14:textId="7990DF72" w:rsidR="00077A28" w:rsidRPr="00B443EA" w:rsidRDefault="003B46B6" w:rsidP="00D207B3">
      <w:pPr>
        <w:pStyle w:val="ListParagraph"/>
        <w:numPr>
          <w:ilvl w:val="0"/>
          <w:numId w:val="14"/>
        </w:numPr>
        <w:ind w:left="714" w:hanging="357"/>
        <w:contextualSpacing w:val="0"/>
        <w:rPr>
          <w:rFonts w:eastAsia="Aptos" w:cs="Aptos"/>
          <w:color w:val="000000" w:themeColor="text1"/>
          <w:szCs w:val="22"/>
        </w:rPr>
      </w:pPr>
      <w:r>
        <w:rPr>
          <w:rFonts w:eastAsia="Aptos" w:cs="Aptos"/>
          <w:b/>
          <w:color w:val="000000" w:themeColor="text1"/>
          <w:szCs w:val="22"/>
        </w:rPr>
        <w:br w:type="column"/>
      </w:r>
      <w:r w:rsidR="00077A28" w:rsidRPr="00B443EA">
        <w:rPr>
          <w:rFonts w:eastAsia="Aptos" w:cs="Aptos"/>
          <w:b/>
          <w:color w:val="000000" w:themeColor="text1"/>
          <w:szCs w:val="22"/>
        </w:rPr>
        <w:t>Step 3</w:t>
      </w:r>
      <w:r w:rsidR="00077A28" w:rsidRPr="00B443EA">
        <w:rPr>
          <w:rFonts w:eastAsia="Aptos" w:cs="Aptos"/>
          <w:color w:val="000000" w:themeColor="text1"/>
          <w:szCs w:val="22"/>
        </w:rPr>
        <w:t>: returning to operating surpluses</w:t>
      </w:r>
    </w:p>
    <w:p w14:paraId="68328F05" w14:textId="77777777" w:rsidR="00077A28" w:rsidRPr="00B443EA" w:rsidRDefault="00077A28" w:rsidP="00D207B3">
      <w:pPr>
        <w:pStyle w:val="ListParagraph"/>
        <w:numPr>
          <w:ilvl w:val="0"/>
          <w:numId w:val="14"/>
        </w:numPr>
        <w:ind w:left="714" w:hanging="357"/>
        <w:contextualSpacing w:val="0"/>
        <w:rPr>
          <w:rFonts w:eastAsia="Aptos" w:cs="Aptos"/>
          <w:color w:val="000000" w:themeColor="text1"/>
          <w:szCs w:val="22"/>
        </w:rPr>
      </w:pPr>
      <w:r w:rsidRPr="00B443EA">
        <w:rPr>
          <w:rFonts w:eastAsia="Aptos" w:cs="Aptos"/>
          <w:b/>
          <w:color w:val="000000" w:themeColor="text1"/>
          <w:szCs w:val="22"/>
        </w:rPr>
        <w:t>Step 4:</w:t>
      </w:r>
      <w:r w:rsidRPr="00B443EA">
        <w:rPr>
          <w:rFonts w:eastAsia="Aptos" w:cs="Aptos"/>
          <w:color w:val="000000" w:themeColor="text1"/>
          <w:szCs w:val="22"/>
        </w:rPr>
        <w:t xml:space="preserve"> stabilising debt levels.</w:t>
      </w:r>
    </w:p>
    <w:p w14:paraId="76A5A2C2" w14:textId="61457B9C" w:rsidR="00077A28" w:rsidRDefault="00077A28" w:rsidP="00077A28">
      <w:pPr>
        <w:rPr>
          <w:rFonts w:eastAsia="Aptos" w:cs="Aptos"/>
          <w:color w:val="000000" w:themeColor="text1"/>
          <w:szCs w:val="22"/>
        </w:rPr>
      </w:pPr>
      <w:r w:rsidRPr="00B86860">
        <w:rPr>
          <w:rFonts w:eastAsia="Aptos" w:cs="Aptos"/>
          <w:color w:val="000000" w:themeColor="text1"/>
          <w:szCs w:val="22"/>
        </w:rPr>
        <w:t xml:space="preserve">Over the course of the following four years, Victoria’s </w:t>
      </w:r>
      <w:r w:rsidR="00403B9A">
        <w:rPr>
          <w:rFonts w:eastAsia="Aptos" w:cs="Aptos"/>
          <w:color w:val="000000" w:themeColor="text1"/>
          <w:szCs w:val="22"/>
        </w:rPr>
        <w:t>b</w:t>
      </w:r>
      <w:r w:rsidRPr="00B86860">
        <w:rPr>
          <w:rFonts w:eastAsia="Aptos" w:cs="Aptos"/>
          <w:color w:val="000000" w:themeColor="text1"/>
          <w:szCs w:val="22"/>
        </w:rPr>
        <w:t>udget papers have demonstrated progress in delivering against these steps.</w:t>
      </w:r>
      <w:r>
        <w:rPr>
          <w:rFonts w:eastAsia="Aptos" w:cs="Aptos"/>
          <w:color w:val="000000" w:themeColor="text1"/>
          <w:szCs w:val="22"/>
        </w:rPr>
        <w:t xml:space="preserve"> </w:t>
      </w:r>
    </w:p>
    <w:p w14:paraId="4B61D48D" w14:textId="71D7D05C" w:rsidR="00077A28" w:rsidRPr="00B86860" w:rsidRDefault="00077A28" w:rsidP="00077A28">
      <w:pPr>
        <w:rPr>
          <w:rFonts w:eastAsia="Aptos" w:cs="Aptos"/>
          <w:color w:val="000000" w:themeColor="text1"/>
          <w:szCs w:val="22"/>
        </w:rPr>
      </w:pPr>
      <w:r w:rsidRPr="00B86860">
        <w:rPr>
          <w:rFonts w:eastAsia="Aptos" w:cs="Aptos"/>
          <w:color w:val="000000" w:themeColor="text1"/>
          <w:szCs w:val="22"/>
        </w:rPr>
        <w:t>In the 2024</w:t>
      </w:r>
      <w:r>
        <w:rPr>
          <w:rFonts w:eastAsia="Aptos" w:cs="Aptos"/>
          <w:color w:val="000000" w:themeColor="text1"/>
          <w:szCs w:val="22"/>
        </w:rPr>
        <w:t>/</w:t>
      </w:r>
      <w:r w:rsidRPr="00B86860">
        <w:rPr>
          <w:rFonts w:eastAsia="Aptos" w:cs="Aptos"/>
          <w:color w:val="000000" w:themeColor="text1"/>
          <w:szCs w:val="22"/>
        </w:rPr>
        <w:t xml:space="preserve">25 Budget, the government introduced a fifth step to recover and stabilise Victoria’s </w:t>
      </w:r>
      <w:r w:rsidR="006D6DBA">
        <w:rPr>
          <w:rFonts w:eastAsia="Aptos" w:cs="Aptos"/>
          <w:color w:val="000000" w:themeColor="text1"/>
          <w:szCs w:val="22"/>
        </w:rPr>
        <w:t>g</w:t>
      </w:r>
      <w:r w:rsidRPr="00B86860">
        <w:rPr>
          <w:rFonts w:eastAsia="Aptos" w:cs="Aptos"/>
          <w:color w:val="000000" w:themeColor="text1"/>
          <w:szCs w:val="22"/>
        </w:rPr>
        <w:t xml:space="preserve">eneral </w:t>
      </w:r>
      <w:r w:rsidR="006D6DBA">
        <w:rPr>
          <w:rFonts w:eastAsia="Aptos" w:cs="Aptos"/>
          <w:color w:val="000000" w:themeColor="text1"/>
          <w:szCs w:val="22"/>
        </w:rPr>
        <w:t>g</w:t>
      </w:r>
      <w:r w:rsidRPr="00B86860">
        <w:rPr>
          <w:rFonts w:eastAsia="Aptos" w:cs="Aptos"/>
          <w:color w:val="000000" w:themeColor="text1"/>
          <w:szCs w:val="22"/>
        </w:rPr>
        <w:t>overnment sector fiscal position over the medium term following the pandemic:</w:t>
      </w:r>
    </w:p>
    <w:p w14:paraId="03240A9B" w14:textId="77777777" w:rsidR="00077A28" w:rsidRPr="00442929" w:rsidRDefault="00077A28" w:rsidP="00D207B3">
      <w:pPr>
        <w:pStyle w:val="ListParagraph"/>
        <w:numPr>
          <w:ilvl w:val="0"/>
          <w:numId w:val="15"/>
        </w:numPr>
        <w:rPr>
          <w:rFonts w:eastAsia="Aptos" w:cs="Aptos"/>
          <w:color w:val="000000" w:themeColor="text1"/>
          <w:szCs w:val="22"/>
        </w:rPr>
      </w:pPr>
      <w:r w:rsidRPr="00442929">
        <w:rPr>
          <w:rFonts w:eastAsia="Aptos" w:cs="Aptos"/>
          <w:b/>
          <w:color w:val="000000" w:themeColor="text1"/>
          <w:szCs w:val="22"/>
        </w:rPr>
        <w:t>Step 5:</w:t>
      </w:r>
      <w:r w:rsidRPr="00442929">
        <w:rPr>
          <w:rFonts w:eastAsia="Aptos" w:cs="Aptos"/>
          <w:color w:val="000000" w:themeColor="text1"/>
          <w:szCs w:val="22"/>
        </w:rPr>
        <w:t xml:space="preserve"> reducing net debt as a percentage of GSP.</w:t>
      </w:r>
    </w:p>
    <w:p w14:paraId="18B78692" w14:textId="6C6355BB" w:rsidR="00077A28" w:rsidRPr="00B86860" w:rsidRDefault="00077A28" w:rsidP="00077A28">
      <w:pPr>
        <w:rPr>
          <w:rFonts w:eastAsia="Aptos" w:cs="Aptos"/>
          <w:color w:val="000000" w:themeColor="text1"/>
          <w:szCs w:val="22"/>
        </w:rPr>
      </w:pPr>
      <w:r w:rsidRPr="00B86860">
        <w:rPr>
          <w:rFonts w:eastAsia="Aptos" w:cs="Aptos"/>
          <w:color w:val="000000" w:themeColor="text1"/>
          <w:szCs w:val="22"/>
        </w:rPr>
        <w:t>The 2025</w:t>
      </w:r>
      <w:r>
        <w:rPr>
          <w:rFonts w:eastAsia="Aptos" w:cs="Aptos"/>
          <w:color w:val="000000" w:themeColor="text1"/>
          <w:szCs w:val="22"/>
        </w:rPr>
        <w:t>/</w:t>
      </w:r>
      <w:r w:rsidRPr="00B86860">
        <w:rPr>
          <w:rFonts w:eastAsia="Aptos" w:cs="Aptos"/>
          <w:color w:val="000000" w:themeColor="text1"/>
          <w:szCs w:val="22"/>
        </w:rPr>
        <w:t>26 Budget show</w:t>
      </w:r>
      <w:r w:rsidR="00DA011E">
        <w:rPr>
          <w:rFonts w:eastAsia="Aptos" w:cs="Aptos"/>
          <w:color w:val="000000" w:themeColor="text1"/>
          <w:szCs w:val="22"/>
        </w:rPr>
        <w:t>s</w:t>
      </w:r>
      <w:r w:rsidRPr="00B86860">
        <w:rPr>
          <w:rFonts w:eastAsia="Aptos" w:cs="Aptos"/>
          <w:color w:val="000000" w:themeColor="text1"/>
          <w:szCs w:val="22"/>
        </w:rPr>
        <w:t xml:space="preserve"> that the </w:t>
      </w:r>
      <w:r>
        <w:rPr>
          <w:rFonts w:eastAsia="Aptos" w:cs="Aptos"/>
          <w:color w:val="000000" w:themeColor="text1"/>
          <w:szCs w:val="22"/>
        </w:rPr>
        <w:t>g</w:t>
      </w:r>
      <w:r w:rsidRPr="00B86860">
        <w:rPr>
          <w:rFonts w:eastAsia="Aptos" w:cs="Aptos"/>
          <w:color w:val="000000" w:themeColor="text1"/>
          <w:szCs w:val="22"/>
        </w:rPr>
        <w:t>overnment has achieved or is on track to</w:t>
      </w:r>
      <w:r w:rsidR="0064198B">
        <w:rPr>
          <w:rFonts w:eastAsia="Aptos" w:cs="Aptos"/>
          <w:color w:val="000000" w:themeColor="text1"/>
          <w:szCs w:val="22"/>
        </w:rPr>
        <w:t> </w:t>
      </w:r>
      <w:r w:rsidRPr="00B86860">
        <w:rPr>
          <w:rFonts w:eastAsia="Aptos" w:cs="Aptos"/>
          <w:color w:val="000000" w:themeColor="text1"/>
          <w:szCs w:val="22"/>
        </w:rPr>
        <w:t xml:space="preserve">achieve all </w:t>
      </w:r>
      <w:r>
        <w:rPr>
          <w:rFonts w:eastAsia="Aptos" w:cs="Aptos"/>
          <w:color w:val="000000" w:themeColor="text1"/>
          <w:szCs w:val="22"/>
        </w:rPr>
        <w:t>5</w:t>
      </w:r>
      <w:r w:rsidRPr="00B86860">
        <w:rPr>
          <w:rFonts w:eastAsia="Aptos" w:cs="Aptos"/>
          <w:color w:val="000000" w:themeColor="text1"/>
          <w:szCs w:val="22"/>
        </w:rPr>
        <w:t xml:space="preserve"> steps by the end of the forward</w:t>
      </w:r>
      <w:r w:rsidR="0064198B">
        <w:rPr>
          <w:rFonts w:eastAsia="Aptos" w:cs="Aptos"/>
          <w:color w:val="000000" w:themeColor="text1"/>
          <w:szCs w:val="22"/>
        </w:rPr>
        <w:t> </w:t>
      </w:r>
      <w:r w:rsidRPr="00B86860">
        <w:rPr>
          <w:rFonts w:eastAsia="Aptos" w:cs="Aptos"/>
          <w:color w:val="000000" w:themeColor="text1"/>
          <w:szCs w:val="22"/>
        </w:rPr>
        <w:t xml:space="preserve">estimates. </w:t>
      </w:r>
    </w:p>
    <w:p w14:paraId="53B2539A" w14:textId="3512FCD5" w:rsidR="00077A28" w:rsidRPr="00B86860" w:rsidRDefault="00077A28" w:rsidP="00077A28">
      <w:pPr>
        <w:rPr>
          <w:rFonts w:eastAsia="Aptos" w:cs="Aptos"/>
          <w:color w:val="000000" w:themeColor="text1"/>
          <w:szCs w:val="22"/>
        </w:rPr>
      </w:pPr>
      <w:r>
        <w:rPr>
          <w:rFonts w:eastAsia="Aptos" w:cs="Aptos"/>
          <w:color w:val="000000" w:themeColor="text1"/>
          <w:szCs w:val="22"/>
        </w:rPr>
        <w:t>A</w:t>
      </w:r>
      <w:r w:rsidRPr="00B86860">
        <w:rPr>
          <w:rFonts w:eastAsia="Aptos" w:cs="Aptos"/>
          <w:color w:val="000000" w:themeColor="text1"/>
          <w:szCs w:val="22"/>
        </w:rPr>
        <w:t xml:space="preserve">s outlined in Chapter </w:t>
      </w:r>
      <w:r>
        <w:rPr>
          <w:rFonts w:eastAsia="Aptos" w:cs="Aptos"/>
          <w:color w:val="000000" w:themeColor="text1"/>
          <w:szCs w:val="22"/>
        </w:rPr>
        <w:t>2</w:t>
      </w:r>
      <w:r w:rsidRPr="00B86860">
        <w:rPr>
          <w:rFonts w:eastAsia="Aptos" w:cs="Aptos"/>
          <w:color w:val="000000" w:themeColor="text1"/>
          <w:szCs w:val="22"/>
        </w:rPr>
        <w:t>, the</w:t>
      </w:r>
      <w:r>
        <w:rPr>
          <w:rFonts w:eastAsia="Aptos" w:cs="Aptos"/>
          <w:color w:val="000000" w:themeColor="text1"/>
          <w:szCs w:val="22"/>
        </w:rPr>
        <w:t xml:space="preserve"> budget</w:t>
      </w:r>
      <w:r w:rsidRPr="00B86860">
        <w:rPr>
          <w:rFonts w:eastAsia="Aptos" w:cs="Aptos"/>
          <w:color w:val="000000" w:themeColor="text1"/>
          <w:szCs w:val="22"/>
        </w:rPr>
        <w:t xml:space="preserve"> outlook is fragile and there is </w:t>
      </w:r>
      <w:r w:rsidR="00DA011E" w:rsidRPr="00EB096B">
        <w:rPr>
          <w:rFonts w:eastAsia="Aptos" w:cs="Aptos"/>
          <w:color w:val="000000" w:themeColor="text1"/>
          <w:szCs w:val="22"/>
        </w:rPr>
        <w:t>little</w:t>
      </w:r>
      <w:r w:rsidRPr="00B86860">
        <w:rPr>
          <w:rFonts w:eastAsia="Aptos" w:cs="Aptos"/>
          <w:color w:val="000000" w:themeColor="text1"/>
          <w:szCs w:val="22"/>
        </w:rPr>
        <w:t xml:space="preserve"> buffer for extenuating circumstance</w:t>
      </w:r>
      <w:r w:rsidR="00145091">
        <w:rPr>
          <w:rFonts w:eastAsia="Aptos" w:cs="Aptos"/>
          <w:color w:val="000000" w:themeColor="text1"/>
          <w:szCs w:val="22"/>
        </w:rPr>
        <w:t>s</w:t>
      </w:r>
      <w:r w:rsidRPr="00B86860">
        <w:rPr>
          <w:rFonts w:eastAsia="Aptos" w:cs="Aptos"/>
          <w:color w:val="000000" w:themeColor="text1"/>
          <w:szCs w:val="22"/>
        </w:rPr>
        <w:t xml:space="preserve"> or unexpected shocks. Continued vigilance is required to ensure the existing steps are achieved. This will allow for strategic and considered decision-making</w:t>
      </w:r>
      <w:r>
        <w:rPr>
          <w:rFonts w:eastAsia="Aptos" w:cs="Aptos"/>
          <w:color w:val="000000" w:themeColor="text1"/>
          <w:szCs w:val="22"/>
        </w:rPr>
        <w:t>,</w:t>
      </w:r>
      <w:r w:rsidRPr="00B86860">
        <w:rPr>
          <w:rFonts w:eastAsia="Aptos" w:cs="Aptos"/>
          <w:color w:val="000000" w:themeColor="text1"/>
          <w:szCs w:val="22"/>
        </w:rPr>
        <w:t xml:space="preserve"> avoid the sudden need for drastic actions such as unplanned cuts to services</w:t>
      </w:r>
      <w:r>
        <w:rPr>
          <w:rFonts w:eastAsia="Aptos" w:cs="Aptos"/>
          <w:color w:val="000000" w:themeColor="text1"/>
          <w:szCs w:val="22"/>
        </w:rPr>
        <w:t xml:space="preserve"> </w:t>
      </w:r>
      <w:r w:rsidRPr="0062206F">
        <w:rPr>
          <w:rFonts w:eastAsia="Aptos" w:cs="Aptos"/>
          <w:color w:val="000000" w:themeColor="text1"/>
          <w:szCs w:val="22"/>
        </w:rPr>
        <w:t>– which can have broader macro-economic and social impacts –</w:t>
      </w:r>
      <w:r>
        <w:rPr>
          <w:rFonts w:eastAsia="Aptos" w:cs="Aptos"/>
          <w:color w:val="000000" w:themeColor="text1"/>
          <w:szCs w:val="22"/>
        </w:rPr>
        <w:t xml:space="preserve"> a</w:t>
      </w:r>
      <w:r w:rsidRPr="00B86860">
        <w:rPr>
          <w:rFonts w:eastAsia="Aptos" w:cs="Aptos"/>
          <w:color w:val="000000" w:themeColor="text1"/>
          <w:szCs w:val="22"/>
        </w:rPr>
        <w:t>nd provide a measured pathway to ongoing budget sustainability.</w:t>
      </w:r>
      <w:r>
        <w:rPr>
          <w:rFonts w:eastAsia="Aptos" w:cs="Aptos"/>
          <w:color w:val="000000" w:themeColor="text1"/>
          <w:szCs w:val="22"/>
        </w:rPr>
        <w:t xml:space="preserve"> Part of the work of the Review assists in this task.</w:t>
      </w:r>
    </w:p>
    <w:p w14:paraId="7B3E0D23" w14:textId="45D91818" w:rsidR="00077A28" w:rsidRPr="0062206F" w:rsidRDefault="003B46B6" w:rsidP="00077A28">
      <w:pPr>
        <w:rPr>
          <w:rFonts w:eastAsia="Aptos" w:cs="Aptos"/>
          <w:color w:val="000000" w:themeColor="text1"/>
          <w:szCs w:val="22"/>
        </w:rPr>
      </w:pPr>
      <w:r>
        <w:rPr>
          <w:rFonts w:eastAsia="Aptos" w:cs="Aptos"/>
          <w:color w:val="000000" w:themeColor="text1"/>
          <w:szCs w:val="22"/>
        </w:rPr>
        <w:br w:type="column"/>
      </w:r>
      <w:proofErr w:type="gramStart"/>
      <w:r w:rsidR="00077A28" w:rsidRPr="0062206F">
        <w:rPr>
          <w:rFonts w:eastAsia="Aptos" w:cs="Aptos"/>
          <w:color w:val="000000" w:themeColor="text1"/>
          <w:szCs w:val="22"/>
        </w:rPr>
        <w:lastRenderedPageBreak/>
        <w:t>In order to</w:t>
      </w:r>
      <w:proofErr w:type="gramEnd"/>
      <w:r w:rsidR="00077A28" w:rsidRPr="0062206F">
        <w:rPr>
          <w:rFonts w:eastAsia="Aptos" w:cs="Aptos"/>
          <w:color w:val="000000" w:themeColor="text1"/>
          <w:szCs w:val="22"/>
        </w:rPr>
        <w:t xml:space="preserve"> stabilise the future operating environment over time, a higher proportion of net cash flows should support the capital side of the budget.</w:t>
      </w:r>
      <w:r w:rsidR="00077A28" w:rsidRPr="0062206F">
        <w:rPr>
          <w:rStyle w:val="FootnoteReference"/>
          <w:rFonts w:eastAsia="Aptos" w:cs="Aptos"/>
          <w:color w:val="000000" w:themeColor="text1"/>
          <w:szCs w:val="22"/>
        </w:rPr>
        <w:footnoteReference w:id="6"/>
      </w:r>
      <w:r w:rsidR="00077A28" w:rsidRPr="0062206F">
        <w:rPr>
          <w:rFonts w:eastAsia="Aptos" w:cs="Aptos"/>
          <w:color w:val="000000" w:themeColor="text1"/>
          <w:szCs w:val="22"/>
        </w:rPr>
        <w:t xml:space="preserve"> This will further assist the government’s fiscal strategy and provide further budget capacity.</w:t>
      </w:r>
    </w:p>
    <w:p w14:paraId="168B01E3" w14:textId="2160A17C" w:rsidR="00077A28" w:rsidRPr="00386918" w:rsidRDefault="00077A28" w:rsidP="00077A28">
      <w:pPr>
        <w:rPr>
          <w:rFonts w:eastAsia="Aptos" w:cs="Aptos"/>
          <w:iCs/>
          <w:color w:val="000000" w:themeColor="text1"/>
          <w:szCs w:val="22"/>
        </w:rPr>
      </w:pPr>
      <w:r w:rsidRPr="0062206F">
        <w:rPr>
          <w:rFonts w:eastAsia="Aptos" w:cs="Aptos"/>
          <w:color w:val="000000" w:themeColor="text1"/>
          <w:szCs w:val="22"/>
        </w:rPr>
        <w:t xml:space="preserve">In commissioning the Review, the government </w:t>
      </w:r>
      <w:r w:rsidR="006B6870" w:rsidRPr="00B120FE">
        <w:rPr>
          <w:rFonts w:eastAsia="Aptos" w:cs="Aptos"/>
          <w:color w:val="000000" w:themeColor="text1"/>
          <w:szCs w:val="22"/>
        </w:rPr>
        <w:t>further</w:t>
      </w:r>
      <w:r w:rsidRPr="0062206F">
        <w:rPr>
          <w:rFonts w:eastAsia="Aptos" w:cs="Aptos"/>
          <w:color w:val="000000" w:themeColor="text1"/>
          <w:szCs w:val="22"/>
        </w:rPr>
        <w:t xml:space="preserve"> signalled its </w:t>
      </w:r>
      <w:r w:rsidR="001C317F">
        <w:rPr>
          <w:rFonts w:eastAsia="Aptos" w:cs="Aptos"/>
          <w:color w:val="000000" w:themeColor="text1"/>
          <w:szCs w:val="22"/>
        </w:rPr>
        <w:br w:type="column"/>
      </w:r>
      <w:r w:rsidRPr="0062206F">
        <w:rPr>
          <w:rFonts w:eastAsia="Aptos" w:cs="Aptos"/>
          <w:color w:val="000000" w:themeColor="text1"/>
          <w:szCs w:val="22"/>
        </w:rPr>
        <w:t>commitment to and appreciation of the need for fiscal sustainability. Well-crafted savings programs are an important part of good financial management. In this chapter, the Review recommends a process to embed this practice.</w:t>
      </w:r>
      <w:r w:rsidRPr="008C6577">
        <w:rPr>
          <w:rFonts w:eastAsia="Aptos" w:cs="Aptos"/>
          <w:color w:val="000000" w:themeColor="text1"/>
          <w:szCs w:val="22"/>
        </w:rPr>
        <w:t xml:space="preserve"> </w:t>
      </w:r>
    </w:p>
    <w:p w14:paraId="4E1B7648" w14:textId="77777777" w:rsidR="003857EA" w:rsidRDefault="003857EA" w:rsidP="002A37FB">
      <w:pPr>
        <w:pStyle w:val="Heading2"/>
        <w:sectPr w:rsidR="003857EA" w:rsidSect="003857EA">
          <w:type w:val="continuous"/>
          <w:pgSz w:w="11906" w:h="16838"/>
          <w:pgMar w:top="1440" w:right="1440" w:bottom="1440" w:left="1440" w:header="708" w:footer="708" w:gutter="0"/>
          <w:cols w:num="2" w:space="708"/>
          <w:docGrid w:linePitch="360"/>
          <w15:footnoteColumns w:val="1"/>
        </w:sectPr>
      </w:pPr>
      <w:bookmarkStart w:id="34" w:name="_Toc202523970"/>
    </w:p>
    <w:p w14:paraId="33735727" w14:textId="77777777" w:rsidR="002A37FB" w:rsidRDefault="00336579" w:rsidP="002A37FB">
      <w:pPr>
        <w:pStyle w:val="Heading2"/>
      </w:pPr>
      <w:bookmarkStart w:id="35" w:name="_Toc214911990"/>
      <w:r>
        <w:t xml:space="preserve">3.4   </w:t>
      </w:r>
      <w:r w:rsidR="00077A28" w:rsidRPr="001778C8">
        <w:t xml:space="preserve">Enhancing Victoria’s </w:t>
      </w:r>
      <w:r w:rsidR="00077A28" w:rsidRPr="007A283A">
        <w:t>budget</w:t>
      </w:r>
      <w:r w:rsidR="00077A28" w:rsidRPr="001778C8">
        <w:t xml:space="preserve"> management </w:t>
      </w:r>
      <w:r w:rsidR="00E9179F">
        <w:t>processes</w:t>
      </w:r>
      <w:bookmarkEnd w:id="34"/>
      <w:bookmarkEnd w:id="35"/>
    </w:p>
    <w:p w14:paraId="0E9579FB" w14:textId="77777777" w:rsidR="003857EA" w:rsidRDefault="003857EA" w:rsidP="00077A28">
      <w:pPr>
        <w:rPr>
          <w:rFonts w:eastAsia="Aptos" w:cs="Aptos"/>
          <w:iCs/>
          <w:color w:val="000000" w:themeColor="text1"/>
          <w:szCs w:val="22"/>
        </w:rPr>
        <w:sectPr w:rsidR="003857EA" w:rsidSect="00AE6104">
          <w:type w:val="continuous"/>
          <w:pgSz w:w="11906" w:h="16838"/>
          <w:pgMar w:top="1440" w:right="1440" w:bottom="1440" w:left="1440" w:header="708" w:footer="708" w:gutter="0"/>
          <w:cols w:space="708"/>
          <w:docGrid w:linePitch="360"/>
          <w15:footnoteColumns w:val="1"/>
        </w:sectPr>
      </w:pPr>
    </w:p>
    <w:p w14:paraId="7BE3B6D7" w14:textId="6D2EB219" w:rsidR="00077A28" w:rsidRDefault="00077A28" w:rsidP="00077A28">
      <w:pPr>
        <w:rPr>
          <w:rFonts w:eastAsia="Aptos" w:cs="Aptos"/>
          <w:color w:val="000000" w:themeColor="text1"/>
          <w:szCs w:val="22"/>
        </w:rPr>
      </w:pPr>
      <w:r w:rsidRPr="00402D1D">
        <w:rPr>
          <w:rFonts w:eastAsia="Aptos" w:cs="Aptos"/>
          <w:iCs/>
          <w:color w:val="000000" w:themeColor="text1"/>
          <w:szCs w:val="22"/>
        </w:rPr>
        <w:t xml:space="preserve">To make enduring recommendations </w:t>
      </w:r>
      <w:r>
        <w:rPr>
          <w:rFonts w:eastAsia="Aptos" w:cs="Aptos"/>
          <w:iCs/>
          <w:color w:val="000000" w:themeColor="text1"/>
          <w:szCs w:val="22"/>
        </w:rPr>
        <w:t>about</w:t>
      </w:r>
      <w:r w:rsidRPr="00402D1D">
        <w:rPr>
          <w:rFonts w:eastAsia="Aptos" w:cs="Aptos"/>
          <w:iCs/>
          <w:color w:val="000000" w:themeColor="text1"/>
          <w:szCs w:val="22"/>
        </w:rPr>
        <w:t xml:space="preserve"> operational efficiencies and proce</w:t>
      </w:r>
      <w:r>
        <w:rPr>
          <w:rFonts w:eastAsia="Aptos" w:cs="Aptos"/>
          <w:iCs/>
          <w:color w:val="000000" w:themeColor="text1"/>
          <w:szCs w:val="22"/>
        </w:rPr>
        <w:t>s</w:t>
      </w:r>
      <w:r w:rsidRPr="00402D1D">
        <w:rPr>
          <w:rFonts w:eastAsia="Aptos" w:cs="Aptos"/>
          <w:iCs/>
          <w:color w:val="000000" w:themeColor="text1"/>
          <w:szCs w:val="22"/>
        </w:rPr>
        <w:t>s improvements</w:t>
      </w:r>
      <w:r>
        <w:rPr>
          <w:rFonts w:eastAsia="Aptos" w:cs="Aptos"/>
          <w:iCs/>
          <w:color w:val="000000" w:themeColor="text1"/>
          <w:szCs w:val="22"/>
        </w:rPr>
        <w:t>,</w:t>
      </w:r>
      <w:r w:rsidRPr="00402D1D">
        <w:rPr>
          <w:rFonts w:eastAsia="Aptos" w:cs="Aptos"/>
          <w:iCs/>
          <w:color w:val="000000" w:themeColor="text1"/>
          <w:szCs w:val="22"/>
        </w:rPr>
        <w:t xml:space="preserve"> the Review has considered the current </w:t>
      </w:r>
      <w:r>
        <w:rPr>
          <w:rFonts w:eastAsia="Aptos" w:cs="Aptos"/>
          <w:iCs/>
          <w:color w:val="000000" w:themeColor="text1"/>
          <w:szCs w:val="22"/>
        </w:rPr>
        <w:t>budget</w:t>
      </w:r>
      <w:r w:rsidRPr="00402D1D">
        <w:rPr>
          <w:rFonts w:eastAsia="Aptos" w:cs="Aptos"/>
          <w:iCs/>
          <w:color w:val="000000" w:themeColor="text1"/>
          <w:szCs w:val="22"/>
        </w:rPr>
        <w:t xml:space="preserve"> management </w:t>
      </w:r>
      <w:r w:rsidR="00E9179F">
        <w:rPr>
          <w:rFonts w:eastAsia="Aptos" w:cs="Aptos"/>
          <w:iCs/>
          <w:color w:val="000000" w:themeColor="text1"/>
          <w:szCs w:val="22"/>
        </w:rPr>
        <w:t>processes</w:t>
      </w:r>
      <w:r w:rsidRPr="00402D1D">
        <w:rPr>
          <w:rFonts w:eastAsia="Aptos" w:cs="Aptos"/>
          <w:iCs/>
          <w:color w:val="000000" w:themeColor="text1"/>
          <w:szCs w:val="22"/>
        </w:rPr>
        <w:t xml:space="preserve"> and identified ways to strengthen and deepen </w:t>
      </w:r>
      <w:r>
        <w:rPr>
          <w:rFonts w:eastAsia="Aptos" w:cs="Aptos"/>
          <w:iCs/>
          <w:color w:val="000000" w:themeColor="text1"/>
          <w:szCs w:val="22"/>
        </w:rPr>
        <w:t>insights and</w:t>
      </w:r>
      <w:r w:rsidRPr="00402D1D">
        <w:rPr>
          <w:rFonts w:eastAsia="Aptos" w:cs="Aptos"/>
          <w:iCs/>
          <w:color w:val="000000" w:themeColor="text1"/>
          <w:szCs w:val="22"/>
        </w:rPr>
        <w:t xml:space="preserve"> oversight</w:t>
      </w:r>
      <w:r>
        <w:rPr>
          <w:rFonts w:eastAsia="Aptos" w:cs="Aptos"/>
          <w:iCs/>
          <w:color w:val="000000" w:themeColor="text1"/>
          <w:szCs w:val="22"/>
        </w:rPr>
        <w:t>, particularly of departments’ base budgets.</w:t>
      </w:r>
    </w:p>
    <w:p w14:paraId="69EA564E" w14:textId="19AAC48C" w:rsidR="00077A28" w:rsidRDefault="00077A28" w:rsidP="00077A28">
      <w:r w:rsidRPr="008C6577">
        <w:t xml:space="preserve">To put Victoria’s budget into context, it covers $107.7 billion </w:t>
      </w:r>
      <w:r w:rsidR="00803ACA">
        <w:t xml:space="preserve">in </w:t>
      </w:r>
      <w:r w:rsidRPr="008C6577">
        <w:t>operating expenditure in 2025</w:t>
      </w:r>
      <w:r w:rsidR="001751B7">
        <w:t>–</w:t>
      </w:r>
      <w:r w:rsidRPr="008C6577">
        <w:t>26, more than 100</w:t>
      </w:r>
      <w:r w:rsidR="00912F0A">
        <w:t> </w:t>
      </w:r>
      <w:r w:rsidRPr="008C6577">
        <w:t>outputs and 380,000 public sector employees—it is large and complex. One of the major problems for governments is that the annual budget process makes decisions about a small proportion of total expenditure (</w:t>
      </w:r>
      <w:r w:rsidR="007F7F43">
        <w:t xml:space="preserve">around </w:t>
      </w:r>
      <w:r w:rsidRPr="008C6577">
        <w:t>5 per cent in Victoria’s case), leaving a very large part of the base unexamined on a regular basis.</w:t>
      </w:r>
      <w:r w:rsidR="00A45A8A">
        <w:rPr>
          <w:rStyle w:val="FootnoteReference"/>
        </w:rPr>
        <w:footnoteReference w:id="7"/>
      </w:r>
      <w:r w:rsidRPr="008C6577">
        <w:t xml:space="preserve"> </w:t>
      </w:r>
      <w:r>
        <w:t xml:space="preserve">A structured and continuous approach to reviewing base spending will provide opportunities </w:t>
      </w:r>
      <w:r w:rsidRPr="007B538D">
        <w:t xml:space="preserve">to </w:t>
      </w:r>
      <w:r w:rsidR="00A64D7C" w:rsidRPr="007B538D">
        <w:t>identify new, sustainable savings</w:t>
      </w:r>
      <w:r w:rsidR="00A64D7C">
        <w:t>, and to</w:t>
      </w:r>
      <w:r>
        <w:t xml:space="preserve"> improve service delivery effectiveness and efficiency.</w:t>
      </w:r>
    </w:p>
    <w:p w14:paraId="5DFDE672" w14:textId="77777777" w:rsidR="00077A28" w:rsidRPr="000F2569" w:rsidRDefault="00077A28" w:rsidP="00077A28">
      <w:pPr>
        <w:rPr>
          <w:rFonts w:eastAsia="Aptos" w:cs="Aptos"/>
          <w:color w:val="000000" w:themeColor="text1"/>
          <w:szCs w:val="22"/>
        </w:rPr>
      </w:pPr>
      <w:r w:rsidRPr="005B3C53">
        <w:t xml:space="preserve">To enhance the annual budget cycle, the Review recommends the government </w:t>
      </w:r>
      <w:r w:rsidRPr="005B3C53">
        <w:t xml:space="preserve">undertake activities through </w:t>
      </w:r>
      <w:r w:rsidRPr="005B3C53">
        <w:rPr>
          <w:rFonts w:eastAsia="Aptos" w:cs="Aptos"/>
          <w:color w:val="000000" w:themeColor="text1"/>
          <w:szCs w:val="22"/>
        </w:rPr>
        <w:t>4 distinct phases over the year. The phases are:</w:t>
      </w:r>
      <w:r w:rsidRPr="00A21200">
        <w:rPr>
          <w:rFonts w:eastAsia="Aptos" w:cs="Aptos"/>
          <w:color w:val="000000" w:themeColor="text1"/>
          <w:szCs w:val="22"/>
        </w:rPr>
        <w:t xml:space="preserve"> </w:t>
      </w:r>
    </w:p>
    <w:p w14:paraId="707E83C5" w14:textId="5646D2DC" w:rsidR="00077A28" w:rsidRPr="00A21200" w:rsidRDefault="00077A28" w:rsidP="00D207B3">
      <w:pPr>
        <w:pStyle w:val="ListParagraph"/>
        <w:numPr>
          <w:ilvl w:val="0"/>
          <w:numId w:val="20"/>
        </w:numPr>
        <w:spacing w:before="120"/>
        <w:contextualSpacing w:val="0"/>
        <w:rPr>
          <w:rFonts w:eastAsia="Aptos" w:cs="Aptos"/>
          <w:color w:val="000000" w:themeColor="text1"/>
          <w:szCs w:val="22"/>
        </w:rPr>
      </w:pPr>
      <w:r>
        <w:rPr>
          <w:rFonts w:eastAsia="Aptos" w:cs="Aptos"/>
          <w:b/>
          <w:bCs/>
          <w:color w:val="000000" w:themeColor="text1"/>
          <w:szCs w:val="22"/>
        </w:rPr>
        <w:t>E</w:t>
      </w:r>
      <w:r w:rsidRPr="004C5B46">
        <w:rPr>
          <w:rFonts w:eastAsia="Aptos" w:cs="Aptos"/>
          <w:b/>
          <w:bCs/>
          <w:color w:val="000000" w:themeColor="text1"/>
          <w:szCs w:val="22"/>
        </w:rPr>
        <w:t>nhanced</w:t>
      </w:r>
      <w:r w:rsidRPr="004C5B46">
        <w:rPr>
          <w:rFonts w:eastAsia="Aptos" w:cs="Aptos"/>
          <w:b/>
          <w:color w:val="000000" w:themeColor="text1"/>
          <w:szCs w:val="22"/>
        </w:rPr>
        <w:t xml:space="preserve"> upfront annual budget planning </w:t>
      </w:r>
      <w:r w:rsidRPr="004C5B46">
        <w:rPr>
          <w:rFonts w:eastAsia="Aptos" w:cs="Aptos"/>
          <w:b/>
          <w:bCs/>
          <w:color w:val="000000" w:themeColor="text1"/>
          <w:szCs w:val="22"/>
        </w:rPr>
        <w:t>phase</w:t>
      </w:r>
      <w:r w:rsidRPr="00A21200">
        <w:rPr>
          <w:rFonts w:eastAsia="Aptos" w:cs="Aptos"/>
          <w:color w:val="000000" w:themeColor="text1"/>
          <w:szCs w:val="22"/>
        </w:rPr>
        <w:t xml:space="preserve"> – December and January </w:t>
      </w:r>
      <w:r>
        <w:rPr>
          <w:rFonts w:eastAsia="Aptos" w:cs="Aptos"/>
          <w:color w:val="000000" w:themeColor="text1"/>
          <w:szCs w:val="22"/>
        </w:rPr>
        <w:t>–</w:t>
      </w:r>
      <w:r w:rsidRPr="00A21200">
        <w:rPr>
          <w:rFonts w:eastAsia="Aptos" w:cs="Aptos"/>
          <w:color w:val="000000" w:themeColor="text1"/>
          <w:szCs w:val="22"/>
        </w:rPr>
        <w:t xml:space="preserve"> establishes the plan for the forthcoming budget that is aligned with the longer-term fiscal strategy</w:t>
      </w:r>
      <w:r>
        <w:rPr>
          <w:rFonts w:eastAsia="Aptos" w:cs="Aptos"/>
          <w:color w:val="000000" w:themeColor="text1"/>
          <w:szCs w:val="22"/>
        </w:rPr>
        <w:t xml:space="preserve"> and sets</w:t>
      </w:r>
      <w:r w:rsidRPr="00A21200">
        <w:rPr>
          <w:rFonts w:eastAsia="Aptos" w:cs="Aptos"/>
          <w:color w:val="000000" w:themeColor="text1"/>
          <w:szCs w:val="22"/>
        </w:rPr>
        <w:t xml:space="preserve"> </w:t>
      </w:r>
      <w:r w:rsidR="007F6A3A" w:rsidRPr="007B538D">
        <w:rPr>
          <w:rFonts w:eastAsia="Aptos" w:cs="Aptos"/>
          <w:color w:val="000000" w:themeColor="text1"/>
          <w:szCs w:val="22"/>
        </w:rPr>
        <w:t>a</w:t>
      </w:r>
      <w:r w:rsidR="007F6A3A">
        <w:rPr>
          <w:rFonts w:eastAsia="Aptos" w:cs="Aptos"/>
          <w:color w:val="000000" w:themeColor="text1"/>
          <w:szCs w:val="22"/>
        </w:rPr>
        <w:t xml:space="preserve"> </w:t>
      </w:r>
      <w:r w:rsidRPr="00A21200">
        <w:rPr>
          <w:rFonts w:eastAsia="Aptos" w:cs="Aptos"/>
          <w:color w:val="000000" w:themeColor="text1"/>
          <w:szCs w:val="22"/>
        </w:rPr>
        <w:t xml:space="preserve">savings target for </w:t>
      </w:r>
      <w:r>
        <w:rPr>
          <w:rFonts w:eastAsia="Aptos" w:cs="Aptos"/>
          <w:color w:val="000000" w:themeColor="text1"/>
          <w:szCs w:val="22"/>
        </w:rPr>
        <w:t xml:space="preserve">each </w:t>
      </w:r>
      <w:r w:rsidRPr="00A21200">
        <w:rPr>
          <w:rFonts w:eastAsia="Aptos" w:cs="Aptos"/>
          <w:color w:val="000000" w:themeColor="text1"/>
          <w:szCs w:val="22"/>
        </w:rPr>
        <w:t>department</w:t>
      </w:r>
      <w:r>
        <w:rPr>
          <w:rFonts w:eastAsia="Aptos" w:cs="Aptos"/>
          <w:color w:val="000000" w:themeColor="text1"/>
          <w:szCs w:val="22"/>
        </w:rPr>
        <w:t xml:space="preserve"> and non-departmental entit</w:t>
      </w:r>
      <w:r w:rsidR="00372846">
        <w:rPr>
          <w:rFonts w:eastAsia="Aptos" w:cs="Aptos"/>
          <w:color w:val="000000" w:themeColor="text1"/>
          <w:szCs w:val="22"/>
        </w:rPr>
        <w:t>y</w:t>
      </w:r>
      <w:r>
        <w:rPr>
          <w:rFonts w:eastAsia="Aptos" w:cs="Aptos"/>
          <w:color w:val="000000" w:themeColor="text1"/>
          <w:szCs w:val="22"/>
        </w:rPr>
        <w:t>.</w:t>
      </w:r>
    </w:p>
    <w:p w14:paraId="40920D09" w14:textId="39967407" w:rsidR="00077A28" w:rsidRPr="000555CF" w:rsidRDefault="00077A28" w:rsidP="00D207B3">
      <w:pPr>
        <w:pStyle w:val="ListParagraph"/>
        <w:numPr>
          <w:ilvl w:val="0"/>
          <w:numId w:val="20"/>
        </w:numPr>
        <w:spacing w:before="120" w:after="120"/>
        <w:contextualSpacing w:val="0"/>
        <w:rPr>
          <w:rFonts w:eastAsia="Aptos" w:cs="Aptos"/>
          <w:color w:val="000000" w:themeColor="text1"/>
        </w:rPr>
      </w:pPr>
      <w:r w:rsidRPr="75D564D1">
        <w:rPr>
          <w:rFonts w:eastAsia="Aptos" w:cs="Aptos"/>
          <w:b/>
          <w:color w:val="000000" w:themeColor="text1"/>
        </w:rPr>
        <w:t>A budget decision</w:t>
      </w:r>
      <w:r w:rsidR="00112378">
        <w:rPr>
          <w:rFonts w:eastAsia="Aptos" w:cs="Aptos"/>
          <w:b/>
          <w:color w:val="000000" w:themeColor="text1"/>
        </w:rPr>
        <w:t>-</w:t>
      </w:r>
      <w:r w:rsidRPr="75D564D1">
        <w:rPr>
          <w:rFonts w:eastAsia="Aptos" w:cs="Aptos"/>
          <w:b/>
          <w:color w:val="000000" w:themeColor="text1"/>
        </w:rPr>
        <w:t>making phase</w:t>
      </w:r>
      <w:r w:rsidRPr="75D564D1">
        <w:rPr>
          <w:rFonts w:eastAsia="Aptos" w:cs="Aptos"/>
          <w:color w:val="000000" w:themeColor="text1"/>
        </w:rPr>
        <w:t xml:space="preserve"> – February and March – drives stronger prioritisation across competing options and the allocation of public resources.  Decisions would include assessment of departmental savings plans.  Decisions would be consistently</w:t>
      </w:r>
      <w:r w:rsidRPr="75D564D1">
        <w:rPr>
          <w:rFonts w:eastAsia="Aptos" w:cs="Aptos"/>
          <w:b/>
          <w:color w:val="000000" w:themeColor="text1"/>
        </w:rPr>
        <w:t xml:space="preserve"> </w:t>
      </w:r>
      <w:r w:rsidRPr="75D564D1">
        <w:rPr>
          <w:rFonts w:eastAsia="Aptos" w:cs="Aptos"/>
          <w:color w:val="000000" w:themeColor="text1"/>
        </w:rPr>
        <w:t>supported by robust information and business cases that</w:t>
      </w:r>
      <w:r w:rsidR="00256C3A">
        <w:rPr>
          <w:rFonts w:eastAsia="Aptos" w:cs="Aptos"/>
          <w:color w:val="000000" w:themeColor="text1"/>
        </w:rPr>
        <w:t> </w:t>
      </w:r>
      <w:r w:rsidRPr="75D564D1">
        <w:rPr>
          <w:rFonts w:eastAsia="Aptos" w:cs="Aptos"/>
          <w:color w:val="000000" w:themeColor="text1"/>
        </w:rPr>
        <w:t>meet DTF’s Investment Life Cycle guidelines.</w:t>
      </w:r>
    </w:p>
    <w:p w14:paraId="3E0ADE79" w14:textId="38E86571" w:rsidR="00077A28" w:rsidRDefault="00077A28" w:rsidP="00D207B3">
      <w:pPr>
        <w:pStyle w:val="ListParagraph"/>
        <w:numPr>
          <w:ilvl w:val="0"/>
          <w:numId w:val="20"/>
        </w:numPr>
        <w:spacing w:before="120"/>
        <w:contextualSpacing w:val="0"/>
        <w:rPr>
          <w:rFonts w:eastAsia="Aptos" w:cs="Aptos"/>
          <w:color w:val="000000" w:themeColor="text1"/>
          <w:szCs w:val="22"/>
        </w:rPr>
      </w:pPr>
      <w:r>
        <w:rPr>
          <w:rFonts w:eastAsia="Aptos" w:cs="Aptos"/>
          <w:b/>
          <w:color w:val="000000" w:themeColor="text1"/>
          <w:szCs w:val="22"/>
        </w:rPr>
        <w:t>B</w:t>
      </w:r>
      <w:r w:rsidRPr="004C5B46">
        <w:rPr>
          <w:rFonts w:eastAsia="Aptos" w:cs="Aptos"/>
          <w:b/>
          <w:color w:val="000000" w:themeColor="text1"/>
          <w:szCs w:val="22"/>
        </w:rPr>
        <w:t xml:space="preserve">udget production and public accountability </w:t>
      </w:r>
      <w:r w:rsidRPr="004C5B46">
        <w:rPr>
          <w:rFonts w:eastAsia="Aptos" w:cs="Aptos"/>
          <w:b/>
          <w:bCs/>
          <w:color w:val="000000" w:themeColor="text1"/>
          <w:szCs w:val="22"/>
        </w:rPr>
        <w:t>phase</w:t>
      </w:r>
      <w:r>
        <w:rPr>
          <w:rFonts w:eastAsia="Aptos" w:cs="Aptos"/>
          <w:color w:val="000000" w:themeColor="text1"/>
          <w:szCs w:val="22"/>
        </w:rPr>
        <w:t xml:space="preserve"> (existing phase) – April to June – budget paper</w:t>
      </w:r>
      <w:r w:rsidR="00FE31D5">
        <w:rPr>
          <w:rFonts w:eastAsia="Aptos" w:cs="Aptos"/>
          <w:color w:val="000000" w:themeColor="text1"/>
          <w:szCs w:val="22"/>
        </w:rPr>
        <w:t> </w:t>
      </w:r>
      <w:r>
        <w:rPr>
          <w:rFonts w:eastAsia="Aptos" w:cs="Aptos"/>
          <w:color w:val="000000" w:themeColor="text1"/>
          <w:szCs w:val="22"/>
        </w:rPr>
        <w:t xml:space="preserve">production and release, </w:t>
      </w:r>
      <w:r w:rsidR="00154CD5">
        <w:rPr>
          <w:rFonts w:eastAsia="Aptos" w:cs="Aptos"/>
          <w:color w:val="000000" w:themeColor="text1"/>
          <w:szCs w:val="22"/>
        </w:rPr>
        <w:lastRenderedPageBreak/>
        <w:t>Public</w:t>
      </w:r>
      <w:r w:rsidR="00FE31D5">
        <w:rPr>
          <w:rFonts w:eastAsia="Aptos" w:cs="Aptos"/>
          <w:color w:val="000000" w:themeColor="text1"/>
          <w:szCs w:val="22"/>
        </w:rPr>
        <w:t> </w:t>
      </w:r>
      <w:r w:rsidR="00154CD5">
        <w:rPr>
          <w:rFonts w:eastAsia="Aptos" w:cs="Aptos"/>
          <w:color w:val="000000" w:themeColor="text1"/>
          <w:szCs w:val="22"/>
        </w:rPr>
        <w:t>Accounts and Estimates Committee (</w:t>
      </w:r>
      <w:r>
        <w:rPr>
          <w:rFonts w:eastAsia="Aptos" w:cs="Aptos"/>
          <w:color w:val="000000" w:themeColor="text1"/>
          <w:szCs w:val="22"/>
        </w:rPr>
        <w:t>PAEC</w:t>
      </w:r>
      <w:r w:rsidR="00154CD5">
        <w:rPr>
          <w:rFonts w:eastAsia="Aptos" w:cs="Aptos"/>
          <w:color w:val="000000" w:themeColor="text1"/>
          <w:szCs w:val="22"/>
        </w:rPr>
        <w:t>)</w:t>
      </w:r>
      <w:r>
        <w:rPr>
          <w:rFonts w:eastAsia="Aptos" w:cs="Aptos"/>
          <w:color w:val="000000" w:themeColor="text1"/>
          <w:szCs w:val="22"/>
        </w:rPr>
        <w:t xml:space="preserve"> process and passage of the Appropriation Bill.</w:t>
      </w:r>
    </w:p>
    <w:p w14:paraId="42059762" w14:textId="2A51FA3C" w:rsidR="00077A28" w:rsidRPr="00775A25" w:rsidRDefault="00077A28" w:rsidP="00D207B3">
      <w:pPr>
        <w:pStyle w:val="ListParagraph"/>
        <w:numPr>
          <w:ilvl w:val="0"/>
          <w:numId w:val="20"/>
        </w:numPr>
        <w:spacing w:before="120"/>
        <w:contextualSpacing w:val="0"/>
        <w:rPr>
          <w:rFonts w:eastAsia="Aptos" w:cs="Aptos"/>
          <w:color w:val="000000" w:themeColor="text1"/>
          <w:szCs w:val="22"/>
        </w:rPr>
      </w:pPr>
      <w:r>
        <w:rPr>
          <w:rFonts w:eastAsia="Aptos" w:cs="Aptos"/>
          <w:b/>
          <w:bCs/>
          <w:color w:val="000000" w:themeColor="text1"/>
          <w:szCs w:val="22"/>
        </w:rPr>
        <w:t>N</w:t>
      </w:r>
      <w:r w:rsidRPr="004C5B46">
        <w:rPr>
          <w:rFonts w:eastAsia="Aptos" w:cs="Aptos"/>
          <w:b/>
          <w:bCs/>
          <w:color w:val="000000" w:themeColor="text1"/>
          <w:szCs w:val="22"/>
        </w:rPr>
        <w:t>ew planning, review</w:t>
      </w:r>
      <w:r w:rsidRPr="004C5B46">
        <w:rPr>
          <w:rFonts w:eastAsia="Aptos" w:cs="Aptos"/>
          <w:b/>
          <w:color w:val="000000" w:themeColor="text1"/>
          <w:szCs w:val="22"/>
        </w:rPr>
        <w:t xml:space="preserve"> and </w:t>
      </w:r>
      <w:r w:rsidRPr="004C5B46">
        <w:rPr>
          <w:rFonts w:eastAsia="Aptos" w:cs="Aptos"/>
          <w:b/>
          <w:bCs/>
          <w:color w:val="000000" w:themeColor="text1"/>
          <w:szCs w:val="22"/>
        </w:rPr>
        <w:t>evaluation phase</w:t>
      </w:r>
      <w:r>
        <w:rPr>
          <w:rFonts w:eastAsia="Aptos" w:cs="Aptos"/>
          <w:color w:val="000000" w:themeColor="text1"/>
          <w:szCs w:val="22"/>
        </w:rPr>
        <w:t xml:space="preserve"> – July to November – focuses the second half of the </w:t>
      </w:r>
      <w:r w:rsidR="00100060">
        <w:rPr>
          <w:rFonts w:eastAsia="Aptos" w:cs="Aptos"/>
          <w:color w:val="000000" w:themeColor="text1"/>
          <w:szCs w:val="22"/>
        </w:rPr>
        <w:t>calendar</w:t>
      </w:r>
      <w:r>
        <w:rPr>
          <w:rFonts w:eastAsia="Aptos" w:cs="Aptos"/>
          <w:color w:val="000000" w:themeColor="text1"/>
          <w:szCs w:val="22"/>
        </w:rPr>
        <w:t xml:space="preserve"> year to learn more about departments, their costs and demand drivers</w:t>
      </w:r>
      <w:r w:rsidR="00900C71">
        <w:rPr>
          <w:rFonts w:eastAsia="Aptos" w:cs="Aptos"/>
          <w:color w:val="000000" w:themeColor="text1"/>
          <w:szCs w:val="22"/>
        </w:rPr>
        <w:t>,</w:t>
      </w:r>
      <w:r>
        <w:rPr>
          <w:rFonts w:eastAsia="Aptos" w:cs="Aptos"/>
          <w:color w:val="000000" w:themeColor="text1"/>
          <w:szCs w:val="22"/>
        </w:rPr>
        <w:t xml:space="preserve"> to evaluate </w:t>
      </w:r>
      <w:r w:rsidR="00683742">
        <w:rPr>
          <w:rFonts w:eastAsia="Aptos" w:cs="Aptos"/>
          <w:color w:val="000000" w:themeColor="text1"/>
          <w:szCs w:val="22"/>
        </w:rPr>
        <w:t xml:space="preserve">deeply </w:t>
      </w:r>
      <w:r>
        <w:rPr>
          <w:rFonts w:eastAsia="Aptos" w:cs="Aptos"/>
          <w:color w:val="000000" w:themeColor="text1"/>
          <w:szCs w:val="22"/>
        </w:rPr>
        <w:t>key programs and projects</w:t>
      </w:r>
      <w:r w:rsidR="00900C71">
        <w:rPr>
          <w:rFonts w:eastAsia="Aptos" w:cs="Aptos"/>
          <w:color w:val="000000" w:themeColor="text1"/>
          <w:szCs w:val="22"/>
        </w:rPr>
        <w:t>,</w:t>
      </w:r>
      <w:r>
        <w:rPr>
          <w:rFonts w:eastAsia="Aptos" w:cs="Aptos"/>
          <w:color w:val="000000" w:themeColor="text1"/>
          <w:szCs w:val="22"/>
        </w:rPr>
        <w:t xml:space="preserve"> and to hold departments and entities to account for their performance.</w:t>
      </w:r>
    </w:p>
    <w:p w14:paraId="6B8D52C1" w14:textId="004D351A" w:rsidR="00077A28" w:rsidRDefault="00077A28" w:rsidP="00077A28">
      <w:pPr>
        <w:rPr>
          <w:rFonts w:eastAsia="Aptos" w:cs="Aptos"/>
          <w:color w:val="000000" w:themeColor="text1"/>
          <w:szCs w:val="22"/>
        </w:rPr>
      </w:pPr>
      <w:r w:rsidRPr="00151757">
        <w:rPr>
          <w:rFonts w:eastAsia="Aptos" w:cs="Aptos"/>
          <w:color w:val="000000" w:themeColor="text1"/>
          <w:szCs w:val="22"/>
        </w:rPr>
        <w:t xml:space="preserve">The Review further </w:t>
      </w:r>
      <w:r w:rsidRPr="00151757">
        <w:t>recommends explicit implementation and reinforcement of 10</w:t>
      </w:r>
      <w:r w:rsidR="00F46E93">
        <w:t> </w:t>
      </w:r>
      <w:r w:rsidRPr="00151757">
        <w:t xml:space="preserve">financial management rules across the phases (noting that some of these are already in place). </w:t>
      </w:r>
      <w:r w:rsidRPr="00151757">
        <w:rPr>
          <w:rFonts w:eastAsia="Aptos" w:cs="Aptos"/>
          <w:color w:val="000000" w:themeColor="text1"/>
          <w:szCs w:val="22"/>
        </w:rPr>
        <w:t>The 10</w:t>
      </w:r>
      <w:r w:rsidR="00E9179F" w:rsidRPr="00151757">
        <w:rPr>
          <w:rFonts w:eastAsia="Aptos" w:cs="Aptos"/>
          <w:color w:val="000000" w:themeColor="text1"/>
          <w:szCs w:val="22"/>
        </w:rPr>
        <w:t> </w:t>
      </w:r>
      <w:r w:rsidRPr="00151757">
        <w:rPr>
          <w:rFonts w:eastAsia="Aptos" w:cs="Aptos"/>
          <w:color w:val="000000" w:themeColor="text1"/>
          <w:szCs w:val="22"/>
        </w:rPr>
        <w:t xml:space="preserve">rules are described in the remainder of this chapter and include limiting new resource allocation decisions </w:t>
      </w:r>
      <w:r w:rsidRPr="00151757">
        <w:rPr>
          <w:rFonts w:eastAsia="Aptos" w:cs="Aptos"/>
          <w:color w:val="000000" w:themeColor="text1"/>
          <w:szCs w:val="22"/>
        </w:rPr>
        <w:t>to an annual window, embedding new planning and review processes, expanding</w:t>
      </w:r>
      <w:r w:rsidR="00EB7326">
        <w:rPr>
          <w:rFonts w:eastAsia="Aptos" w:cs="Aptos"/>
          <w:color w:val="000000" w:themeColor="text1"/>
          <w:szCs w:val="22"/>
        </w:rPr>
        <w:t> </w:t>
      </w:r>
      <w:r w:rsidRPr="00151757">
        <w:rPr>
          <w:rFonts w:eastAsia="Aptos" w:cs="Aptos"/>
          <w:color w:val="000000" w:themeColor="text1"/>
          <w:szCs w:val="22"/>
        </w:rPr>
        <w:t>systematic evaluations, and retiring the GED.</w:t>
      </w:r>
      <w:r>
        <w:rPr>
          <w:rFonts w:eastAsia="Aptos" w:cs="Aptos"/>
          <w:color w:val="000000" w:themeColor="text1"/>
          <w:szCs w:val="22"/>
        </w:rPr>
        <w:t xml:space="preserve"> </w:t>
      </w:r>
    </w:p>
    <w:p w14:paraId="27ACB33F" w14:textId="77777777" w:rsidR="00077A28" w:rsidRDefault="00077A28" w:rsidP="00077A28">
      <w:pPr>
        <w:rPr>
          <w:rFonts w:eastAsia="Aptos" w:cs="Aptos"/>
          <w:color w:val="000000" w:themeColor="text1"/>
          <w:szCs w:val="22"/>
        </w:rPr>
      </w:pPr>
      <w:r w:rsidRPr="00151757">
        <w:t>Figure 3.1 depicts how the 10 rules apply at different times of the year or underpin the overall process.</w:t>
      </w:r>
      <w:r w:rsidRPr="00D47E6A">
        <w:t xml:space="preserve"> </w:t>
      </w:r>
    </w:p>
    <w:p w14:paraId="2765388D" w14:textId="77777777" w:rsidR="00077A28" w:rsidRPr="00D47E6A" w:rsidRDefault="00077A28" w:rsidP="00077A28">
      <w:pPr>
        <w:rPr>
          <w:rFonts w:eastAsia="Aptos" w:cs="Aptos"/>
          <w:color w:val="000000" w:themeColor="text1"/>
          <w:szCs w:val="22"/>
        </w:rPr>
      </w:pPr>
      <w:r w:rsidRPr="00151757">
        <w:rPr>
          <w:rFonts w:eastAsia="Aptos" w:cs="Aptos"/>
          <w:color w:val="000000" w:themeColor="text1"/>
          <w:szCs w:val="22"/>
        </w:rPr>
        <w:t xml:space="preserve">The enhanced annual budget cycle will support government to more closely interrogate base spending, identify regular opportunities for savings and reform, and constructively assess the effectiveness of expenditure in advance of considering new resource allocation. The enhanced cycle will bring greater discipline and certainty around decision-making. It is also consistent with the enhanced operating principles discussed earlier in the chapter. </w:t>
      </w:r>
    </w:p>
    <w:p w14:paraId="17755326" w14:textId="77777777" w:rsidR="003857EA" w:rsidRDefault="003857EA" w:rsidP="00A91091">
      <w:pPr>
        <w:pStyle w:val="Figureheading"/>
        <w:sectPr w:rsidR="003857EA" w:rsidSect="003857EA">
          <w:type w:val="continuous"/>
          <w:pgSz w:w="11906" w:h="16838"/>
          <w:pgMar w:top="1440" w:right="1440" w:bottom="1440" w:left="1440" w:header="708" w:footer="708" w:gutter="0"/>
          <w:cols w:num="2" w:space="708"/>
          <w:docGrid w:linePitch="360"/>
          <w15:footnoteColumns w:val="1"/>
        </w:sectPr>
      </w:pPr>
      <w:bookmarkStart w:id="36" w:name="_Ref201925219"/>
    </w:p>
    <w:p w14:paraId="11D70467" w14:textId="77777777" w:rsidR="003857EA" w:rsidRDefault="003857EA" w:rsidP="00A91091">
      <w:pPr>
        <w:pStyle w:val="Figureheading"/>
      </w:pPr>
      <w:r>
        <w:br w:type="page"/>
      </w:r>
    </w:p>
    <w:p w14:paraId="558704ED" w14:textId="24EF77E3" w:rsidR="00A91091" w:rsidRDefault="00077A28" w:rsidP="00A91091">
      <w:pPr>
        <w:pStyle w:val="Figureheading"/>
      </w:pPr>
      <w:r w:rsidRPr="003A05A2">
        <w:lastRenderedPageBreak/>
        <w:t xml:space="preserve">Figure </w:t>
      </w:r>
      <w:r w:rsidR="003C5A94">
        <w:t>3.</w:t>
      </w:r>
      <w:r w:rsidRPr="003A05A2">
        <w:fldChar w:fldCharType="begin"/>
      </w:r>
      <w:r>
        <w:rPr>
          <w:color w:val="000000" w:themeColor="text1"/>
        </w:rPr>
        <w:instrText xml:space="preserve"> SEQ Figure \* ARABIC \s 1 </w:instrText>
      </w:r>
      <w:r w:rsidRPr="003A05A2">
        <w:fldChar w:fldCharType="separate"/>
      </w:r>
      <w:r w:rsidR="009D1283">
        <w:rPr>
          <w:noProof/>
          <w:color w:val="000000" w:themeColor="text1"/>
        </w:rPr>
        <w:t>1</w:t>
      </w:r>
      <w:r w:rsidRPr="003A05A2">
        <w:fldChar w:fldCharType="end"/>
      </w:r>
      <w:bookmarkEnd w:id="36"/>
      <w:r w:rsidR="00BE0BCE">
        <w:t>:</w:t>
      </w:r>
      <w:r w:rsidRPr="003A05A2">
        <w:t xml:space="preserve"> Enhanced annual budget </w:t>
      </w:r>
      <w:r>
        <w:t>cycle</w:t>
      </w:r>
    </w:p>
    <w:p w14:paraId="71130EA6" w14:textId="7A957F45" w:rsidR="00077A28" w:rsidRDefault="005B2B3B" w:rsidP="00077A28">
      <w:r>
        <w:rPr>
          <w:noProof/>
        </w:rPr>
        <w:drawing>
          <wp:inline distT="0" distB="0" distL="0" distR="0" wp14:anchorId="0E6A0453" wp14:editId="251C58CC">
            <wp:extent cx="7930780" cy="4260275"/>
            <wp:effectExtent l="6350" t="0" r="635" b="635"/>
            <wp:docPr id="1012072706" name="Picture 2" descr="A figure displaying a circular representation of the enhanced annual budget cycle, that includes four phases: Upfront Budget Planning, Annual Budget Decision Making, Budget Production and Accountability, and Planning, Review and Evaluation. The diagram shows how these phases are spread across the 12 months of the year, and how the ten proposed financial management rules sit within these four ph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72706" name="Picture 2" descr="A figure displaying a circular representation of the enhanced annual budget cycle, that includes four phases: Upfront Budget Planning, Annual Budget Decision Making, Budget Production and Accountability, and Planning, Review and Evaluation. The diagram shows how these phases are spread across the 12 months of the year, and how the ten proposed financial management rules sit within these four phases."/>
                    <pic:cNvPicPr/>
                  </pic:nvPicPr>
                  <pic:blipFill rotWithShape="1">
                    <a:blip r:embed="rId28" cstate="print">
                      <a:extLst>
                        <a:ext uri="{28A0092B-C50C-407E-A947-70E740481C1C}">
                          <a14:useLocalDpi xmlns:a14="http://schemas.microsoft.com/office/drawing/2010/main" val="0"/>
                        </a:ext>
                      </a:extLst>
                    </a:blip>
                    <a:srcRect/>
                    <a:stretch>
                      <a:fillRect/>
                    </a:stretch>
                  </pic:blipFill>
                  <pic:spPr bwMode="auto">
                    <a:xfrm rot="16200000">
                      <a:off x="0" y="0"/>
                      <a:ext cx="7942249" cy="4266436"/>
                    </a:xfrm>
                    <a:prstGeom prst="rect">
                      <a:avLst/>
                    </a:prstGeom>
                    <a:ln>
                      <a:noFill/>
                    </a:ln>
                    <a:extLst>
                      <a:ext uri="{53640926-AAD7-44D8-BBD7-CCE9431645EC}">
                        <a14:shadowObscured xmlns:a14="http://schemas.microsoft.com/office/drawing/2010/main"/>
                      </a:ext>
                    </a:extLst>
                  </pic:spPr>
                </pic:pic>
              </a:graphicData>
            </a:graphic>
          </wp:inline>
        </w:drawing>
      </w:r>
    </w:p>
    <w:p w14:paraId="47376126" w14:textId="77777777" w:rsidR="00920F3B" w:rsidRPr="00920F3B" w:rsidRDefault="00911CDD" w:rsidP="00920F3B">
      <w:pPr>
        <w:pStyle w:val="Caption"/>
        <w:rPr>
          <w:rFonts w:eastAsia="Aptos" w:cs="Aptos"/>
          <w:b/>
          <w:color w:val="000000" w:themeColor="text1"/>
          <w:szCs w:val="22"/>
        </w:rPr>
      </w:pPr>
      <w:r w:rsidRPr="0023488E">
        <w:t>Source: Independent Review of the VPS, 2025</w:t>
      </w:r>
    </w:p>
    <w:p w14:paraId="6BF2F1E9" w14:textId="77777777" w:rsidR="00DC3249" w:rsidRDefault="00DC3249" w:rsidP="00A1764F">
      <w:pPr>
        <w:pStyle w:val="ListParagraph"/>
        <w:numPr>
          <w:ilvl w:val="0"/>
          <w:numId w:val="6"/>
        </w:numPr>
        <w:rPr>
          <w:rFonts w:eastAsia="Aptos" w:cs="Aptos"/>
          <w:b/>
          <w:color w:val="000000" w:themeColor="text1"/>
          <w:szCs w:val="22"/>
        </w:rPr>
        <w:sectPr w:rsidR="00DC3249" w:rsidSect="00AE6104">
          <w:type w:val="continuous"/>
          <w:pgSz w:w="11906" w:h="16838"/>
          <w:pgMar w:top="1440" w:right="1440" w:bottom="1440" w:left="1440" w:header="708" w:footer="708" w:gutter="0"/>
          <w:cols w:space="708"/>
          <w:docGrid w:linePitch="360"/>
          <w15:footnoteColumns w:val="1"/>
        </w:sectPr>
      </w:pPr>
    </w:p>
    <w:p w14:paraId="0325E02F" w14:textId="6F825B80" w:rsidR="00077A28" w:rsidRPr="00B978C7" w:rsidRDefault="00077A28" w:rsidP="00A1764F">
      <w:pPr>
        <w:pStyle w:val="ListParagraph"/>
        <w:numPr>
          <w:ilvl w:val="0"/>
          <w:numId w:val="6"/>
        </w:numPr>
        <w:rPr>
          <w:rFonts w:eastAsia="Aptos" w:cs="Aptos"/>
          <w:b/>
          <w:color w:val="000000" w:themeColor="text1"/>
          <w:szCs w:val="22"/>
        </w:rPr>
      </w:pPr>
      <w:r w:rsidRPr="00B978C7">
        <w:rPr>
          <w:rFonts w:eastAsia="Aptos" w:cs="Aptos"/>
          <w:b/>
          <w:color w:val="000000" w:themeColor="text1"/>
          <w:szCs w:val="22"/>
        </w:rPr>
        <w:lastRenderedPageBreak/>
        <w:t>Strengthen and embed annual budget planning that aligns with longer-term planning at the start of the annual budget cycle (December to January)</w:t>
      </w:r>
    </w:p>
    <w:p w14:paraId="5F161183" w14:textId="57D4866C" w:rsidR="00077A28" w:rsidRPr="00555B44" w:rsidRDefault="00077A28" w:rsidP="00077A28">
      <w:pPr>
        <w:ind w:left="357"/>
        <w:rPr>
          <w:rFonts w:eastAsia="Aptos" w:cs="Aptos"/>
          <w:color w:val="000000" w:themeColor="text1"/>
          <w:szCs w:val="22"/>
        </w:rPr>
      </w:pPr>
      <w:r w:rsidRPr="00555B44">
        <w:rPr>
          <w:rFonts w:eastAsia="Aptos" w:cs="Aptos"/>
          <w:color w:val="000000" w:themeColor="text1"/>
          <w:szCs w:val="22"/>
        </w:rPr>
        <w:t xml:space="preserve">Developing an annual budget plan at the start of the cycle helps to set strong parameters and discipline for allocating resources. It should also support the </w:t>
      </w:r>
      <w:r>
        <w:rPr>
          <w:rFonts w:eastAsia="Aptos" w:cs="Aptos"/>
          <w:color w:val="000000" w:themeColor="text1"/>
          <w:szCs w:val="22"/>
        </w:rPr>
        <w:t>g</w:t>
      </w:r>
      <w:r w:rsidRPr="00555B44">
        <w:rPr>
          <w:rFonts w:eastAsia="Aptos" w:cs="Aptos"/>
          <w:color w:val="000000" w:themeColor="text1"/>
          <w:szCs w:val="22"/>
        </w:rPr>
        <w:t xml:space="preserve">overnment </w:t>
      </w:r>
      <w:r w:rsidR="004D1C22">
        <w:rPr>
          <w:rFonts w:eastAsia="Aptos" w:cs="Aptos"/>
          <w:color w:val="000000" w:themeColor="text1"/>
          <w:szCs w:val="22"/>
        </w:rPr>
        <w:t xml:space="preserve">to </w:t>
      </w:r>
      <w:r w:rsidRPr="00555B44">
        <w:rPr>
          <w:rFonts w:eastAsia="Aptos" w:cs="Aptos"/>
          <w:color w:val="000000" w:themeColor="text1"/>
          <w:szCs w:val="22"/>
        </w:rPr>
        <w:t xml:space="preserve">achieve the steps in its overarching fiscal </w:t>
      </w:r>
      <w:r w:rsidR="00F02C55">
        <w:rPr>
          <w:rFonts w:eastAsia="Aptos" w:cs="Aptos"/>
          <w:color w:val="000000" w:themeColor="text1"/>
          <w:szCs w:val="22"/>
        </w:rPr>
        <w:t>strategy</w:t>
      </w:r>
      <w:r w:rsidRPr="00555B44">
        <w:rPr>
          <w:rFonts w:eastAsia="Aptos" w:cs="Aptos"/>
          <w:color w:val="000000" w:themeColor="text1"/>
          <w:szCs w:val="22"/>
        </w:rPr>
        <w:t>.</w:t>
      </w:r>
    </w:p>
    <w:p w14:paraId="6CAAAF66" w14:textId="6AF9D738" w:rsidR="00077A28" w:rsidRDefault="00077A28" w:rsidP="00077A28">
      <w:pPr>
        <w:ind w:left="357"/>
        <w:rPr>
          <w:rFonts w:eastAsia="Aptos" w:cs="Aptos"/>
          <w:color w:val="000000" w:themeColor="text1"/>
          <w:szCs w:val="22"/>
        </w:rPr>
      </w:pPr>
      <w:r w:rsidRPr="00555B44">
        <w:rPr>
          <w:rFonts w:eastAsia="Aptos" w:cs="Aptos"/>
          <w:color w:val="000000" w:themeColor="text1"/>
          <w:szCs w:val="22"/>
        </w:rPr>
        <w:t xml:space="preserve">As part of </w:t>
      </w:r>
      <w:r>
        <w:rPr>
          <w:rFonts w:eastAsia="Aptos" w:cs="Aptos"/>
          <w:color w:val="000000" w:themeColor="text1"/>
          <w:szCs w:val="22"/>
        </w:rPr>
        <w:t>th</w:t>
      </w:r>
      <w:r w:rsidR="0086325F">
        <w:rPr>
          <w:rFonts w:eastAsia="Aptos" w:cs="Aptos"/>
          <w:color w:val="000000" w:themeColor="text1"/>
          <w:szCs w:val="22"/>
        </w:rPr>
        <w:t>e</w:t>
      </w:r>
      <w:r>
        <w:rPr>
          <w:rFonts w:eastAsia="Aptos" w:cs="Aptos"/>
          <w:color w:val="000000" w:themeColor="text1"/>
          <w:szCs w:val="22"/>
        </w:rPr>
        <w:t xml:space="preserve"> </w:t>
      </w:r>
      <w:r w:rsidR="00E0127C">
        <w:rPr>
          <w:rFonts w:eastAsia="Aptos" w:cs="Aptos"/>
          <w:color w:val="000000" w:themeColor="text1"/>
          <w:szCs w:val="22"/>
        </w:rPr>
        <w:t>annual budget</w:t>
      </w:r>
      <w:r>
        <w:rPr>
          <w:rFonts w:eastAsia="Aptos" w:cs="Aptos"/>
          <w:color w:val="000000" w:themeColor="text1"/>
          <w:szCs w:val="22"/>
        </w:rPr>
        <w:t xml:space="preserve"> plan</w:t>
      </w:r>
      <w:r w:rsidRPr="00555B44">
        <w:rPr>
          <w:rFonts w:eastAsia="Aptos" w:cs="Aptos"/>
          <w:color w:val="000000" w:themeColor="text1"/>
          <w:szCs w:val="22"/>
        </w:rPr>
        <w:t xml:space="preserve">, </w:t>
      </w:r>
      <w:r w:rsidR="0086325F">
        <w:rPr>
          <w:rFonts w:eastAsia="Aptos" w:cs="Aptos"/>
          <w:color w:val="000000" w:themeColor="text1"/>
          <w:szCs w:val="22"/>
        </w:rPr>
        <w:t>the</w:t>
      </w:r>
      <w:r w:rsidRPr="00555B44">
        <w:rPr>
          <w:rFonts w:eastAsia="Aptos" w:cs="Aptos"/>
          <w:color w:val="000000" w:themeColor="text1"/>
          <w:szCs w:val="22"/>
        </w:rPr>
        <w:t xml:space="preserve"> government should consider and </w:t>
      </w:r>
      <w:r>
        <w:rPr>
          <w:rFonts w:eastAsia="Aptos" w:cs="Aptos"/>
          <w:color w:val="000000" w:themeColor="text1"/>
          <w:szCs w:val="22"/>
        </w:rPr>
        <w:t>confirm</w:t>
      </w:r>
      <w:r w:rsidRPr="00555B44">
        <w:rPr>
          <w:rFonts w:eastAsia="Aptos" w:cs="Aptos"/>
          <w:color w:val="000000" w:themeColor="text1"/>
          <w:szCs w:val="22"/>
        </w:rPr>
        <w:t xml:space="preserve"> its long-term planning priorities, future demand and service models</w:t>
      </w:r>
      <w:r>
        <w:rPr>
          <w:rFonts w:eastAsia="Aptos" w:cs="Aptos"/>
          <w:color w:val="000000" w:themeColor="text1"/>
          <w:szCs w:val="22"/>
        </w:rPr>
        <w:t xml:space="preserve"> coming out of a (new) planning and review process (rule 4)</w:t>
      </w:r>
      <w:r w:rsidRPr="00555B44">
        <w:rPr>
          <w:rFonts w:eastAsia="Aptos" w:cs="Aptos"/>
          <w:color w:val="000000" w:themeColor="text1"/>
          <w:szCs w:val="22"/>
        </w:rPr>
        <w:t>, outcomes of</w:t>
      </w:r>
      <w:r>
        <w:rPr>
          <w:rFonts w:eastAsia="Aptos" w:cs="Aptos"/>
          <w:color w:val="000000" w:themeColor="text1"/>
          <w:szCs w:val="22"/>
        </w:rPr>
        <w:t xml:space="preserve"> new systematic</w:t>
      </w:r>
      <w:r w:rsidRPr="00555B44">
        <w:rPr>
          <w:rFonts w:eastAsia="Aptos" w:cs="Aptos"/>
          <w:color w:val="000000" w:themeColor="text1"/>
          <w:szCs w:val="22"/>
        </w:rPr>
        <w:t xml:space="preserve"> evaluations (</w:t>
      </w:r>
      <w:r w:rsidR="00193F0A">
        <w:rPr>
          <w:rFonts w:eastAsia="Aptos" w:cs="Aptos"/>
          <w:color w:val="000000" w:themeColor="text1"/>
          <w:szCs w:val="22"/>
        </w:rPr>
        <w:t>rule</w:t>
      </w:r>
      <w:r>
        <w:rPr>
          <w:rFonts w:eastAsia="Aptos" w:cs="Aptos"/>
          <w:color w:val="000000" w:themeColor="text1"/>
          <w:szCs w:val="22"/>
        </w:rPr>
        <w:t xml:space="preserve"> 5</w:t>
      </w:r>
      <w:r w:rsidRPr="00555B44">
        <w:rPr>
          <w:rFonts w:eastAsia="Aptos" w:cs="Aptos"/>
          <w:color w:val="000000" w:themeColor="text1"/>
          <w:szCs w:val="22"/>
        </w:rPr>
        <w:t>) and assessments of entity financial management performance (</w:t>
      </w:r>
      <w:r>
        <w:rPr>
          <w:rFonts w:eastAsia="Aptos" w:cs="Aptos"/>
          <w:color w:val="000000" w:themeColor="text1"/>
          <w:szCs w:val="22"/>
        </w:rPr>
        <w:t>rule</w:t>
      </w:r>
      <w:r w:rsidRPr="00555B44">
        <w:rPr>
          <w:rFonts w:eastAsia="Aptos" w:cs="Aptos"/>
          <w:color w:val="000000" w:themeColor="text1"/>
          <w:szCs w:val="22"/>
        </w:rPr>
        <w:t xml:space="preserve"> </w:t>
      </w:r>
      <w:r>
        <w:rPr>
          <w:rFonts w:eastAsia="Aptos" w:cs="Aptos"/>
          <w:color w:val="000000" w:themeColor="text1"/>
          <w:szCs w:val="22"/>
        </w:rPr>
        <w:t>6</w:t>
      </w:r>
      <w:r w:rsidRPr="00555B44">
        <w:rPr>
          <w:rFonts w:eastAsia="Aptos" w:cs="Aptos"/>
          <w:color w:val="000000" w:themeColor="text1"/>
          <w:szCs w:val="22"/>
        </w:rPr>
        <w:t xml:space="preserve">). All these factors should be used to agree and set the government’s spending capacity and savings targets for </w:t>
      </w:r>
      <w:r>
        <w:rPr>
          <w:rFonts w:eastAsia="Aptos" w:cs="Aptos"/>
          <w:color w:val="000000" w:themeColor="text1"/>
          <w:szCs w:val="22"/>
        </w:rPr>
        <w:t>departments</w:t>
      </w:r>
      <w:r w:rsidRPr="00555B44">
        <w:rPr>
          <w:rFonts w:eastAsia="Aptos" w:cs="Aptos"/>
          <w:color w:val="000000" w:themeColor="text1"/>
          <w:szCs w:val="22"/>
        </w:rPr>
        <w:t xml:space="preserve"> </w:t>
      </w:r>
      <w:r>
        <w:rPr>
          <w:rFonts w:eastAsia="Aptos" w:cs="Aptos"/>
          <w:color w:val="000000" w:themeColor="text1"/>
          <w:szCs w:val="22"/>
        </w:rPr>
        <w:t xml:space="preserve">and non-departmental entities </w:t>
      </w:r>
      <w:r w:rsidRPr="00555B44">
        <w:rPr>
          <w:rFonts w:eastAsia="Aptos" w:cs="Aptos"/>
          <w:color w:val="000000" w:themeColor="text1"/>
          <w:szCs w:val="22"/>
        </w:rPr>
        <w:t>for the budget ahead.</w:t>
      </w:r>
      <w:r>
        <w:rPr>
          <w:rFonts w:eastAsia="Aptos" w:cs="Aptos"/>
          <w:color w:val="000000" w:themeColor="text1"/>
          <w:szCs w:val="22"/>
        </w:rPr>
        <w:t xml:space="preserve"> </w:t>
      </w:r>
    </w:p>
    <w:p w14:paraId="0944F186" w14:textId="77777777" w:rsidR="00077A28" w:rsidRPr="00775A25" w:rsidRDefault="00077A28" w:rsidP="00D207B3">
      <w:pPr>
        <w:pStyle w:val="ListParagraph"/>
        <w:numPr>
          <w:ilvl w:val="0"/>
          <w:numId w:val="6"/>
        </w:numPr>
        <w:rPr>
          <w:rFonts w:eastAsia="Aptos" w:cs="Aptos"/>
          <w:b/>
          <w:color w:val="000000" w:themeColor="text1"/>
          <w:szCs w:val="22"/>
        </w:rPr>
      </w:pPr>
      <w:r w:rsidRPr="00775A25">
        <w:rPr>
          <w:rFonts w:eastAsia="Aptos" w:cs="Aptos"/>
          <w:b/>
          <w:color w:val="000000" w:themeColor="text1"/>
          <w:szCs w:val="22"/>
        </w:rPr>
        <w:t>Limit all new resource allocation decisions to the annual budget decision window</w:t>
      </w:r>
      <w:r>
        <w:rPr>
          <w:rFonts w:eastAsia="Aptos" w:cs="Aptos"/>
          <w:b/>
          <w:color w:val="000000" w:themeColor="text1"/>
          <w:szCs w:val="22"/>
        </w:rPr>
        <w:t xml:space="preserve"> (February to March)</w:t>
      </w:r>
    </w:p>
    <w:p w14:paraId="34F254DB" w14:textId="77777777" w:rsidR="00077A28" w:rsidRPr="00555B44" w:rsidRDefault="00077A28" w:rsidP="00077A28">
      <w:pPr>
        <w:ind w:left="357"/>
        <w:rPr>
          <w:rFonts w:eastAsia="Aptos" w:cs="Aptos"/>
          <w:color w:val="000000" w:themeColor="text1"/>
          <w:szCs w:val="22"/>
        </w:rPr>
      </w:pPr>
      <w:r>
        <w:rPr>
          <w:rFonts w:eastAsia="Aptos" w:cs="Aptos"/>
          <w:color w:val="000000" w:themeColor="text1"/>
          <w:szCs w:val="22"/>
        </w:rPr>
        <w:t>A</w:t>
      </w:r>
      <w:r w:rsidRPr="00555B44">
        <w:rPr>
          <w:rFonts w:eastAsia="Aptos" w:cs="Aptos"/>
          <w:color w:val="000000" w:themeColor="text1"/>
          <w:szCs w:val="22"/>
        </w:rPr>
        <w:t xml:space="preserve"> tighter and more cohesive annual decision-making approach </w:t>
      </w:r>
      <w:r>
        <w:rPr>
          <w:rFonts w:eastAsia="Aptos" w:cs="Aptos"/>
          <w:color w:val="000000" w:themeColor="text1"/>
          <w:szCs w:val="22"/>
        </w:rPr>
        <w:t>would</w:t>
      </w:r>
      <w:r w:rsidRPr="00555B44">
        <w:rPr>
          <w:rFonts w:eastAsia="Aptos" w:cs="Aptos"/>
          <w:color w:val="000000" w:themeColor="text1"/>
          <w:szCs w:val="22"/>
        </w:rPr>
        <w:t xml:space="preserve"> drive stronger prioritisation </w:t>
      </w:r>
      <w:r>
        <w:rPr>
          <w:rFonts w:eastAsia="Aptos" w:cs="Aptos"/>
          <w:color w:val="000000" w:themeColor="text1"/>
          <w:szCs w:val="22"/>
        </w:rPr>
        <w:t xml:space="preserve">across competing options </w:t>
      </w:r>
      <w:r w:rsidRPr="00555B44">
        <w:rPr>
          <w:rFonts w:eastAsia="Aptos" w:cs="Aptos"/>
          <w:color w:val="000000" w:themeColor="text1"/>
          <w:szCs w:val="22"/>
        </w:rPr>
        <w:t xml:space="preserve">and allocation of public resources. It </w:t>
      </w:r>
      <w:r>
        <w:rPr>
          <w:rFonts w:eastAsia="Aptos" w:cs="Aptos"/>
          <w:color w:val="000000" w:themeColor="text1"/>
          <w:szCs w:val="22"/>
        </w:rPr>
        <w:t xml:space="preserve">would </w:t>
      </w:r>
      <w:r w:rsidRPr="00555B44">
        <w:rPr>
          <w:rFonts w:eastAsia="Aptos" w:cs="Aptos"/>
          <w:color w:val="000000" w:themeColor="text1"/>
          <w:szCs w:val="22"/>
        </w:rPr>
        <w:t xml:space="preserve">also reduce the likelihood of Victoria inadvertently spending more than it can afford relative to capacity. The annual budget decision window should be open in February and March only.  </w:t>
      </w:r>
    </w:p>
    <w:p w14:paraId="3913A1C1" w14:textId="770FFDBB" w:rsidR="00D71510" w:rsidRPr="00C50E61" w:rsidRDefault="00D71510" w:rsidP="00D71510">
      <w:pPr>
        <w:ind w:left="357"/>
        <w:rPr>
          <w:rFonts w:eastAsia="Aptos" w:cs="Aptos"/>
          <w:color w:val="000000" w:themeColor="text1"/>
          <w:szCs w:val="22"/>
        </w:rPr>
      </w:pPr>
      <w:r w:rsidRPr="006F6F2D">
        <w:rPr>
          <w:rFonts w:eastAsia="Aptos" w:cs="Aptos"/>
          <w:color w:val="000000" w:themeColor="text1"/>
          <w:szCs w:val="22"/>
        </w:rPr>
        <w:t xml:space="preserve">Departments and entities should submit </w:t>
      </w:r>
      <w:r>
        <w:rPr>
          <w:rFonts w:eastAsia="Aptos" w:cs="Aptos"/>
          <w:color w:val="000000" w:themeColor="text1"/>
          <w:szCs w:val="22"/>
        </w:rPr>
        <w:t xml:space="preserve">their </w:t>
      </w:r>
      <w:r w:rsidRPr="006F6F2D">
        <w:rPr>
          <w:rFonts w:eastAsia="Aptos" w:cs="Aptos"/>
          <w:color w:val="000000" w:themeColor="text1"/>
          <w:szCs w:val="22"/>
        </w:rPr>
        <w:t>savings plan as part of the budget decision</w:t>
      </w:r>
      <w:r>
        <w:rPr>
          <w:rFonts w:eastAsia="Aptos" w:cs="Aptos"/>
          <w:color w:val="000000" w:themeColor="text1"/>
          <w:szCs w:val="22"/>
        </w:rPr>
        <w:t>-</w:t>
      </w:r>
      <w:r w:rsidRPr="006F6F2D">
        <w:rPr>
          <w:rFonts w:eastAsia="Aptos" w:cs="Aptos"/>
          <w:color w:val="000000" w:themeColor="text1"/>
          <w:szCs w:val="22"/>
        </w:rPr>
        <w:t>making window</w:t>
      </w:r>
      <w:r w:rsidR="00721A40">
        <w:rPr>
          <w:rFonts w:eastAsia="Aptos" w:cs="Aptos"/>
          <w:color w:val="000000" w:themeColor="text1"/>
          <w:szCs w:val="22"/>
        </w:rPr>
        <w:t>, outlining</w:t>
      </w:r>
      <w:r w:rsidRPr="006F6F2D">
        <w:rPr>
          <w:rFonts w:eastAsia="Aptos" w:cs="Aptos"/>
          <w:color w:val="000000" w:themeColor="text1"/>
          <w:szCs w:val="22"/>
        </w:rPr>
        <w:t xml:space="preserve"> how </w:t>
      </w:r>
      <w:r w:rsidR="00721A40">
        <w:rPr>
          <w:rFonts w:eastAsia="Aptos" w:cs="Aptos"/>
          <w:color w:val="000000" w:themeColor="text1"/>
          <w:szCs w:val="22"/>
        </w:rPr>
        <w:t>they</w:t>
      </w:r>
      <w:r w:rsidRPr="006F6F2D">
        <w:rPr>
          <w:rFonts w:eastAsia="Aptos" w:cs="Aptos"/>
          <w:color w:val="000000" w:themeColor="text1"/>
          <w:szCs w:val="22"/>
        </w:rPr>
        <w:t xml:space="preserve"> will achieve t</w:t>
      </w:r>
      <w:r w:rsidR="00166BB3">
        <w:rPr>
          <w:rFonts w:eastAsia="Aptos" w:cs="Aptos"/>
          <w:color w:val="000000" w:themeColor="text1"/>
          <w:szCs w:val="22"/>
        </w:rPr>
        <w:t>he</w:t>
      </w:r>
      <w:r w:rsidRPr="006F6F2D">
        <w:rPr>
          <w:rFonts w:eastAsia="Aptos" w:cs="Aptos"/>
          <w:color w:val="000000" w:themeColor="text1"/>
          <w:szCs w:val="22"/>
        </w:rPr>
        <w:t xml:space="preserve"> </w:t>
      </w:r>
      <w:r w:rsidRPr="006F6F2D">
        <w:rPr>
          <w:rFonts w:eastAsia="Aptos" w:cs="Aptos"/>
          <w:color w:val="000000" w:themeColor="text1"/>
          <w:szCs w:val="22"/>
        </w:rPr>
        <w:t>savings, including</w:t>
      </w:r>
      <w:r w:rsidRPr="00AC06C7">
        <w:rPr>
          <w:rFonts w:eastAsia="Aptos" w:cs="Aptos"/>
          <w:color w:val="000000" w:themeColor="text1"/>
          <w:szCs w:val="22"/>
        </w:rPr>
        <w:t xml:space="preserve"> which functions, projects and programs </w:t>
      </w:r>
      <w:r>
        <w:rPr>
          <w:rFonts w:eastAsia="Aptos" w:cs="Aptos"/>
          <w:color w:val="000000" w:themeColor="text1"/>
          <w:szCs w:val="22"/>
        </w:rPr>
        <w:t xml:space="preserve">can stop or change, and any </w:t>
      </w:r>
      <w:r w:rsidRPr="00AC06C7">
        <w:rPr>
          <w:rFonts w:eastAsia="Aptos" w:cs="Aptos"/>
          <w:color w:val="000000" w:themeColor="text1"/>
          <w:szCs w:val="22"/>
        </w:rPr>
        <w:t>anticipated service</w:t>
      </w:r>
      <w:r w:rsidR="007A7836">
        <w:rPr>
          <w:rFonts w:eastAsia="Aptos" w:cs="Aptos"/>
          <w:color w:val="000000" w:themeColor="text1"/>
          <w:szCs w:val="22"/>
        </w:rPr>
        <w:t> </w:t>
      </w:r>
      <w:r w:rsidRPr="00AC06C7">
        <w:rPr>
          <w:rFonts w:eastAsia="Aptos" w:cs="Aptos"/>
          <w:color w:val="000000" w:themeColor="text1"/>
          <w:szCs w:val="22"/>
        </w:rPr>
        <w:t xml:space="preserve">impacts. </w:t>
      </w:r>
    </w:p>
    <w:p w14:paraId="68B649B7" w14:textId="33C82556" w:rsidR="00077A28" w:rsidRPr="00555B44" w:rsidRDefault="00077A28" w:rsidP="00077A28">
      <w:pPr>
        <w:ind w:left="357"/>
        <w:rPr>
          <w:rFonts w:eastAsia="Aptos" w:cs="Aptos"/>
          <w:color w:val="000000" w:themeColor="text1"/>
          <w:szCs w:val="22"/>
        </w:rPr>
      </w:pPr>
      <w:r w:rsidRPr="00555B44">
        <w:rPr>
          <w:rFonts w:eastAsia="Aptos" w:cs="Aptos"/>
          <w:color w:val="000000" w:themeColor="text1"/>
          <w:szCs w:val="22"/>
        </w:rPr>
        <w:t>Funding mechanisms (such as Treasurer’s Advances) already exist for</w:t>
      </w:r>
      <w:r w:rsidR="007D1282">
        <w:rPr>
          <w:rFonts w:eastAsia="Aptos" w:cs="Aptos"/>
          <w:color w:val="000000" w:themeColor="text1"/>
          <w:szCs w:val="22"/>
        </w:rPr>
        <w:t> </w:t>
      </w:r>
      <w:r w:rsidRPr="00555B44">
        <w:rPr>
          <w:rFonts w:eastAsia="Aptos" w:cs="Aptos"/>
          <w:color w:val="000000" w:themeColor="text1"/>
          <w:szCs w:val="22"/>
        </w:rPr>
        <w:t>government to provide new funds at</w:t>
      </w:r>
      <w:r w:rsidR="007D1282">
        <w:rPr>
          <w:rFonts w:eastAsia="Aptos" w:cs="Aptos"/>
          <w:color w:val="000000" w:themeColor="text1"/>
          <w:szCs w:val="22"/>
        </w:rPr>
        <w:t> </w:t>
      </w:r>
      <w:r w:rsidRPr="00555B44">
        <w:rPr>
          <w:rFonts w:eastAsia="Aptos" w:cs="Aptos"/>
          <w:color w:val="000000" w:themeColor="text1"/>
          <w:szCs w:val="22"/>
        </w:rPr>
        <w:t>other times during the financial year if</w:t>
      </w:r>
      <w:r w:rsidR="007D1282">
        <w:rPr>
          <w:rFonts w:eastAsia="Aptos" w:cs="Aptos"/>
          <w:color w:val="000000" w:themeColor="text1"/>
          <w:szCs w:val="22"/>
        </w:rPr>
        <w:t> </w:t>
      </w:r>
      <w:r w:rsidRPr="00555B44">
        <w:rPr>
          <w:rFonts w:eastAsia="Aptos" w:cs="Aptos"/>
          <w:color w:val="000000" w:themeColor="text1"/>
          <w:szCs w:val="22"/>
        </w:rPr>
        <w:t>it</w:t>
      </w:r>
      <w:r w:rsidR="007A7836">
        <w:rPr>
          <w:rFonts w:eastAsia="Aptos" w:cs="Aptos"/>
          <w:color w:val="000000" w:themeColor="text1"/>
          <w:szCs w:val="22"/>
        </w:rPr>
        <w:t> </w:t>
      </w:r>
      <w:r w:rsidRPr="00555B44">
        <w:rPr>
          <w:rFonts w:eastAsia="Aptos" w:cs="Aptos"/>
          <w:color w:val="000000" w:themeColor="text1"/>
          <w:szCs w:val="22"/>
        </w:rPr>
        <w:t xml:space="preserve">needs to respond to urgent and unforeseen events like natural disasters. </w:t>
      </w:r>
    </w:p>
    <w:p w14:paraId="3436E492" w14:textId="77777777" w:rsidR="00077A28" w:rsidRPr="00EC2AF7" w:rsidRDefault="00077A28" w:rsidP="00D207B3">
      <w:pPr>
        <w:pStyle w:val="ListParagraph"/>
        <w:numPr>
          <w:ilvl w:val="0"/>
          <w:numId w:val="6"/>
        </w:numPr>
        <w:ind w:left="357" w:hanging="357"/>
        <w:contextualSpacing w:val="0"/>
        <w:rPr>
          <w:rFonts w:ascii="Aptos" w:eastAsia="Aptos" w:hAnsi="Aptos" w:cs="Aptos"/>
          <w:b/>
          <w:color w:val="000000" w:themeColor="text1"/>
          <w:szCs w:val="22"/>
        </w:rPr>
      </w:pPr>
      <w:r>
        <w:rPr>
          <w:rFonts w:eastAsia="Aptos" w:cs="Aptos"/>
          <w:b/>
          <w:color w:val="000000" w:themeColor="text1"/>
          <w:szCs w:val="22"/>
        </w:rPr>
        <w:t>Reinforce current practice that d</w:t>
      </w:r>
      <w:r w:rsidRPr="00555B44">
        <w:rPr>
          <w:rFonts w:eastAsia="Aptos" w:cs="Aptos"/>
          <w:b/>
          <w:color w:val="000000" w:themeColor="text1"/>
          <w:szCs w:val="22"/>
        </w:rPr>
        <w:t>ecisions on funding must be supported by robust information and business cases that meet DTF’s Investment Life Cycle guidelines</w:t>
      </w:r>
    </w:p>
    <w:p w14:paraId="38EB8EE1" w14:textId="18856B58" w:rsidR="00077A28" w:rsidRPr="00555B44" w:rsidRDefault="00077A28" w:rsidP="00077A28">
      <w:pPr>
        <w:ind w:left="357"/>
        <w:rPr>
          <w:rFonts w:eastAsia="Aptos" w:cs="Aptos"/>
          <w:color w:val="000000" w:themeColor="text1"/>
          <w:szCs w:val="22"/>
        </w:rPr>
      </w:pPr>
      <w:r w:rsidRPr="00555B44">
        <w:rPr>
          <w:rFonts w:eastAsia="Aptos" w:cs="Aptos"/>
          <w:color w:val="000000" w:themeColor="text1"/>
          <w:szCs w:val="22"/>
        </w:rPr>
        <w:t>Consistent with Operating principle 3</w:t>
      </w:r>
      <w:r>
        <w:rPr>
          <w:rFonts w:eastAsia="Aptos" w:cs="Aptos"/>
          <w:color w:val="000000" w:themeColor="text1"/>
          <w:szCs w:val="22"/>
        </w:rPr>
        <w:t xml:space="preserve"> </w:t>
      </w:r>
      <w:r w:rsidRPr="005075CB">
        <w:rPr>
          <w:rFonts w:eastAsia="Aptos" w:cs="Aptos"/>
          <w:color w:val="000000" w:themeColor="text1"/>
          <w:szCs w:val="22"/>
        </w:rPr>
        <w:t>–</w:t>
      </w:r>
      <w:r w:rsidRPr="00555B44">
        <w:rPr>
          <w:rFonts w:eastAsia="Aptos" w:cs="Aptos"/>
          <w:i/>
          <w:color w:val="000000" w:themeColor="text1"/>
          <w:szCs w:val="22"/>
        </w:rPr>
        <w:t xml:space="preserve"> Evidence</w:t>
      </w:r>
      <w:r w:rsidR="00A36193">
        <w:rPr>
          <w:rFonts w:eastAsia="Aptos" w:cs="Aptos"/>
          <w:i/>
          <w:color w:val="000000" w:themeColor="text1"/>
          <w:szCs w:val="22"/>
        </w:rPr>
        <w:t>-</w:t>
      </w:r>
      <w:r w:rsidRPr="00555B44">
        <w:rPr>
          <w:rFonts w:eastAsia="Aptos" w:cs="Aptos"/>
          <w:i/>
          <w:color w:val="000000" w:themeColor="text1"/>
          <w:szCs w:val="22"/>
        </w:rPr>
        <w:t>based decision</w:t>
      </w:r>
      <w:r w:rsidR="00F114AD">
        <w:rPr>
          <w:rFonts w:eastAsia="Aptos" w:cs="Aptos"/>
          <w:i/>
          <w:color w:val="000000" w:themeColor="text1"/>
          <w:szCs w:val="22"/>
        </w:rPr>
        <w:t>-</w:t>
      </w:r>
      <w:r w:rsidRPr="00555B44">
        <w:rPr>
          <w:rFonts w:eastAsia="Aptos" w:cs="Aptos"/>
          <w:i/>
          <w:color w:val="000000" w:themeColor="text1"/>
          <w:szCs w:val="22"/>
        </w:rPr>
        <w:t>making</w:t>
      </w:r>
      <w:r w:rsidRPr="00555B44">
        <w:rPr>
          <w:rFonts w:eastAsia="Aptos" w:cs="Aptos"/>
          <w:color w:val="000000" w:themeColor="text1"/>
          <w:szCs w:val="22"/>
        </w:rPr>
        <w:t xml:space="preserve">, </w:t>
      </w:r>
      <w:r>
        <w:rPr>
          <w:rFonts w:eastAsia="Aptos" w:cs="Aptos"/>
          <w:color w:val="000000" w:themeColor="text1"/>
          <w:szCs w:val="22"/>
        </w:rPr>
        <w:t xml:space="preserve">the </w:t>
      </w:r>
      <w:r w:rsidRPr="00555B44">
        <w:rPr>
          <w:rFonts w:eastAsia="Aptos" w:cs="Aptos"/>
          <w:color w:val="000000" w:themeColor="text1"/>
          <w:szCs w:val="22"/>
        </w:rPr>
        <w:t xml:space="preserve">government should reinforce that it only funds major programs or projects supported by full business cases which comply with DTF’s Investment </w:t>
      </w:r>
      <w:r w:rsidR="00131DB0">
        <w:rPr>
          <w:rFonts w:eastAsia="Aptos" w:cs="Aptos"/>
          <w:color w:val="000000" w:themeColor="text1"/>
          <w:szCs w:val="22"/>
        </w:rPr>
        <w:t>L</w:t>
      </w:r>
      <w:r w:rsidRPr="00555B44">
        <w:rPr>
          <w:rFonts w:eastAsia="Aptos" w:cs="Aptos"/>
          <w:color w:val="000000" w:themeColor="text1"/>
          <w:szCs w:val="22"/>
        </w:rPr>
        <w:t xml:space="preserve">ife </w:t>
      </w:r>
      <w:r w:rsidR="00131DB0">
        <w:rPr>
          <w:rFonts w:eastAsia="Aptos" w:cs="Aptos"/>
          <w:color w:val="000000" w:themeColor="text1"/>
          <w:szCs w:val="22"/>
        </w:rPr>
        <w:t>C</w:t>
      </w:r>
      <w:r w:rsidRPr="00555B44">
        <w:rPr>
          <w:rFonts w:eastAsia="Aptos" w:cs="Aptos"/>
          <w:color w:val="000000" w:themeColor="text1"/>
          <w:szCs w:val="22"/>
        </w:rPr>
        <w:t xml:space="preserve">ycle and high-value high-risk guidelines. </w:t>
      </w:r>
    </w:p>
    <w:p w14:paraId="3FD51F69" w14:textId="77777777" w:rsidR="00077A28" w:rsidRPr="00555B44" w:rsidRDefault="00077A28" w:rsidP="00077A28">
      <w:pPr>
        <w:ind w:left="357"/>
        <w:rPr>
          <w:rFonts w:eastAsia="Aptos" w:cs="Aptos"/>
          <w:color w:val="000000" w:themeColor="text1"/>
          <w:szCs w:val="22"/>
        </w:rPr>
      </w:pPr>
      <w:r w:rsidRPr="00555B44">
        <w:rPr>
          <w:rFonts w:eastAsia="Aptos" w:cs="Aptos"/>
          <w:color w:val="000000" w:themeColor="text1"/>
          <w:szCs w:val="22"/>
        </w:rPr>
        <w:t>Business cases supported by robust information will help minimise the risk of poor investment decisions and maximise the efficient and effective allocation of resources</w:t>
      </w:r>
      <w:r>
        <w:rPr>
          <w:rFonts w:eastAsia="Aptos" w:cs="Aptos"/>
          <w:color w:val="000000" w:themeColor="text1"/>
          <w:szCs w:val="22"/>
        </w:rPr>
        <w:t>,</w:t>
      </w:r>
      <w:r w:rsidRPr="00555B44">
        <w:rPr>
          <w:rFonts w:eastAsia="Aptos" w:cs="Aptos"/>
          <w:color w:val="000000" w:themeColor="text1"/>
          <w:szCs w:val="22"/>
        </w:rPr>
        <w:t xml:space="preserve"> which </w:t>
      </w:r>
      <w:r w:rsidRPr="008E28C6">
        <w:rPr>
          <w:rFonts w:eastAsia="Aptos" w:cs="Aptos"/>
          <w:color w:val="000000" w:themeColor="text1"/>
          <w:szCs w:val="22"/>
        </w:rPr>
        <w:t>increases</w:t>
      </w:r>
      <w:r w:rsidRPr="00555B44">
        <w:rPr>
          <w:rFonts w:eastAsia="Aptos" w:cs="Aptos"/>
          <w:color w:val="000000" w:themeColor="text1"/>
          <w:szCs w:val="22"/>
        </w:rPr>
        <w:t xml:space="preserve"> value to the community and the economy.</w:t>
      </w:r>
      <w:r>
        <w:rPr>
          <w:rFonts w:eastAsia="Aptos" w:cs="Aptos"/>
          <w:color w:val="000000" w:themeColor="text1"/>
          <w:szCs w:val="22"/>
        </w:rPr>
        <w:t xml:space="preserve"> This also reduces the risk that projects are agreed without recognising their full operational costs.</w:t>
      </w:r>
    </w:p>
    <w:p w14:paraId="6E22D888" w14:textId="174A2EF8" w:rsidR="00077A28" w:rsidRPr="00552588" w:rsidRDefault="00077A28" w:rsidP="00D207B3">
      <w:pPr>
        <w:pStyle w:val="ListParagraph"/>
        <w:numPr>
          <w:ilvl w:val="0"/>
          <w:numId w:val="6"/>
        </w:numPr>
        <w:ind w:left="357" w:hanging="357"/>
        <w:contextualSpacing w:val="0"/>
        <w:rPr>
          <w:rFonts w:ascii="Aptos" w:eastAsia="Aptos" w:hAnsi="Aptos" w:cs="Aptos"/>
          <w:b/>
          <w:color w:val="000000" w:themeColor="text1"/>
          <w:szCs w:val="22"/>
        </w:rPr>
      </w:pPr>
      <w:r w:rsidRPr="00775A25">
        <w:rPr>
          <w:rFonts w:eastAsia="Aptos" w:cs="Aptos"/>
          <w:b/>
          <w:color w:val="000000" w:themeColor="text1"/>
          <w:szCs w:val="22"/>
        </w:rPr>
        <w:t>Embed a</w:t>
      </w:r>
      <w:r>
        <w:rPr>
          <w:rFonts w:eastAsia="Aptos" w:cs="Aptos"/>
          <w:b/>
          <w:color w:val="000000" w:themeColor="text1"/>
          <w:szCs w:val="22"/>
        </w:rPr>
        <w:t xml:space="preserve"> new</w:t>
      </w:r>
      <w:r w:rsidRPr="00775A25">
        <w:rPr>
          <w:rFonts w:eastAsia="Aptos" w:cs="Aptos"/>
          <w:b/>
          <w:color w:val="000000" w:themeColor="text1"/>
          <w:szCs w:val="22"/>
        </w:rPr>
        <w:t xml:space="preserve"> planning and review </w:t>
      </w:r>
      <w:r>
        <w:rPr>
          <w:rFonts w:eastAsia="Aptos" w:cs="Aptos"/>
          <w:b/>
          <w:color w:val="000000" w:themeColor="text1"/>
          <w:szCs w:val="22"/>
        </w:rPr>
        <w:t>window</w:t>
      </w:r>
      <w:r w:rsidRPr="00775A25">
        <w:rPr>
          <w:rFonts w:eastAsia="Aptos" w:cs="Aptos"/>
          <w:b/>
          <w:color w:val="000000" w:themeColor="text1"/>
          <w:szCs w:val="22"/>
        </w:rPr>
        <w:t xml:space="preserve"> </w:t>
      </w:r>
      <w:r w:rsidR="001300A0">
        <w:rPr>
          <w:rFonts w:eastAsia="Aptos" w:cs="Aptos"/>
          <w:b/>
          <w:color w:val="000000" w:themeColor="text1"/>
          <w:szCs w:val="22"/>
        </w:rPr>
        <w:t>in</w:t>
      </w:r>
      <w:r w:rsidRPr="00775A25">
        <w:rPr>
          <w:rFonts w:eastAsia="Aptos" w:cs="Aptos"/>
          <w:b/>
          <w:color w:val="000000" w:themeColor="text1"/>
          <w:szCs w:val="22"/>
        </w:rPr>
        <w:t xml:space="preserve"> the annual budget cycle</w:t>
      </w:r>
      <w:r>
        <w:rPr>
          <w:rFonts w:eastAsia="Aptos" w:cs="Aptos"/>
          <w:b/>
          <w:color w:val="000000" w:themeColor="text1"/>
          <w:szCs w:val="22"/>
        </w:rPr>
        <w:t xml:space="preserve"> (July to November)</w:t>
      </w:r>
    </w:p>
    <w:p w14:paraId="49D9CDFF" w14:textId="0F7EC0CC" w:rsidR="00077A28" w:rsidRPr="00AC06C7" w:rsidRDefault="00C1205B" w:rsidP="00077A28">
      <w:pPr>
        <w:ind w:left="360"/>
        <w:rPr>
          <w:rFonts w:eastAsia="Aptos" w:cs="Aptos"/>
          <w:color w:val="000000" w:themeColor="text1"/>
          <w:szCs w:val="22"/>
        </w:rPr>
      </w:pPr>
      <w:r>
        <w:rPr>
          <w:rFonts w:eastAsia="Aptos" w:cs="Aptos"/>
          <w:color w:val="000000" w:themeColor="text1"/>
          <w:szCs w:val="22"/>
        </w:rPr>
        <w:t>S</w:t>
      </w:r>
      <w:r w:rsidR="00077A28" w:rsidRPr="00AC06C7">
        <w:rPr>
          <w:rFonts w:eastAsia="Aptos" w:cs="Aptos"/>
          <w:color w:val="000000" w:themeColor="text1"/>
          <w:szCs w:val="22"/>
        </w:rPr>
        <w:t xml:space="preserve">tronger planning and review </w:t>
      </w:r>
      <w:r>
        <w:rPr>
          <w:rFonts w:eastAsia="Aptos" w:cs="Aptos"/>
          <w:color w:val="000000" w:themeColor="text1"/>
          <w:szCs w:val="22"/>
        </w:rPr>
        <w:t>–</w:t>
      </w:r>
      <w:r w:rsidR="00077A28" w:rsidRPr="00AC06C7">
        <w:rPr>
          <w:rFonts w:eastAsia="Aptos" w:cs="Aptos"/>
          <w:color w:val="000000" w:themeColor="text1"/>
          <w:szCs w:val="22"/>
        </w:rPr>
        <w:t xml:space="preserve"> where trade-offs are confronted, and demand management and efficient pric</w:t>
      </w:r>
      <w:r w:rsidR="00C04E4C">
        <w:rPr>
          <w:rFonts w:eastAsia="Aptos" w:cs="Aptos"/>
          <w:color w:val="000000" w:themeColor="text1"/>
          <w:szCs w:val="22"/>
        </w:rPr>
        <w:t>ing</w:t>
      </w:r>
      <w:r w:rsidR="00077A28" w:rsidRPr="00AC06C7">
        <w:rPr>
          <w:rFonts w:eastAsia="Aptos" w:cs="Aptos"/>
          <w:color w:val="000000" w:themeColor="text1"/>
          <w:szCs w:val="22"/>
        </w:rPr>
        <w:t xml:space="preserve"> for outcomes are developed, implemented and assessed</w:t>
      </w:r>
      <w:r w:rsidR="00CB137B">
        <w:rPr>
          <w:rFonts w:eastAsia="Aptos" w:cs="Aptos"/>
          <w:color w:val="000000" w:themeColor="text1"/>
          <w:szCs w:val="22"/>
        </w:rPr>
        <w:t xml:space="preserve"> –</w:t>
      </w:r>
      <w:r w:rsidR="00077A28" w:rsidRPr="00AC06C7">
        <w:rPr>
          <w:rFonts w:eastAsia="Aptos" w:cs="Aptos"/>
          <w:color w:val="000000" w:themeColor="text1"/>
          <w:szCs w:val="22"/>
        </w:rPr>
        <w:t xml:space="preserve"> is needed. It is also </w:t>
      </w:r>
      <w:r w:rsidR="00077A28" w:rsidRPr="00AC06C7">
        <w:rPr>
          <w:rFonts w:eastAsia="Aptos" w:cs="Aptos"/>
          <w:color w:val="000000" w:themeColor="text1"/>
          <w:szCs w:val="22"/>
        </w:rPr>
        <w:lastRenderedPageBreak/>
        <w:t xml:space="preserve">critical for government to understand in detail the base budget </w:t>
      </w:r>
      <w:r w:rsidR="00077A28">
        <w:rPr>
          <w:rFonts w:eastAsia="Aptos" w:cs="Aptos"/>
          <w:color w:val="000000" w:themeColor="text1"/>
          <w:szCs w:val="22"/>
        </w:rPr>
        <w:t>–</w:t>
      </w:r>
      <w:r w:rsidR="00077A28" w:rsidRPr="00AC06C7">
        <w:rPr>
          <w:rFonts w:eastAsia="Aptos" w:cs="Aptos"/>
          <w:color w:val="000000" w:themeColor="text1"/>
          <w:szCs w:val="22"/>
        </w:rPr>
        <w:t xml:space="preserve"> where funding is allocated, for what purpose and what outcomes it is achieving.</w:t>
      </w:r>
    </w:p>
    <w:p w14:paraId="43C07B64" w14:textId="2BFC58F0" w:rsidR="00077A28" w:rsidRPr="00AC06C7" w:rsidRDefault="00077A28" w:rsidP="00077A28">
      <w:pPr>
        <w:ind w:left="360"/>
        <w:rPr>
          <w:rFonts w:eastAsia="Aptos" w:cs="Aptos"/>
          <w:color w:val="000000" w:themeColor="text1"/>
          <w:szCs w:val="22"/>
        </w:rPr>
      </w:pPr>
      <w:r w:rsidRPr="00AC06C7">
        <w:rPr>
          <w:rFonts w:eastAsia="Aptos" w:cs="Aptos"/>
          <w:color w:val="000000" w:themeColor="text1"/>
          <w:szCs w:val="22"/>
        </w:rPr>
        <w:t xml:space="preserve">The current central planning tool used by the Victorian Government is the </w:t>
      </w:r>
      <w:r>
        <w:rPr>
          <w:rFonts w:eastAsia="Aptos" w:cs="Aptos"/>
          <w:color w:val="000000" w:themeColor="text1"/>
          <w:szCs w:val="22"/>
        </w:rPr>
        <w:t>Resource Management Framework (</w:t>
      </w:r>
      <w:r w:rsidRPr="00AC06C7">
        <w:rPr>
          <w:rFonts w:eastAsia="Aptos" w:cs="Aptos"/>
          <w:color w:val="000000" w:themeColor="text1"/>
          <w:szCs w:val="22"/>
        </w:rPr>
        <w:t>RMF</w:t>
      </w:r>
      <w:r>
        <w:rPr>
          <w:rFonts w:eastAsia="Aptos" w:cs="Aptos"/>
          <w:color w:val="000000" w:themeColor="text1"/>
          <w:szCs w:val="22"/>
        </w:rPr>
        <w:t>),</w:t>
      </w:r>
      <w:r w:rsidRPr="00AC06C7">
        <w:rPr>
          <w:rFonts w:eastAsia="Aptos" w:cs="Aptos"/>
          <w:color w:val="000000" w:themeColor="text1"/>
          <w:szCs w:val="22"/>
        </w:rPr>
        <w:t xml:space="preserve"> </w:t>
      </w:r>
      <w:r>
        <w:rPr>
          <w:rFonts w:eastAsia="Aptos" w:cs="Aptos"/>
          <w:color w:val="000000" w:themeColor="text1"/>
          <w:szCs w:val="22"/>
        </w:rPr>
        <w:t>which</w:t>
      </w:r>
      <w:r w:rsidRPr="00AC06C7">
        <w:rPr>
          <w:rFonts w:eastAsia="Aptos" w:cs="Aptos"/>
          <w:color w:val="000000" w:themeColor="text1"/>
          <w:szCs w:val="22"/>
        </w:rPr>
        <w:t xml:space="preserve"> is based on a sound Integrated Management Cycle.</w:t>
      </w:r>
      <w:r w:rsidR="00AE5848">
        <w:rPr>
          <w:rFonts w:eastAsia="Aptos" w:cs="Aptos"/>
          <w:color w:val="000000" w:themeColor="text1"/>
          <w:szCs w:val="22"/>
        </w:rPr>
        <w:t xml:space="preserve"> </w:t>
      </w:r>
      <w:r w:rsidRPr="00AC06C7">
        <w:rPr>
          <w:rFonts w:eastAsia="Aptos" w:cs="Aptos"/>
          <w:color w:val="000000" w:themeColor="text1"/>
          <w:szCs w:val="22"/>
        </w:rPr>
        <w:t xml:space="preserve">The Review finds that while </w:t>
      </w:r>
      <w:r w:rsidR="00CB137B">
        <w:rPr>
          <w:rFonts w:eastAsia="Aptos" w:cs="Aptos"/>
          <w:color w:val="000000" w:themeColor="text1"/>
          <w:szCs w:val="22"/>
        </w:rPr>
        <w:t>the RMF</w:t>
      </w:r>
      <w:r w:rsidRPr="00AC06C7">
        <w:rPr>
          <w:rFonts w:eastAsia="Aptos" w:cs="Aptos"/>
          <w:color w:val="000000" w:themeColor="text1"/>
          <w:szCs w:val="22"/>
        </w:rPr>
        <w:t xml:space="preserve"> is a good tool, it is applied in a way that directs the focus of most planning and</w:t>
      </w:r>
      <w:r w:rsidR="004A264C">
        <w:rPr>
          <w:rFonts w:eastAsia="Aptos" w:cs="Aptos"/>
          <w:color w:val="000000" w:themeColor="text1"/>
          <w:szCs w:val="22"/>
        </w:rPr>
        <w:t> </w:t>
      </w:r>
      <w:r w:rsidRPr="00AC06C7">
        <w:rPr>
          <w:rFonts w:eastAsia="Aptos" w:cs="Aptos"/>
          <w:color w:val="000000" w:themeColor="text1"/>
          <w:szCs w:val="22"/>
        </w:rPr>
        <w:t xml:space="preserve">review activity towards </w:t>
      </w:r>
      <w:r>
        <w:rPr>
          <w:rFonts w:eastAsia="Aptos" w:cs="Aptos"/>
          <w:color w:val="000000" w:themeColor="text1"/>
          <w:szCs w:val="22"/>
        </w:rPr>
        <w:t>compliance activities</w:t>
      </w:r>
      <w:r w:rsidR="00666BE4">
        <w:rPr>
          <w:rFonts w:eastAsia="Aptos" w:cs="Aptos"/>
          <w:color w:val="000000" w:themeColor="text1"/>
          <w:szCs w:val="22"/>
        </w:rPr>
        <w:t>,</w:t>
      </w:r>
      <w:r w:rsidRPr="00AC06C7">
        <w:rPr>
          <w:rFonts w:eastAsia="Aptos" w:cs="Aptos"/>
          <w:color w:val="000000" w:themeColor="text1"/>
          <w:szCs w:val="22"/>
        </w:rPr>
        <w:t xml:space="preserve"> and its output has not been</w:t>
      </w:r>
      <w:r w:rsidR="00291E63">
        <w:rPr>
          <w:rFonts w:eastAsia="Aptos" w:cs="Aptos"/>
          <w:color w:val="000000" w:themeColor="text1"/>
          <w:szCs w:val="22"/>
        </w:rPr>
        <w:t> </w:t>
      </w:r>
      <w:r w:rsidRPr="00AC06C7">
        <w:rPr>
          <w:rFonts w:eastAsia="Aptos" w:cs="Aptos"/>
          <w:color w:val="000000" w:themeColor="text1"/>
          <w:szCs w:val="22"/>
        </w:rPr>
        <w:t>effectively utilised for budget decision</w:t>
      </w:r>
      <w:r w:rsidR="00291E63">
        <w:rPr>
          <w:rFonts w:eastAsia="Aptos" w:cs="Aptos"/>
          <w:color w:val="000000" w:themeColor="text1"/>
          <w:szCs w:val="22"/>
        </w:rPr>
        <w:noBreakHyphen/>
      </w:r>
      <w:r w:rsidRPr="00AC06C7">
        <w:rPr>
          <w:rFonts w:eastAsia="Aptos" w:cs="Aptos"/>
          <w:color w:val="000000" w:themeColor="text1"/>
          <w:szCs w:val="22"/>
        </w:rPr>
        <w:t>making.</w:t>
      </w:r>
    </w:p>
    <w:p w14:paraId="4A4A774E" w14:textId="76A0A85F" w:rsidR="00077A28" w:rsidRPr="00AC06C7" w:rsidRDefault="00077A28" w:rsidP="00077A28">
      <w:pPr>
        <w:ind w:left="360"/>
        <w:rPr>
          <w:rFonts w:eastAsia="Aptos" w:cs="Aptos"/>
          <w:color w:val="000000" w:themeColor="text1"/>
          <w:szCs w:val="22"/>
        </w:rPr>
      </w:pPr>
      <w:r>
        <w:rPr>
          <w:rFonts w:eastAsia="Aptos" w:cs="Aptos"/>
          <w:color w:val="000000" w:themeColor="text1"/>
          <w:szCs w:val="22"/>
        </w:rPr>
        <w:t>A stronger</w:t>
      </w:r>
      <w:r w:rsidR="00666BE4">
        <w:rPr>
          <w:rFonts w:eastAsia="Aptos" w:cs="Aptos"/>
          <w:color w:val="000000" w:themeColor="text1"/>
          <w:szCs w:val="22"/>
        </w:rPr>
        <w:t>,</w:t>
      </w:r>
      <w:r w:rsidRPr="00AC06C7">
        <w:rPr>
          <w:rFonts w:eastAsia="Aptos" w:cs="Aptos"/>
          <w:color w:val="000000" w:themeColor="text1"/>
          <w:szCs w:val="22"/>
        </w:rPr>
        <w:t xml:space="preserve"> </w:t>
      </w:r>
      <w:r>
        <w:rPr>
          <w:rFonts w:eastAsia="Aptos" w:cs="Aptos"/>
          <w:color w:val="000000" w:themeColor="text1"/>
          <w:szCs w:val="22"/>
        </w:rPr>
        <w:t xml:space="preserve">practical </w:t>
      </w:r>
      <w:r w:rsidRPr="00AC06C7">
        <w:rPr>
          <w:rFonts w:eastAsia="Aptos" w:cs="Aptos"/>
          <w:color w:val="000000" w:themeColor="text1"/>
          <w:szCs w:val="22"/>
        </w:rPr>
        <w:t xml:space="preserve">process of planning and review </w:t>
      </w:r>
      <w:r>
        <w:rPr>
          <w:rFonts w:eastAsia="Aptos" w:cs="Aptos"/>
          <w:color w:val="000000" w:themeColor="text1"/>
          <w:szCs w:val="22"/>
        </w:rPr>
        <w:t>would</w:t>
      </w:r>
      <w:r w:rsidRPr="00AC06C7">
        <w:rPr>
          <w:rFonts w:eastAsia="Aptos" w:cs="Aptos"/>
          <w:color w:val="000000" w:themeColor="text1"/>
          <w:szCs w:val="22"/>
        </w:rPr>
        <w:t xml:space="preserve"> provide departments and </w:t>
      </w:r>
      <w:r>
        <w:rPr>
          <w:rFonts w:eastAsia="Aptos" w:cs="Aptos"/>
          <w:color w:val="000000" w:themeColor="text1"/>
          <w:szCs w:val="22"/>
        </w:rPr>
        <w:t>m</w:t>
      </w:r>
      <w:r w:rsidRPr="00AC06C7">
        <w:rPr>
          <w:rFonts w:eastAsia="Aptos" w:cs="Aptos"/>
          <w:color w:val="000000" w:themeColor="text1"/>
          <w:szCs w:val="22"/>
        </w:rPr>
        <w:t xml:space="preserve">inisters </w:t>
      </w:r>
      <w:r w:rsidR="00011686">
        <w:rPr>
          <w:rFonts w:eastAsia="Aptos" w:cs="Aptos"/>
          <w:color w:val="000000" w:themeColor="text1"/>
          <w:szCs w:val="22"/>
        </w:rPr>
        <w:t xml:space="preserve">with the </w:t>
      </w:r>
      <w:r>
        <w:rPr>
          <w:rFonts w:eastAsia="Aptos" w:cs="Aptos"/>
          <w:color w:val="000000" w:themeColor="text1"/>
          <w:szCs w:val="22"/>
        </w:rPr>
        <w:t>opportunity</w:t>
      </w:r>
      <w:r w:rsidRPr="00AC06C7">
        <w:rPr>
          <w:rFonts w:eastAsia="Aptos" w:cs="Aptos"/>
          <w:color w:val="000000" w:themeColor="text1"/>
          <w:szCs w:val="22"/>
        </w:rPr>
        <w:t xml:space="preserve"> to take a candid and strategic view of core roles, objectives and strategies</w:t>
      </w:r>
      <w:r>
        <w:rPr>
          <w:rFonts w:eastAsia="Aptos" w:cs="Aptos"/>
          <w:color w:val="000000" w:themeColor="text1"/>
          <w:szCs w:val="22"/>
        </w:rPr>
        <w:t xml:space="preserve"> and present this to the centre of government</w:t>
      </w:r>
      <w:r w:rsidRPr="00AC06C7">
        <w:rPr>
          <w:rFonts w:eastAsia="Aptos" w:cs="Aptos"/>
          <w:color w:val="000000" w:themeColor="text1"/>
          <w:szCs w:val="22"/>
        </w:rPr>
        <w:t xml:space="preserve">. It </w:t>
      </w:r>
      <w:r>
        <w:rPr>
          <w:rFonts w:eastAsia="Aptos" w:cs="Aptos"/>
          <w:color w:val="000000" w:themeColor="text1"/>
          <w:szCs w:val="22"/>
        </w:rPr>
        <w:t>would provide</w:t>
      </w:r>
      <w:r w:rsidRPr="00AC06C7">
        <w:rPr>
          <w:rFonts w:eastAsia="Aptos" w:cs="Aptos"/>
          <w:color w:val="000000" w:themeColor="text1"/>
          <w:szCs w:val="22"/>
        </w:rPr>
        <w:t xml:space="preserve"> the information needed to make decisions about trade-offs in the allocation of existing and new resources, how performance can be improved over time</w:t>
      </w:r>
      <w:r w:rsidR="004144F6">
        <w:rPr>
          <w:rFonts w:eastAsia="Aptos" w:cs="Aptos"/>
          <w:color w:val="000000" w:themeColor="text1"/>
          <w:szCs w:val="22"/>
        </w:rPr>
        <w:t xml:space="preserve">, </w:t>
      </w:r>
      <w:r w:rsidR="004144F6" w:rsidRPr="007241FD">
        <w:rPr>
          <w:rFonts w:eastAsia="Aptos" w:cs="Aptos"/>
          <w:color w:val="000000" w:themeColor="text1"/>
          <w:szCs w:val="22"/>
        </w:rPr>
        <w:t xml:space="preserve">and how to manage demand </w:t>
      </w:r>
      <w:r w:rsidR="008C136D" w:rsidRPr="007241FD">
        <w:rPr>
          <w:rFonts w:eastAsia="Aptos" w:cs="Aptos"/>
          <w:color w:val="000000" w:themeColor="text1"/>
          <w:szCs w:val="22"/>
        </w:rPr>
        <w:t>sustainab</w:t>
      </w:r>
      <w:r w:rsidR="008C136D">
        <w:rPr>
          <w:rFonts w:eastAsia="Aptos" w:cs="Aptos"/>
          <w:color w:val="000000" w:themeColor="text1"/>
          <w:szCs w:val="22"/>
        </w:rPr>
        <w:t>ly</w:t>
      </w:r>
      <w:r w:rsidR="008C136D" w:rsidRPr="007241FD">
        <w:rPr>
          <w:rFonts w:eastAsia="Aptos" w:cs="Aptos"/>
          <w:color w:val="000000" w:themeColor="text1"/>
          <w:szCs w:val="22"/>
        </w:rPr>
        <w:t xml:space="preserve"> </w:t>
      </w:r>
      <w:r w:rsidR="004144F6" w:rsidRPr="007241FD">
        <w:rPr>
          <w:rFonts w:eastAsia="Aptos" w:cs="Aptos"/>
          <w:color w:val="000000" w:themeColor="text1"/>
          <w:szCs w:val="22"/>
        </w:rPr>
        <w:t>for services.</w:t>
      </w:r>
    </w:p>
    <w:p w14:paraId="25CFCC38" w14:textId="77777777" w:rsidR="00077A28" w:rsidRPr="00AC06C7" w:rsidRDefault="00077A28" w:rsidP="00077A28">
      <w:pPr>
        <w:ind w:left="360"/>
        <w:rPr>
          <w:rFonts w:eastAsia="Aptos" w:cs="Aptos"/>
          <w:color w:val="000000" w:themeColor="text1"/>
          <w:szCs w:val="22"/>
        </w:rPr>
      </w:pPr>
      <w:r w:rsidRPr="00AC06C7">
        <w:rPr>
          <w:rFonts w:eastAsia="Aptos" w:cs="Aptos"/>
          <w:color w:val="000000" w:themeColor="text1"/>
          <w:szCs w:val="22"/>
        </w:rPr>
        <w:t xml:space="preserve">The Review considers that </w:t>
      </w:r>
      <w:r>
        <w:rPr>
          <w:rFonts w:eastAsia="Aptos" w:cs="Aptos"/>
          <w:color w:val="000000" w:themeColor="text1"/>
          <w:szCs w:val="22"/>
        </w:rPr>
        <w:t>practical steps in this new</w:t>
      </w:r>
      <w:r w:rsidRPr="00AC06C7">
        <w:rPr>
          <w:rFonts w:eastAsia="Aptos" w:cs="Aptos"/>
          <w:color w:val="000000" w:themeColor="text1"/>
          <w:szCs w:val="22"/>
        </w:rPr>
        <w:t xml:space="preserve"> process would include:</w:t>
      </w:r>
    </w:p>
    <w:p w14:paraId="2FDA54DD" w14:textId="25F163FC" w:rsidR="00077A28" w:rsidRPr="00AC06C7" w:rsidRDefault="00077A28" w:rsidP="00D207B3">
      <w:pPr>
        <w:pStyle w:val="ListParagraph"/>
        <w:numPr>
          <w:ilvl w:val="0"/>
          <w:numId w:val="5"/>
        </w:numPr>
        <w:contextualSpacing w:val="0"/>
        <w:rPr>
          <w:rFonts w:eastAsia="Aptos" w:cs="Aptos"/>
          <w:color w:val="000000" w:themeColor="text1"/>
          <w:szCs w:val="22"/>
        </w:rPr>
      </w:pPr>
      <w:r>
        <w:rPr>
          <w:rFonts w:eastAsia="Aptos" w:cs="Aptos"/>
          <w:color w:val="000000" w:themeColor="text1"/>
          <w:szCs w:val="22"/>
        </w:rPr>
        <w:t>A</w:t>
      </w:r>
      <w:r w:rsidRPr="00AC06C7">
        <w:rPr>
          <w:rFonts w:eastAsia="Aptos" w:cs="Aptos"/>
          <w:color w:val="000000" w:themeColor="text1"/>
          <w:szCs w:val="22"/>
        </w:rPr>
        <w:t xml:space="preserve"> rolling cycle of planning and review presentations to and discussions with the </w:t>
      </w:r>
      <w:r w:rsidR="00EB034D">
        <w:rPr>
          <w:rFonts w:eastAsia="Aptos" w:cs="Aptos"/>
          <w:color w:val="000000" w:themeColor="text1"/>
          <w:szCs w:val="22"/>
        </w:rPr>
        <w:t xml:space="preserve">government’s </w:t>
      </w:r>
      <w:r w:rsidR="00855DEF">
        <w:rPr>
          <w:rFonts w:eastAsia="Aptos" w:cs="Aptos"/>
          <w:color w:val="000000" w:themeColor="text1"/>
          <w:szCs w:val="22"/>
        </w:rPr>
        <w:t>b</w:t>
      </w:r>
      <w:r>
        <w:rPr>
          <w:rFonts w:eastAsia="Aptos" w:cs="Aptos"/>
          <w:color w:val="000000" w:themeColor="text1"/>
          <w:szCs w:val="22"/>
        </w:rPr>
        <w:t xml:space="preserve">udget </w:t>
      </w:r>
      <w:r w:rsidR="00E72356">
        <w:rPr>
          <w:rFonts w:eastAsia="Aptos" w:cs="Aptos"/>
          <w:color w:val="000000" w:themeColor="text1"/>
          <w:szCs w:val="22"/>
        </w:rPr>
        <w:t>c</w:t>
      </w:r>
      <w:r>
        <w:rPr>
          <w:rFonts w:eastAsia="Aptos" w:cs="Aptos"/>
          <w:color w:val="000000" w:themeColor="text1"/>
          <w:szCs w:val="22"/>
        </w:rPr>
        <w:t>ommittee</w:t>
      </w:r>
      <w:r w:rsidRPr="00AC06C7">
        <w:rPr>
          <w:rFonts w:eastAsia="Aptos" w:cs="Aptos"/>
          <w:color w:val="000000" w:themeColor="text1"/>
          <w:szCs w:val="22"/>
        </w:rPr>
        <w:t>, outlining core services, performance data</w:t>
      </w:r>
      <w:r>
        <w:rPr>
          <w:rFonts w:eastAsia="Aptos" w:cs="Aptos"/>
          <w:color w:val="000000" w:themeColor="text1"/>
          <w:szCs w:val="22"/>
        </w:rPr>
        <w:t xml:space="preserve">, </w:t>
      </w:r>
      <w:r w:rsidRPr="00AC06C7">
        <w:rPr>
          <w:rFonts w:eastAsia="Aptos" w:cs="Aptos"/>
          <w:color w:val="000000" w:themeColor="text1"/>
          <w:szCs w:val="22"/>
        </w:rPr>
        <w:t xml:space="preserve">proposed strategies for managing demand pressures </w:t>
      </w:r>
      <w:r w:rsidRPr="00AC06C7">
        <w:rPr>
          <w:rFonts w:eastAsia="Aptos" w:cs="Aptos"/>
          <w:color w:val="000000" w:themeColor="text1"/>
          <w:szCs w:val="22"/>
        </w:rPr>
        <w:t>and delivering more efficient and effective services within budget</w:t>
      </w:r>
      <w:r w:rsidR="00E52142">
        <w:rPr>
          <w:rFonts w:eastAsia="Aptos" w:cs="Aptos"/>
          <w:color w:val="000000" w:themeColor="text1"/>
          <w:szCs w:val="22"/>
        </w:rPr>
        <w:t>. T</w:t>
      </w:r>
      <w:r w:rsidRPr="008C6577">
        <w:rPr>
          <w:rFonts w:eastAsia="Aptos" w:cs="Aptos"/>
          <w:color w:val="000000" w:themeColor="text1"/>
          <w:szCs w:val="22"/>
        </w:rPr>
        <w:t xml:space="preserve">his should </w:t>
      </w:r>
      <w:r w:rsidR="00E52142">
        <w:rPr>
          <w:rFonts w:eastAsia="Aptos" w:cs="Aptos"/>
          <w:color w:val="000000" w:themeColor="text1"/>
          <w:szCs w:val="22"/>
        </w:rPr>
        <w:t xml:space="preserve">any </w:t>
      </w:r>
      <w:r w:rsidRPr="008C6577">
        <w:rPr>
          <w:rFonts w:eastAsia="Aptos" w:cs="Aptos"/>
          <w:color w:val="000000" w:themeColor="text1"/>
          <w:szCs w:val="22"/>
        </w:rPr>
        <w:t>include</w:t>
      </w:r>
      <w:r>
        <w:rPr>
          <w:rFonts w:eastAsia="Aptos" w:cs="Aptos"/>
          <w:color w:val="000000" w:themeColor="text1"/>
          <w:szCs w:val="22"/>
        </w:rPr>
        <w:t xml:space="preserve"> election commitments</w:t>
      </w:r>
      <w:r w:rsidR="00E52142">
        <w:rPr>
          <w:rFonts w:eastAsia="Aptos" w:cs="Aptos"/>
          <w:color w:val="000000" w:themeColor="text1"/>
          <w:szCs w:val="22"/>
        </w:rPr>
        <w:t>,</w:t>
      </w:r>
      <w:r>
        <w:rPr>
          <w:rFonts w:eastAsia="Aptos" w:cs="Aptos"/>
          <w:color w:val="000000" w:themeColor="text1"/>
          <w:szCs w:val="22"/>
        </w:rPr>
        <w:t xml:space="preserve"> national partnership agreements and </w:t>
      </w:r>
      <w:r w:rsidRPr="008C6577">
        <w:rPr>
          <w:rFonts w:eastAsia="Aptos" w:cs="Aptos"/>
          <w:color w:val="000000" w:themeColor="text1"/>
          <w:szCs w:val="22"/>
        </w:rPr>
        <w:t>asset management plans</w:t>
      </w:r>
      <w:r w:rsidRPr="00AC06C7">
        <w:rPr>
          <w:rFonts w:eastAsia="Aptos" w:cs="Aptos"/>
          <w:color w:val="000000" w:themeColor="text1"/>
          <w:szCs w:val="22"/>
        </w:rPr>
        <w:t>.</w:t>
      </w:r>
      <w:r>
        <w:rPr>
          <w:rFonts w:eastAsia="Aptos" w:cs="Aptos"/>
          <w:color w:val="000000" w:themeColor="text1"/>
          <w:szCs w:val="22"/>
        </w:rPr>
        <w:t xml:space="preserve"> </w:t>
      </w:r>
      <w:r w:rsidRPr="00AC06C7">
        <w:rPr>
          <w:rFonts w:eastAsia="Aptos" w:cs="Aptos"/>
          <w:color w:val="000000" w:themeColor="text1"/>
          <w:szCs w:val="22"/>
        </w:rPr>
        <w:t xml:space="preserve">These should be led by the relevant departmental Secretary and lead portfolio </w:t>
      </w:r>
      <w:r>
        <w:rPr>
          <w:rFonts w:eastAsia="Aptos" w:cs="Aptos"/>
          <w:color w:val="000000" w:themeColor="text1"/>
          <w:szCs w:val="22"/>
        </w:rPr>
        <w:t>m</w:t>
      </w:r>
      <w:r w:rsidRPr="00AC06C7">
        <w:rPr>
          <w:rFonts w:eastAsia="Aptos" w:cs="Aptos"/>
          <w:color w:val="000000" w:themeColor="text1"/>
          <w:szCs w:val="22"/>
        </w:rPr>
        <w:t xml:space="preserve">inister. The </w:t>
      </w:r>
      <w:r>
        <w:rPr>
          <w:rFonts w:eastAsia="Aptos" w:cs="Aptos"/>
          <w:color w:val="000000" w:themeColor="text1"/>
          <w:szCs w:val="22"/>
        </w:rPr>
        <w:t xml:space="preserve">work to develop the presentation </w:t>
      </w:r>
      <w:r w:rsidRPr="00AC06C7">
        <w:rPr>
          <w:rFonts w:eastAsia="Aptos" w:cs="Aptos"/>
          <w:color w:val="000000" w:themeColor="text1"/>
          <w:szCs w:val="22"/>
        </w:rPr>
        <w:t>should be led (and undertaken in-house</w:t>
      </w:r>
      <w:r>
        <w:rPr>
          <w:rFonts w:eastAsia="Aptos" w:cs="Aptos"/>
          <w:color w:val="000000" w:themeColor="text1"/>
          <w:szCs w:val="22"/>
        </w:rPr>
        <w:t>, not by consultants</w:t>
      </w:r>
      <w:r w:rsidRPr="00AC06C7">
        <w:rPr>
          <w:rFonts w:eastAsia="Aptos" w:cs="Aptos"/>
          <w:color w:val="000000" w:themeColor="text1"/>
          <w:szCs w:val="22"/>
        </w:rPr>
        <w:t xml:space="preserve">) by the relevant department, in consultation with DTF and DPC. </w:t>
      </w:r>
    </w:p>
    <w:p w14:paraId="65F677ED" w14:textId="5C9A1B89" w:rsidR="00077A28" w:rsidRPr="00AC06C7" w:rsidRDefault="00077A28" w:rsidP="00D207B3">
      <w:pPr>
        <w:pStyle w:val="ListParagraph"/>
        <w:numPr>
          <w:ilvl w:val="0"/>
          <w:numId w:val="5"/>
        </w:numPr>
        <w:contextualSpacing w:val="0"/>
        <w:rPr>
          <w:rFonts w:eastAsia="Aptos" w:cs="Aptos"/>
          <w:color w:val="000000" w:themeColor="text1"/>
          <w:szCs w:val="22"/>
        </w:rPr>
      </w:pPr>
      <w:r>
        <w:rPr>
          <w:rFonts w:eastAsia="Aptos" w:cs="Aptos"/>
          <w:color w:val="000000" w:themeColor="text1"/>
          <w:szCs w:val="22"/>
        </w:rPr>
        <w:t>O</w:t>
      </w:r>
      <w:r w:rsidRPr="00AC06C7">
        <w:rPr>
          <w:rFonts w:eastAsia="Aptos" w:cs="Aptos"/>
          <w:color w:val="000000" w:themeColor="text1"/>
          <w:szCs w:val="22"/>
        </w:rPr>
        <w:t xml:space="preserve">ne large </w:t>
      </w:r>
      <w:r>
        <w:rPr>
          <w:rFonts w:eastAsia="Aptos" w:cs="Aptos"/>
          <w:color w:val="000000" w:themeColor="text1"/>
          <w:szCs w:val="22"/>
        </w:rPr>
        <w:t>d</w:t>
      </w:r>
      <w:r w:rsidRPr="00AC06C7">
        <w:rPr>
          <w:rFonts w:eastAsia="Aptos" w:cs="Aptos"/>
          <w:color w:val="000000" w:themeColor="text1"/>
          <w:szCs w:val="22"/>
        </w:rPr>
        <w:t>epartment (e.g. D</w:t>
      </w:r>
      <w:r w:rsidR="0086044D">
        <w:rPr>
          <w:rFonts w:eastAsia="Aptos" w:cs="Aptos"/>
          <w:color w:val="000000" w:themeColor="text1"/>
          <w:szCs w:val="22"/>
        </w:rPr>
        <w:t>epartment of Health,</w:t>
      </w:r>
      <w:r w:rsidRPr="00AC06C7">
        <w:rPr>
          <w:rFonts w:eastAsia="Aptos" w:cs="Aptos"/>
          <w:color w:val="000000" w:themeColor="text1"/>
          <w:szCs w:val="22"/>
        </w:rPr>
        <w:t xml:space="preserve"> DH)</w:t>
      </w:r>
      <w:r>
        <w:rPr>
          <w:rFonts w:eastAsia="Aptos" w:cs="Aptos"/>
          <w:color w:val="000000" w:themeColor="text1"/>
          <w:szCs w:val="22"/>
        </w:rPr>
        <w:t>,</w:t>
      </w:r>
      <w:r w:rsidRPr="00AC06C7">
        <w:rPr>
          <w:rFonts w:eastAsia="Aptos" w:cs="Aptos"/>
          <w:color w:val="000000" w:themeColor="text1"/>
          <w:szCs w:val="22"/>
        </w:rPr>
        <w:t xml:space="preserve"> one</w:t>
      </w:r>
      <w:r w:rsidR="00E447D0">
        <w:rPr>
          <w:rFonts w:eastAsia="Aptos" w:cs="Aptos"/>
          <w:color w:val="000000" w:themeColor="text1"/>
          <w:szCs w:val="22"/>
        </w:rPr>
        <w:t> </w:t>
      </w:r>
      <w:r w:rsidRPr="00AC06C7">
        <w:rPr>
          <w:rFonts w:eastAsia="Aptos" w:cs="Aptos"/>
          <w:color w:val="000000" w:themeColor="text1"/>
          <w:szCs w:val="22"/>
        </w:rPr>
        <w:t>medium</w:t>
      </w:r>
      <w:r w:rsidRPr="00FF5A6B">
        <w:rPr>
          <w:rFonts w:eastAsia="Aptos" w:cs="Aptos"/>
          <w:color w:val="000000" w:themeColor="text1"/>
          <w:szCs w:val="22"/>
        </w:rPr>
        <w:t xml:space="preserve"> </w:t>
      </w:r>
      <w:r>
        <w:rPr>
          <w:rFonts w:eastAsia="Aptos" w:cs="Aptos"/>
          <w:color w:val="000000" w:themeColor="text1"/>
          <w:szCs w:val="22"/>
        </w:rPr>
        <w:t xml:space="preserve">department </w:t>
      </w:r>
      <w:r w:rsidRPr="00AC06C7">
        <w:rPr>
          <w:rFonts w:eastAsia="Aptos" w:cs="Aptos"/>
          <w:color w:val="000000" w:themeColor="text1"/>
          <w:szCs w:val="22"/>
        </w:rPr>
        <w:t xml:space="preserve">(e.g. </w:t>
      </w:r>
      <w:r w:rsidR="00EB7B81">
        <w:rPr>
          <w:rFonts w:eastAsia="Aptos" w:cs="Aptos"/>
          <w:color w:val="000000" w:themeColor="text1"/>
          <w:szCs w:val="22"/>
        </w:rPr>
        <w:t xml:space="preserve">Department of Transport and Planning, </w:t>
      </w:r>
      <w:r w:rsidRPr="00AC06C7">
        <w:rPr>
          <w:rFonts w:eastAsia="Aptos" w:cs="Aptos"/>
          <w:color w:val="000000" w:themeColor="text1"/>
          <w:szCs w:val="22"/>
        </w:rPr>
        <w:t xml:space="preserve">DTP) and one </w:t>
      </w:r>
      <w:r>
        <w:rPr>
          <w:rFonts w:eastAsia="Aptos" w:cs="Aptos"/>
          <w:color w:val="000000" w:themeColor="text1"/>
          <w:szCs w:val="22"/>
        </w:rPr>
        <w:t xml:space="preserve">relatively </w:t>
      </w:r>
      <w:r w:rsidRPr="00AC06C7">
        <w:rPr>
          <w:rFonts w:eastAsia="Aptos" w:cs="Aptos"/>
          <w:color w:val="000000" w:themeColor="text1"/>
          <w:szCs w:val="22"/>
        </w:rPr>
        <w:t xml:space="preserve">smaller </w:t>
      </w:r>
      <w:r>
        <w:rPr>
          <w:rFonts w:eastAsia="Aptos" w:cs="Aptos"/>
          <w:color w:val="000000" w:themeColor="text1"/>
          <w:szCs w:val="22"/>
        </w:rPr>
        <w:t xml:space="preserve">department </w:t>
      </w:r>
      <w:r w:rsidRPr="00AC06C7">
        <w:rPr>
          <w:rFonts w:eastAsia="Aptos" w:cs="Aptos"/>
          <w:color w:val="000000" w:themeColor="text1"/>
          <w:szCs w:val="22"/>
        </w:rPr>
        <w:t>(e.g.</w:t>
      </w:r>
      <w:r>
        <w:rPr>
          <w:rFonts w:eastAsia="Aptos" w:cs="Aptos"/>
          <w:color w:val="000000" w:themeColor="text1"/>
          <w:szCs w:val="22"/>
        </w:rPr>
        <w:t> </w:t>
      </w:r>
      <w:r w:rsidRPr="00AC06C7">
        <w:rPr>
          <w:rFonts w:eastAsia="Aptos" w:cs="Aptos"/>
          <w:color w:val="000000" w:themeColor="text1"/>
          <w:szCs w:val="22"/>
        </w:rPr>
        <w:t xml:space="preserve">DEECA) could be the </w:t>
      </w:r>
      <w:r>
        <w:rPr>
          <w:rFonts w:eastAsia="Aptos" w:cs="Aptos"/>
          <w:color w:val="000000" w:themeColor="text1"/>
          <w:szCs w:val="22"/>
        </w:rPr>
        <w:t xml:space="preserve">subject </w:t>
      </w:r>
      <w:r w:rsidR="00EC7F5A">
        <w:rPr>
          <w:rFonts w:eastAsia="Aptos" w:cs="Aptos"/>
          <w:color w:val="000000" w:themeColor="text1"/>
          <w:szCs w:val="22"/>
        </w:rPr>
        <w:t>of</w:t>
      </w:r>
      <w:r>
        <w:rPr>
          <w:rFonts w:eastAsia="Aptos" w:cs="Aptos"/>
          <w:color w:val="000000" w:themeColor="text1"/>
          <w:szCs w:val="22"/>
        </w:rPr>
        <w:t xml:space="preserve"> planning and review</w:t>
      </w:r>
      <w:r w:rsidRPr="00AC06C7">
        <w:rPr>
          <w:rFonts w:eastAsia="Aptos" w:cs="Aptos"/>
          <w:color w:val="000000" w:themeColor="text1"/>
          <w:szCs w:val="22"/>
        </w:rPr>
        <w:t xml:space="preserve"> for the first year of a new process</w:t>
      </w:r>
      <w:r>
        <w:rPr>
          <w:rFonts w:eastAsia="Aptos" w:cs="Aptos"/>
          <w:color w:val="000000" w:themeColor="text1"/>
          <w:szCs w:val="22"/>
        </w:rPr>
        <w:t xml:space="preserve"> </w:t>
      </w:r>
      <w:r w:rsidRPr="007241FD">
        <w:rPr>
          <w:rFonts w:eastAsia="Aptos" w:cs="Aptos"/>
          <w:color w:val="000000" w:themeColor="text1"/>
          <w:szCs w:val="22"/>
        </w:rPr>
        <w:t>– in 2025</w:t>
      </w:r>
      <w:r w:rsidR="00DB291B" w:rsidRPr="007241FD">
        <w:rPr>
          <w:rFonts w:eastAsia="Aptos" w:cs="Aptos"/>
          <w:color w:val="000000" w:themeColor="text1"/>
          <w:szCs w:val="22"/>
        </w:rPr>
        <w:t>–</w:t>
      </w:r>
      <w:r w:rsidRPr="007241FD">
        <w:rPr>
          <w:rFonts w:eastAsia="Aptos" w:cs="Aptos"/>
          <w:color w:val="000000" w:themeColor="text1"/>
          <w:szCs w:val="22"/>
        </w:rPr>
        <w:t>26</w:t>
      </w:r>
      <w:r w:rsidRPr="00AC06C7">
        <w:rPr>
          <w:rFonts w:eastAsia="Aptos" w:cs="Aptos"/>
          <w:color w:val="000000" w:themeColor="text1"/>
          <w:szCs w:val="22"/>
        </w:rPr>
        <w:t xml:space="preserve">. </w:t>
      </w:r>
      <w:r>
        <w:rPr>
          <w:rFonts w:eastAsia="Aptos" w:cs="Aptos"/>
          <w:color w:val="000000" w:themeColor="text1"/>
          <w:szCs w:val="22"/>
        </w:rPr>
        <w:t xml:space="preserve">DTF could advise on </w:t>
      </w:r>
      <w:r w:rsidRPr="007241FD">
        <w:rPr>
          <w:rFonts w:eastAsia="Aptos" w:cs="Aptos"/>
          <w:color w:val="000000" w:themeColor="text1"/>
          <w:szCs w:val="22"/>
        </w:rPr>
        <w:t>priority non-departmental entities for the rolling cycle</w:t>
      </w:r>
      <w:r>
        <w:rPr>
          <w:rFonts w:eastAsia="Aptos" w:cs="Aptos"/>
          <w:color w:val="000000" w:themeColor="text1"/>
          <w:szCs w:val="22"/>
        </w:rPr>
        <w:t xml:space="preserve"> over the next 4</w:t>
      </w:r>
      <w:r w:rsidR="008F6664">
        <w:rPr>
          <w:rFonts w:eastAsia="Aptos" w:cs="Aptos"/>
          <w:color w:val="000000" w:themeColor="text1"/>
          <w:szCs w:val="22"/>
        </w:rPr>
        <w:t> </w:t>
      </w:r>
      <w:r>
        <w:rPr>
          <w:rFonts w:eastAsia="Aptos" w:cs="Aptos"/>
          <w:color w:val="000000" w:themeColor="text1"/>
          <w:szCs w:val="22"/>
        </w:rPr>
        <w:t>years.</w:t>
      </w:r>
    </w:p>
    <w:p w14:paraId="3B63B08A" w14:textId="3A36C3CA" w:rsidR="00077A28" w:rsidRPr="00AC06C7" w:rsidRDefault="00077A28" w:rsidP="00D207B3">
      <w:pPr>
        <w:pStyle w:val="ListParagraph"/>
        <w:numPr>
          <w:ilvl w:val="0"/>
          <w:numId w:val="5"/>
        </w:numPr>
        <w:contextualSpacing w:val="0"/>
        <w:rPr>
          <w:rFonts w:eastAsia="Aptos" w:cs="Aptos"/>
          <w:color w:val="000000" w:themeColor="text1"/>
          <w:szCs w:val="22"/>
        </w:rPr>
      </w:pPr>
      <w:r w:rsidRPr="00AC06C7">
        <w:rPr>
          <w:rFonts w:eastAsia="Aptos" w:cs="Aptos"/>
          <w:color w:val="000000" w:themeColor="text1"/>
          <w:szCs w:val="22"/>
        </w:rPr>
        <w:t xml:space="preserve">All departments </w:t>
      </w:r>
      <w:r>
        <w:rPr>
          <w:rFonts w:eastAsia="Aptos" w:cs="Aptos"/>
          <w:color w:val="000000" w:themeColor="text1"/>
          <w:szCs w:val="22"/>
        </w:rPr>
        <w:t xml:space="preserve">and large non-departmental </w:t>
      </w:r>
      <w:r w:rsidRPr="00AC06C7">
        <w:rPr>
          <w:rFonts w:eastAsia="Aptos" w:cs="Aptos"/>
          <w:color w:val="000000" w:themeColor="text1"/>
          <w:szCs w:val="22"/>
        </w:rPr>
        <w:t xml:space="preserve">entities would present at least once in a </w:t>
      </w:r>
      <w:r w:rsidR="001751B7">
        <w:rPr>
          <w:rFonts w:eastAsia="Aptos" w:cs="Aptos"/>
          <w:color w:val="000000" w:themeColor="text1"/>
          <w:szCs w:val="22"/>
        </w:rPr>
        <w:t>4</w:t>
      </w:r>
      <w:r w:rsidR="00EA7B96">
        <w:rPr>
          <w:rFonts w:eastAsia="Aptos" w:cs="Aptos"/>
          <w:color w:val="000000" w:themeColor="text1"/>
          <w:szCs w:val="22"/>
        </w:rPr>
        <w:noBreakHyphen/>
      </w:r>
      <w:r w:rsidRPr="00AC06C7">
        <w:rPr>
          <w:rFonts w:eastAsia="Aptos" w:cs="Aptos"/>
          <w:color w:val="000000" w:themeColor="text1"/>
          <w:szCs w:val="22"/>
        </w:rPr>
        <w:t>year</w:t>
      </w:r>
      <w:r w:rsidR="00EA7B96">
        <w:rPr>
          <w:rFonts w:eastAsia="Aptos" w:cs="Aptos"/>
          <w:color w:val="000000" w:themeColor="text1"/>
          <w:szCs w:val="22"/>
        </w:rPr>
        <w:t> </w:t>
      </w:r>
      <w:r w:rsidRPr="00AC06C7">
        <w:rPr>
          <w:rFonts w:eastAsia="Aptos" w:cs="Aptos"/>
          <w:color w:val="000000" w:themeColor="text1"/>
          <w:szCs w:val="22"/>
        </w:rPr>
        <w:t>cycle.</w:t>
      </w:r>
    </w:p>
    <w:p w14:paraId="3B8C3C01" w14:textId="2A75CF0A" w:rsidR="001E1514" w:rsidRDefault="00077A28" w:rsidP="00077A28">
      <w:pPr>
        <w:rPr>
          <w:rFonts w:eastAsia="Aptos" w:cs="Aptos"/>
          <w:color w:val="000000" w:themeColor="text1"/>
        </w:rPr>
      </w:pPr>
      <w:r w:rsidRPr="008F59F7">
        <w:rPr>
          <w:rFonts w:eastAsia="Aptos" w:cs="Aptos"/>
          <w:color w:val="000000" w:themeColor="text1"/>
        </w:rPr>
        <w:t>In the limited time available for the Review, deep base review analysis of all departments was not possible</w:t>
      </w:r>
      <w:r w:rsidR="000C1227">
        <w:rPr>
          <w:rFonts w:eastAsia="Aptos" w:cs="Aptos"/>
          <w:color w:val="000000" w:themeColor="text1"/>
        </w:rPr>
        <w:t>.</w:t>
      </w:r>
      <w:r w:rsidRPr="008F59F7">
        <w:rPr>
          <w:rFonts w:eastAsia="Aptos" w:cs="Aptos"/>
          <w:color w:val="000000" w:themeColor="text1"/>
        </w:rPr>
        <w:t xml:space="preserve"> </w:t>
      </w:r>
      <w:r w:rsidR="000C1227">
        <w:rPr>
          <w:rFonts w:eastAsia="Aptos" w:cs="Aptos"/>
          <w:color w:val="000000" w:themeColor="text1"/>
        </w:rPr>
        <w:t>T</w:t>
      </w:r>
      <w:r w:rsidRPr="008F59F7">
        <w:rPr>
          <w:rFonts w:eastAsia="Aptos" w:cs="Aptos"/>
          <w:color w:val="000000" w:themeColor="text1"/>
        </w:rPr>
        <w:t xml:space="preserve">he case study </w:t>
      </w:r>
      <w:r w:rsidRPr="008F59F7">
        <w:rPr>
          <w:rFonts w:eastAsia="Aptos" w:cs="Aptos"/>
          <w:color w:val="000000" w:themeColor="text1"/>
          <w:szCs w:val="22"/>
        </w:rPr>
        <w:t xml:space="preserve">of DH in Box 3.1 </w:t>
      </w:r>
      <w:r w:rsidRPr="008F59F7">
        <w:rPr>
          <w:rFonts w:eastAsia="Aptos" w:cs="Aptos"/>
          <w:color w:val="000000" w:themeColor="text1"/>
        </w:rPr>
        <w:t>demonstrates the rich opportunities that exist for</w:t>
      </w:r>
      <w:r w:rsidRPr="008F59F7">
        <w:rPr>
          <w:rFonts w:eastAsia="Aptos" w:cs="Aptos"/>
          <w:color w:val="000000" w:themeColor="text1"/>
          <w:szCs w:val="22"/>
        </w:rPr>
        <w:t xml:space="preserve"> a new planning and review approach. DH was chosen because it is </w:t>
      </w:r>
      <w:r w:rsidR="00EC7F5A">
        <w:rPr>
          <w:rFonts w:eastAsia="Aptos" w:cs="Aptos"/>
          <w:color w:val="000000" w:themeColor="text1"/>
          <w:szCs w:val="22"/>
        </w:rPr>
        <w:t xml:space="preserve">a </w:t>
      </w:r>
      <w:r w:rsidRPr="008F59F7">
        <w:rPr>
          <w:rFonts w:eastAsia="Aptos" w:cs="Aptos"/>
          <w:color w:val="000000" w:themeColor="text1"/>
          <w:szCs w:val="22"/>
        </w:rPr>
        <w:t>significant part of the</w:t>
      </w:r>
      <w:r w:rsidR="001729A7">
        <w:rPr>
          <w:rFonts w:eastAsia="Aptos" w:cs="Aptos"/>
          <w:color w:val="000000" w:themeColor="text1"/>
          <w:szCs w:val="22"/>
        </w:rPr>
        <w:t> </w:t>
      </w:r>
      <w:r w:rsidR="00726FBA">
        <w:rPr>
          <w:rFonts w:eastAsia="Aptos" w:cs="Aptos"/>
          <w:color w:val="000000" w:themeColor="text1"/>
          <w:szCs w:val="22"/>
        </w:rPr>
        <w:t xml:space="preserve">overall </w:t>
      </w:r>
      <w:r w:rsidRPr="008F59F7">
        <w:rPr>
          <w:rFonts w:eastAsia="Aptos" w:cs="Aptos"/>
          <w:color w:val="000000" w:themeColor="text1"/>
          <w:szCs w:val="22"/>
        </w:rPr>
        <w:t xml:space="preserve">Victorian </w:t>
      </w:r>
      <w:r w:rsidR="00726FBA">
        <w:rPr>
          <w:rFonts w:eastAsia="Aptos" w:cs="Aptos"/>
          <w:color w:val="000000" w:themeColor="text1"/>
          <w:szCs w:val="22"/>
        </w:rPr>
        <w:t>operating</w:t>
      </w:r>
      <w:r w:rsidRPr="008F59F7">
        <w:rPr>
          <w:rFonts w:eastAsia="Aptos" w:cs="Aptos"/>
          <w:color w:val="000000" w:themeColor="text1"/>
          <w:szCs w:val="22"/>
        </w:rPr>
        <w:t xml:space="preserve"> budget</w:t>
      </w:r>
      <w:r w:rsidRPr="008F59F7">
        <w:rPr>
          <w:rFonts w:eastAsia="Aptos" w:cs="Aptos"/>
          <w:color w:val="000000" w:themeColor="text1"/>
        </w:rPr>
        <w:t>.</w:t>
      </w:r>
    </w:p>
    <w:p w14:paraId="623768C9" w14:textId="77777777" w:rsidR="00DC3249" w:rsidRDefault="00DC3249" w:rsidP="007D0BE6">
      <w:pPr>
        <w:spacing w:before="60"/>
        <w:rPr>
          <w:rFonts w:eastAsia="Aptos" w:cs="Aptos"/>
          <w:b/>
          <w:bCs/>
          <w:color w:val="000000" w:themeColor="text1"/>
          <w:szCs w:val="22"/>
        </w:rPr>
        <w:sectPr w:rsidR="00DC3249" w:rsidSect="00DC3249">
          <w:type w:val="continuous"/>
          <w:pgSz w:w="11906" w:h="16838"/>
          <w:pgMar w:top="1440" w:right="1440" w:bottom="1440" w:left="1440" w:header="708" w:footer="708" w:gutter="0"/>
          <w:cols w:num="2" w:space="708"/>
          <w:docGrid w:linePitch="360"/>
          <w15:footnoteColumns w:val="1"/>
        </w:sectPr>
      </w:pPr>
    </w:p>
    <w:p w14:paraId="798076F8" w14:textId="77777777" w:rsidR="00DC3249" w:rsidRDefault="00DC3249">
      <w:r>
        <w:br w:type="page"/>
      </w:r>
    </w:p>
    <w:tbl>
      <w:tblPr>
        <w:tblStyle w:val="TableGrid"/>
        <w:tblW w:w="0" w:type="auto"/>
        <w:shd w:val="clear" w:color="auto" w:fill="E7E6E6"/>
        <w:tblLook w:val="04A0" w:firstRow="1" w:lastRow="0" w:firstColumn="1" w:lastColumn="0" w:noHBand="0" w:noVBand="1"/>
      </w:tblPr>
      <w:tblGrid>
        <w:gridCol w:w="8996"/>
      </w:tblGrid>
      <w:tr w:rsidR="00077A28" w14:paraId="3332DDFE" w14:textId="77777777" w:rsidTr="0067567E">
        <w:tc>
          <w:tcPr>
            <w:tcW w:w="93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cPr>
          <w:p w14:paraId="7AA51CDE" w14:textId="02BBCBA7" w:rsidR="00077A28" w:rsidRPr="00FF0B57" w:rsidRDefault="00077A28" w:rsidP="006E3219">
            <w:pPr>
              <w:spacing w:before="120" w:after="160" w:line="278" w:lineRule="auto"/>
              <w:rPr>
                <w:rFonts w:eastAsia="Aptos" w:cs="Aptos"/>
                <w:b/>
                <w:bCs/>
                <w:color w:val="000000" w:themeColor="text1"/>
                <w:szCs w:val="22"/>
                <w:lang w:val="en-AU"/>
              </w:rPr>
            </w:pPr>
            <w:r w:rsidRPr="00FF0B57">
              <w:rPr>
                <w:rFonts w:eastAsia="Aptos" w:cs="Aptos"/>
                <w:b/>
                <w:bCs/>
                <w:color w:val="000000" w:themeColor="text1"/>
                <w:szCs w:val="22"/>
                <w:lang w:val="en-AU"/>
              </w:rPr>
              <w:lastRenderedPageBreak/>
              <w:t xml:space="preserve">Box </w:t>
            </w:r>
            <w:r>
              <w:rPr>
                <w:rFonts w:eastAsia="Aptos" w:cs="Aptos"/>
                <w:b/>
                <w:bCs/>
                <w:color w:val="000000" w:themeColor="text1"/>
                <w:szCs w:val="22"/>
                <w:lang w:val="en-AU"/>
              </w:rPr>
              <w:t>3</w:t>
            </w:r>
            <w:r w:rsidRPr="00FF0B57">
              <w:rPr>
                <w:rFonts w:eastAsia="Aptos" w:cs="Aptos"/>
                <w:b/>
                <w:bCs/>
                <w:color w:val="000000" w:themeColor="text1"/>
                <w:szCs w:val="22"/>
                <w:lang w:val="en-AU"/>
              </w:rPr>
              <w:t>.1: Case study – Department of Health</w:t>
            </w:r>
            <w:r>
              <w:rPr>
                <w:rFonts w:eastAsia="Aptos" w:cs="Aptos"/>
                <w:b/>
                <w:bCs/>
                <w:color w:val="000000" w:themeColor="text1"/>
                <w:szCs w:val="22"/>
                <w:lang w:val="en-AU"/>
              </w:rPr>
              <w:t xml:space="preserve"> </w:t>
            </w:r>
          </w:p>
          <w:p w14:paraId="2B516829" w14:textId="081AB943" w:rsidR="00077A28" w:rsidRPr="005D50F8" w:rsidRDefault="00077A28" w:rsidP="00352512">
            <w:pPr>
              <w:spacing w:after="160" w:line="278" w:lineRule="auto"/>
              <w:rPr>
                <w:rFonts w:eastAsia="Aptos" w:cs="Aptos"/>
                <w:color w:val="000000" w:themeColor="text1"/>
                <w:szCs w:val="22"/>
                <w:lang w:val="en-AU"/>
              </w:rPr>
            </w:pPr>
            <w:r w:rsidRPr="005D50F8">
              <w:rPr>
                <w:rFonts w:eastAsia="Aptos" w:cs="Aptos"/>
                <w:color w:val="000000" w:themeColor="text1"/>
                <w:szCs w:val="22"/>
                <w:lang w:val="en-AU"/>
              </w:rPr>
              <w:t>DH is responsible for developing and delivering policies, programs and services that support, protect and enhance the health, wellbeing and safety of all Victorians. It oversees the ministerial portfolios of Health, Mental Health, Health Infrastructure, Ambulance Services, Children and Ageing. </w:t>
            </w:r>
          </w:p>
          <w:p w14:paraId="760F180D" w14:textId="77777777" w:rsidR="003944B8" w:rsidRDefault="00077A28" w:rsidP="002D1165">
            <w:pPr>
              <w:spacing w:after="160" w:line="278" w:lineRule="auto"/>
              <w:rPr>
                <w:rFonts w:eastAsia="Aptos" w:cs="Aptos"/>
                <w:color w:val="000000" w:themeColor="text1"/>
              </w:rPr>
            </w:pPr>
            <w:r w:rsidRPr="75D564D1">
              <w:rPr>
                <w:rFonts w:eastAsia="Aptos" w:cs="Aptos"/>
                <w:color w:val="000000" w:themeColor="text1"/>
              </w:rPr>
              <w:t>Victorian health spending has increased over the past 10 years, with real per capita state health expenditure increasing by 39 per cent in Victoria since 2014-15 (</w:t>
            </w:r>
            <w:r w:rsidR="009C16EE" w:rsidRPr="00511704">
              <w:rPr>
                <w:color w:val="000000" w:themeColor="text1"/>
                <w:szCs w:val="22"/>
              </w:rPr>
              <w:t xml:space="preserve">Figure </w:t>
            </w:r>
            <w:r w:rsidR="009C16EE">
              <w:rPr>
                <w:color w:val="000000" w:themeColor="text1"/>
                <w:szCs w:val="22"/>
              </w:rPr>
              <w:t>3.</w:t>
            </w:r>
            <w:r w:rsidR="009C16EE">
              <w:rPr>
                <w:noProof/>
                <w:color w:val="000000" w:themeColor="text1"/>
                <w:szCs w:val="22"/>
              </w:rPr>
              <w:t>2</w:t>
            </w:r>
            <w:r w:rsidRPr="75D564D1">
              <w:rPr>
                <w:rFonts w:eastAsia="Aptos" w:cs="Aptos"/>
                <w:color w:val="000000" w:themeColor="text1"/>
              </w:rPr>
              <w:t>).</w:t>
            </w:r>
            <w:r>
              <w:rPr>
                <w:rFonts w:eastAsia="Aptos" w:cs="Aptos"/>
                <w:color w:val="000000" w:themeColor="text1"/>
              </w:rPr>
              <w:t xml:space="preserve"> </w:t>
            </w:r>
            <w:r w:rsidRPr="75D564D1">
              <w:rPr>
                <w:rFonts w:eastAsia="Aptos" w:cs="Aptos"/>
                <w:color w:val="000000" w:themeColor="text1"/>
              </w:rPr>
              <w:t>Victoria spends more on health than NSW per capita – with annual spend per capita at $4,</w:t>
            </w:r>
            <w:r>
              <w:rPr>
                <w:rFonts w:eastAsia="Aptos" w:cs="Aptos"/>
                <w:color w:val="000000" w:themeColor="text1"/>
              </w:rPr>
              <w:t>200</w:t>
            </w:r>
            <w:r w:rsidRPr="75D564D1">
              <w:rPr>
                <w:rFonts w:eastAsia="Aptos" w:cs="Aptos"/>
                <w:color w:val="000000" w:themeColor="text1"/>
              </w:rPr>
              <w:t xml:space="preserve"> versus NSW’s $3,</w:t>
            </w:r>
            <w:r>
              <w:rPr>
                <w:rFonts w:eastAsia="Aptos" w:cs="Aptos"/>
                <w:color w:val="000000" w:themeColor="text1"/>
              </w:rPr>
              <w:t>600</w:t>
            </w:r>
            <w:r w:rsidRPr="75D564D1">
              <w:rPr>
                <w:rFonts w:eastAsia="Aptos" w:cs="Aptos"/>
                <w:color w:val="000000" w:themeColor="text1"/>
              </w:rPr>
              <w:t xml:space="preserve"> in 2023–24. Victoria </w:t>
            </w:r>
            <w:r>
              <w:rPr>
                <w:rFonts w:eastAsia="Aptos" w:cs="Aptos"/>
                <w:color w:val="000000" w:themeColor="text1"/>
              </w:rPr>
              <w:t xml:space="preserve">has spent </w:t>
            </w:r>
            <w:r w:rsidRPr="75D564D1">
              <w:rPr>
                <w:rFonts w:eastAsia="Aptos" w:cs="Aptos"/>
                <w:color w:val="000000" w:themeColor="text1"/>
              </w:rPr>
              <w:t>more per capita on health than the Commonwealth Government</w:t>
            </w:r>
            <w:r>
              <w:rPr>
                <w:rFonts w:eastAsia="Aptos" w:cs="Aptos"/>
                <w:color w:val="000000" w:themeColor="text1"/>
              </w:rPr>
              <w:t xml:space="preserve"> over the past two years</w:t>
            </w:r>
            <w:r w:rsidRPr="75D564D1">
              <w:rPr>
                <w:rFonts w:eastAsia="Aptos" w:cs="Aptos"/>
                <w:color w:val="000000" w:themeColor="text1"/>
              </w:rPr>
              <w:t>.</w:t>
            </w:r>
            <w:r w:rsidR="00402A45">
              <w:rPr>
                <w:rFonts w:eastAsia="Aptos" w:cs="Aptos"/>
                <w:color w:val="000000" w:themeColor="text1"/>
              </w:rPr>
              <w:t xml:space="preserve"> </w:t>
            </w:r>
            <w:r w:rsidR="00270931">
              <w:rPr>
                <w:rFonts w:eastAsia="Aptos" w:cs="Aptos"/>
                <w:color w:val="000000" w:themeColor="text1"/>
              </w:rPr>
              <w:t xml:space="preserve"> </w:t>
            </w:r>
          </w:p>
          <w:p w14:paraId="1ECA6A91" w14:textId="170EE84D" w:rsidR="00F02870" w:rsidRPr="00270931" w:rsidRDefault="00AF3328" w:rsidP="002D1165">
            <w:pPr>
              <w:spacing w:after="160" w:line="278" w:lineRule="auto"/>
              <w:rPr>
                <w:rFonts w:eastAsia="Aptos" w:cs="Aptos"/>
                <w:color w:val="000000" w:themeColor="text1"/>
              </w:rPr>
            </w:pPr>
            <w:r w:rsidRPr="00270931">
              <w:rPr>
                <w:rFonts w:eastAsia="Aptos" w:cs="Aptos"/>
                <w:color w:val="000000" w:themeColor="text1"/>
              </w:rPr>
              <w:t>Health expenditure accounted for 31</w:t>
            </w:r>
            <w:r w:rsidR="00945A08">
              <w:rPr>
                <w:rFonts w:eastAsia="Aptos" w:cs="Aptos"/>
                <w:color w:val="000000" w:themeColor="text1"/>
              </w:rPr>
              <w:t> </w:t>
            </w:r>
            <w:r w:rsidRPr="00270931">
              <w:rPr>
                <w:rFonts w:eastAsia="Aptos" w:cs="Aptos"/>
                <w:color w:val="000000" w:themeColor="text1"/>
              </w:rPr>
              <w:t xml:space="preserve">per cent of </w:t>
            </w:r>
            <w:r w:rsidR="006535AF">
              <w:rPr>
                <w:rFonts w:eastAsia="Aptos" w:cs="Aptos"/>
                <w:color w:val="000000" w:themeColor="text1"/>
              </w:rPr>
              <w:t xml:space="preserve">Victorian </w:t>
            </w:r>
            <w:r w:rsidRPr="00270931">
              <w:rPr>
                <w:rFonts w:eastAsia="Aptos" w:cs="Aptos"/>
                <w:color w:val="000000" w:themeColor="text1"/>
              </w:rPr>
              <w:t>government spending in 2023-24.</w:t>
            </w:r>
          </w:p>
          <w:p w14:paraId="7A4ED260" w14:textId="1F295C0D" w:rsidR="00077A28" w:rsidRDefault="0021113A" w:rsidP="00154705">
            <w:pPr>
              <w:pStyle w:val="Figureheading"/>
              <w:spacing w:before="240"/>
            </w:pPr>
            <w:r>
              <w:rPr>
                <w:noProof/>
              </w:rPr>
              <mc:AlternateContent>
                <mc:Choice Requires="wps">
                  <w:drawing>
                    <wp:anchor distT="0" distB="0" distL="114300" distR="114300" simplePos="0" relativeHeight="251658289" behindDoc="0" locked="0" layoutInCell="1" allowOverlap="1" wp14:anchorId="09CD931C" wp14:editId="5EDC9F31">
                      <wp:simplePos x="0" y="0"/>
                      <wp:positionH relativeFrom="column">
                        <wp:posOffset>1663700</wp:posOffset>
                      </wp:positionH>
                      <wp:positionV relativeFrom="paragraph">
                        <wp:posOffset>1102995</wp:posOffset>
                      </wp:positionV>
                      <wp:extent cx="1394460" cy="462915"/>
                      <wp:effectExtent l="0" t="0" r="0" b="0"/>
                      <wp:wrapTopAndBottom/>
                      <wp:docPr id="30" name="TextBox 6">
                        <a:extLst xmlns:a="http://schemas.openxmlformats.org/drawingml/2006/main">
                          <a:ext uri="{FF2B5EF4-FFF2-40B4-BE49-F238E27FC236}">
                            <a16:creationId xmlns:a16="http://schemas.microsoft.com/office/drawing/2014/main" id="{0EAB2782-B041-D467-BDF2-EDCDEE126B1C}"/>
                          </a:ext>
                        </a:extLst>
                      </wp:docPr>
                      <wp:cNvGraphicFramePr/>
                      <a:graphic xmlns:a="http://schemas.openxmlformats.org/drawingml/2006/main">
                        <a:graphicData uri="http://schemas.microsoft.com/office/word/2010/wordprocessingShape">
                          <wps:wsp>
                            <wps:cNvSpPr txBox="1"/>
                            <wps:spPr>
                              <a:xfrm>
                                <a:off x="0" y="0"/>
                                <a:ext cx="1394460" cy="462915"/>
                              </a:xfrm>
                              <a:prstGeom prst="rect">
                                <a:avLst/>
                              </a:prstGeom>
                              <a:noFill/>
                              <a:ln w="9525" cmpd="sng">
                                <a:noFill/>
                              </a:ln>
                              <a:effectLst/>
                            </wps:spPr>
                            <wps:txbx>
                              <w:txbxContent>
                                <w:p w14:paraId="212545E2" w14:textId="2E1E71E8" w:rsidR="002C28B3" w:rsidRPr="00AD3E4A" w:rsidRDefault="002C28B3" w:rsidP="002C28B3">
                                  <w:pPr>
                                    <w:textAlignment w:val="baseline"/>
                                    <w:rPr>
                                      <w:rFonts w:ascii="Aptos" w:hAnsi="Aptos"/>
                                      <w:color w:val="800080"/>
                                      <w:kern w:val="0"/>
                                      <w:szCs w:val="22"/>
                                      <w14:ligatures w14:val="none"/>
                                    </w:rPr>
                                  </w:pPr>
                                  <w:r w:rsidRPr="00AD3E4A">
                                    <w:rPr>
                                      <w:rFonts w:ascii="Aptos" w:hAnsi="Aptos"/>
                                      <w:color w:val="800080"/>
                                      <w:szCs w:val="22"/>
                                    </w:rPr>
                                    <w:t>C</w:t>
                                  </w:r>
                                  <w:r w:rsidR="0021113A" w:rsidRPr="00AD3E4A">
                                    <w:rPr>
                                      <w:rFonts w:ascii="Aptos" w:hAnsi="Aptos"/>
                                      <w:color w:val="800080"/>
                                      <w:szCs w:val="22"/>
                                    </w:rPr>
                                    <w:t>ommon</w:t>
                                  </w:r>
                                  <w:r w:rsidRPr="00AD3E4A">
                                    <w:rPr>
                                      <w:rFonts w:ascii="Aptos" w:hAnsi="Aptos"/>
                                      <w:color w:val="800080"/>
                                      <w:szCs w:val="22"/>
                                    </w:rPr>
                                    <w:t>w</w:t>
                                  </w:r>
                                  <w:r w:rsidR="0021113A" w:rsidRPr="00AD3E4A">
                                    <w:rPr>
                                      <w:rFonts w:ascii="Aptos" w:hAnsi="Aptos"/>
                                      <w:color w:val="800080"/>
                                      <w:szCs w:val="22"/>
                                    </w:rPr>
                                    <w:t>eal</w:t>
                                  </w:r>
                                  <w:r w:rsidRPr="00AD3E4A">
                                    <w:rPr>
                                      <w:rFonts w:ascii="Aptos" w:hAnsi="Aptos"/>
                                      <w:color w:val="800080"/>
                                      <w:szCs w:val="22"/>
                                    </w:rPr>
                                    <w:t>th</w:t>
                                  </w:r>
                                </w:p>
                              </w:txbxContent>
                            </wps:txbx>
                            <wps:bodyPr vertOverflow="clip" horzOverflow="clip" wrap="square" rtlCol="0" anchor="t"/>
                          </wps:wsp>
                        </a:graphicData>
                      </a:graphic>
                      <wp14:sizeRelH relativeFrom="margin">
                        <wp14:pctWidth>0</wp14:pctWidth>
                      </wp14:sizeRelH>
                    </wp:anchor>
                  </w:drawing>
                </mc:Choice>
                <mc:Fallback>
                  <w:pict>
                    <v:shape w14:anchorId="09CD931C" id="_x0000_s1047" type="#_x0000_t202" style="position:absolute;margin-left:131pt;margin-top:86.85pt;width:109.8pt;height:36.45pt;z-index:251658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" filled="f" stroked="f">
                      <v:textbox>
                        <w:txbxContent>
                          <w:p w14:paraId="212545E2" w14:textId="2E1E71E8" w:rsidR="002C28B3" w:rsidRPr="00AD3E4A" w:rsidRDefault="002C28B3" w:rsidP="002C28B3">
                            <w:pPr>
                              <w:textAlignment w:val="baseline"/>
                              <w:rPr>
                                <w:rFonts w:ascii="Aptos" w:hAnsi="Aptos"/>
                                <w:color w:val="800080"/>
                                <w:kern w:val="0"/>
                                <w:szCs w:val="22"/>
                                <w14:ligatures w14:val="none"/>
                              </w:rPr>
                            </w:pPr>
                            <w:r w:rsidRPr="00AD3E4A">
                              <w:rPr>
                                <w:rFonts w:ascii="Aptos" w:hAnsi="Aptos"/>
                                <w:color w:val="800080"/>
                                <w:szCs w:val="22"/>
                              </w:rPr>
                              <w:t>C</w:t>
                            </w:r>
                            <w:r w:rsidR="0021113A" w:rsidRPr="00AD3E4A">
                              <w:rPr>
                                <w:rFonts w:ascii="Aptos" w:hAnsi="Aptos"/>
                                <w:color w:val="800080"/>
                                <w:szCs w:val="22"/>
                              </w:rPr>
                              <w:t>ommon</w:t>
                            </w:r>
                            <w:r w:rsidRPr="00AD3E4A">
                              <w:rPr>
                                <w:rFonts w:ascii="Aptos" w:hAnsi="Aptos"/>
                                <w:color w:val="800080"/>
                                <w:szCs w:val="22"/>
                              </w:rPr>
                              <w:t>w</w:t>
                            </w:r>
                            <w:r w:rsidR="0021113A" w:rsidRPr="00AD3E4A">
                              <w:rPr>
                                <w:rFonts w:ascii="Aptos" w:hAnsi="Aptos"/>
                                <w:color w:val="800080"/>
                                <w:szCs w:val="22"/>
                              </w:rPr>
                              <w:t>eal</w:t>
                            </w:r>
                            <w:r w:rsidRPr="00AD3E4A">
                              <w:rPr>
                                <w:rFonts w:ascii="Aptos" w:hAnsi="Aptos"/>
                                <w:color w:val="800080"/>
                                <w:szCs w:val="22"/>
                              </w:rPr>
                              <w:t>th</w:t>
                            </w:r>
                          </w:p>
                        </w:txbxContent>
                      </v:textbox>
                      <w10:wrap type="topAndBottom"/>
                    </v:shape>
                  </w:pict>
                </mc:Fallback>
              </mc:AlternateContent>
            </w:r>
            <w:r w:rsidR="004552AB">
              <w:rPr>
                <w:noProof/>
              </w:rPr>
              <w:drawing>
                <wp:anchor distT="0" distB="0" distL="114300" distR="114300" simplePos="0" relativeHeight="251658311" behindDoc="0" locked="0" layoutInCell="1" allowOverlap="1" wp14:anchorId="163F191A" wp14:editId="2C67C73A">
                  <wp:simplePos x="0" y="0"/>
                  <wp:positionH relativeFrom="column">
                    <wp:posOffset>-58493</wp:posOffset>
                  </wp:positionH>
                  <wp:positionV relativeFrom="paragraph">
                    <wp:posOffset>317042</wp:posOffset>
                  </wp:positionV>
                  <wp:extent cx="5731510" cy="3562350"/>
                  <wp:effectExtent l="0" t="0" r="0" b="0"/>
                  <wp:wrapTopAndBottom/>
                  <wp:docPr id="411122030" name="Chart 1" descr="A chart displaying trends in government health expenditure, measured in 2023 24 dollars per capita over the period 2014-15 to 2023-24. The first line shows Victorian state government expenditure, which increases from around $3,000 per person to around $4,200 per person over then period. The second line shows New South Wales state government expenditure, which increases from around $3,000 per person to around $3,600 per person over the period. The third line shows Commonwealth government expenditure, which increases from around $3,500 per person to around $4,000 per person over the period.  ">
                    <a:extLst xmlns:a="http://schemas.openxmlformats.org/drawingml/2006/main">
                      <a:ext uri="{FF2B5EF4-FFF2-40B4-BE49-F238E27FC236}">
                        <a16:creationId xmlns:a16="http://schemas.microsoft.com/office/drawing/2014/main" id="{78326463-623C-93DD-C0D2-09D33EA4FB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077A28" w:rsidRPr="00511704">
              <w:t xml:space="preserve">Figure </w:t>
            </w:r>
            <w:r w:rsidR="00ED649A">
              <w:t>3</w:t>
            </w:r>
            <w:r w:rsidR="00077A28">
              <w:t>.</w:t>
            </w:r>
            <w:r w:rsidR="00077A28">
              <w:fldChar w:fldCharType="begin"/>
            </w:r>
            <w:r w:rsidR="00077A28">
              <w:instrText xml:space="preserve"> SEQ Figure \* ARABIC \s 1 </w:instrText>
            </w:r>
            <w:r w:rsidR="00077A28">
              <w:fldChar w:fldCharType="separate"/>
            </w:r>
            <w:r w:rsidR="009D1283">
              <w:rPr>
                <w:noProof/>
              </w:rPr>
              <w:t>2</w:t>
            </w:r>
            <w:r w:rsidR="00077A28">
              <w:fldChar w:fldCharType="end"/>
            </w:r>
            <w:r w:rsidR="00077A28" w:rsidRPr="00511704">
              <w:t xml:space="preserve">: Total real health expenditure per capita </w:t>
            </w:r>
          </w:p>
          <w:p w14:paraId="69A7C0C6" w14:textId="13504E56" w:rsidR="00077A28" w:rsidRPr="007D0BE6" w:rsidRDefault="002C28B3" w:rsidP="007D0BE6">
            <w:r>
              <w:rPr>
                <w:noProof/>
              </w:rPr>
              <mc:AlternateContent>
                <mc:Choice Requires="wps">
                  <w:drawing>
                    <wp:anchor distT="0" distB="0" distL="114300" distR="114300" simplePos="0" relativeHeight="251658290" behindDoc="0" locked="0" layoutInCell="1" allowOverlap="1" wp14:anchorId="39C5241B" wp14:editId="5B06F081">
                      <wp:simplePos x="0" y="0"/>
                      <wp:positionH relativeFrom="column">
                        <wp:posOffset>3773347</wp:posOffset>
                      </wp:positionH>
                      <wp:positionV relativeFrom="paragraph">
                        <wp:posOffset>1915610</wp:posOffset>
                      </wp:positionV>
                      <wp:extent cx="936033" cy="469461"/>
                      <wp:effectExtent l="0" t="0" r="0" b="0"/>
                      <wp:wrapTopAndBottom/>
                      <wp:docPr id="31" name="TextBox 7">
                        <a:extLst xmlns:a="http://schemas.openxmlformats.org/drawingml/2006/main">
                          <a:ext uri="{FF2B5EF4-FFF2-40B4-BE49-F238E27FC236}">
                            <a16:creationId xmlns:a16="http://schemas.microsoft.com/office/drawing/2014/main" id="{6D018D71-BFE4-0562-131D-2474174B1DEA}"/>
                          </a:ext>
                        </a:extLst>
                      </wp:docPr>
                      <wp:cNvGraphicFramePr/>
                      <a:graphic xmlns:a="http://schemas.openxmlformats.org/drawingml/2006/main">
                        <a:graphicData uri="http://schemas.microsoft.com/office/word/2010/wordprocessingShape">
                          <wps:wsp>
                            <wps:cNvSpPr txBox="1"/>
                            <wps:spPr>
                              <a:xfrm>
                                <a:off x="0" y="0"/>
                                <a:ext cx="936033" cy="469461"/>
                              </a:xfrm>
                              <a:prstGeom prst="rect">
                                <a:avLst/>
                              </a:prstGeom>
                              <a:noFill/>
                              <a:ln w="9525" cmpd="sng">
                                <a:noFill/>
                              </a:ln>
                              <a:effectLst/>
                            </wps:spPr>
                            <wps:txbx>
                              <w:txbxContent>
                                <w:p w14:paraId="544AA792" w14:textId="77777777" w:rsidR="002C28B3" w:rsidRPr="00AD3E4A" w:rsidRDefault="002C28B3" w:rsidP="002C28B3">
                                  <w:pPr>
                                    <w:textAlignment w:val="baseline"/>
                                    <w:rPr>
                                      <w:rFonts w:ascii="Aptos" w:hAnsi="Aptos"/>
                                      <w:color w:val="E97132" w:themeColor="accent2"/>
                                      <w:kern w:val="0"/>
                                      <w:szCs w:val="22"/>
                                      <w14:ligatures w14:val="none"/>
                                    </w:rPr>
                                  </w:pPr>
                                  <w:r w:rsidRPr="00AD3E4A">
                                    <w:rPr>
                                      <w:rFonts w:ascii="Aptos" w:hAnsi="Aptos"/>
                                      <w:color w:val="E97132" w:themeColor="accent2"/>
                                      <w:szCs w:val="22"/>
                                    </w:rPr>
                                    <w:t>NSW</w:t>
                                  </w:r>
                                </w:p>
                              </w:txbxContent>
                            </wps:txbx>
                            <wps:bodyPr vertOverflow="clip" horzOverflow="clip" wrap="square" rtlCol="0" anchor="t"/>
                          </wps:wsp>
                        </a:graphicData>
                      </a:graphic>
                    </wp:anchor>
                  </w:drawing>
                </mc:Choice>
                <mc:Fallback>
                  <w:pict>
                    <v:shape w14:anchorId="39C5241B" id="_x0000_s1048" type="#_x0000_t202" style="position:absolute;margin-left:297.1pt;margin-top:150.85pt;width:73.7pt;height:36.95pt;z-index:251658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" filled="f" stroked="f">
                      <v:textbox>
                        <w:txbxContent>
                          <w:p w14:paraId="544AA792" w14:textId="77777777" w:rsidR="002C28B3" w:rsidRPr="00AD3E4A" w:rsidRDefault="002C28B3" w:rsidP="002C28B3">
                            <w:pPr>
                              <w:textAlignment w:val="baseline"/>
                              <w:rPr>
                                <w:rFonts w:ascii="Aptos" w:hAnsi="Aptos"/>
                                <w:color w:val="E97132" w:themeColor="accent2"/>
                                <w:kern w:val="0"/>
                                <w:szCs w:val="22"/>
                                <w14:ligatures w14:val="none"/>
                              </w:rPr>
                            </w:pPr>
                            <w:r w:rsidRPr="00AD3E4A">
                              <w:rPr>
                                <w:rFonts w:ascii="Aptos" w:hAnsi="Aptos"/>
                                <w:color w:val="E97132" w:themeColor="accent2"/>
                                <w:szCs w:val="22"/>
                              </w:rPr>
                              <w:t>NSW</w:t>
                            </w:r>
                          </w:p>
                        </w:txbxContent>
                      </v:textbox>
                      <w10:wrap type="topAndBottom"/>
                    </v:shape>
                  </w:pict>
                </mc:Fallback>
              </mc:AlternateContent>
            </w:r>
            <w:r>
              <w:rPr>
                <w:noProof/>
              </w:rPr>
              <mc:AlternateContent>
                <mc:Choice Requires="wps">
                  <w:drawing>
                    <wp:anchor distT="0" distB="0" distL="114300" distR="114300" simplePos="0" relativeHeight="251658291" behindDoc="0" locked="0" layoutInCell="1" allowOverlap="1" wp14:anchorId="344576C1" wp14:editId="4739CC5B">
                      <wp:simplePos x="0" y="0"/>
                      <wp:positionH relativeFrom="column">
                        <wp:posOffset>4710430</wp:posOffset>
                      </wp:positionH>
                      <wp:positionV relativeFrom="paragraph">
                        <wp:posOffset>595630</wp:posOffset>
                      </wp:positionV>
                      <wp:extent cx="935990" cy="473710"/>
                      <wp:effectExtent l="0" t="0" r="0" b="2540"/>
                      <wp:wrapTopAndBottom/>
                      <wp:docPr id="32" name="TextBox 8">
                        <a:extLst xmlns:a="http://schemas.openxmlformats.org/drawingml/2006/main">
                          <a:ext uri="{FF2B5EF4-FFF2-40B4-BE49-F238E27FC236}">
                            <a16:creationId xmlns:a16="http://schemas.microsoft.com/office/drawing/2014/main" id="{B5F38424-D733-A2A9-F7F4-58F7A422FFC3}"/>
                          </a:ext>
                        </a:extLst>
                      </wp:docPr>
                      <wp:cNvGraphicFramePr/>
                      <a:graphic xmlns:a="http://schemas.openxmlformats.org/drawingml/2006/main">
                        <a:graphicData uri="http://schemas.microsoft.com/office/word/2010/wordprocessingShape">
                          <wps:wsp>
                            <wps:cNvSpPr txBox="1"/>
                            <wps:spPr>
                              <a:xfrm>
                                <a:off x="0" y="0"/>
                                <a:ext cx="935990" cy="473710"/>
                              </a:xfrm>
                              <a:prstGeom prst="rect">
                                <a:avLst/>
                              </a:prstGeom>
                              <a:noFill/>
                              <a:ln w="9525" cmpd="sng">
                                <a:noFill/>
                              </a:ln>
                              <a:effectLst/>
                            </wps:spPr>
                            <wps:txbx>
                              <w:txbxContent>
                                <w:p w14:paraId="04784D18" w14:textId="77777777" w:rsidR="002C28B3" w:rsidRPr="00AD3E4A" w:rsidRDefault="002C28B3" w:rsidP="002C28B3">
                                  <w:pPr>
                                    <w:textAlignment w:val="baseline"/>
                                    <w:rPr>
                                      <w:rFonts w:ascii="Aptos" w:hAnsi="Aptos"/>
                                      <w:color w:val="1CADE4"/>
                                      <w:kern w:val="0"/>
                                      <w:szCs w:val="22"/>
                                      <w14:ligatures w14:val="none"/>
                                    </w:rPr>
                                  </w:pPr>
                                  <w:r w:rsidRPr="00AD3E4A">
                                    <w:rPr>
                                      <w:rFonts w:ascii="Aptos" w:hAnsi="Aptos"/>
                                      <w:color w:val="1CADE4"/>
                                      <w:szCs w:val="22"/>
                                    </w:rPr>
                                    <w:t>Vic</w:t>
                                  </w:r>
                                </w:p>
                              </w:txbxContent>
                            </wps:txbx>
                            <wps:bodyPr vertOverflow="clip" horzOverflow="clip" wrap="square" rtlCol="0" anchor="t"/>
                          </wps:wsp>
                        </a:graphicData>
                      </a:graphic>
                    </wp:anchor>
                  </w:drawing>
                </mc:Choice>
                <mc:Fallback>
                  <w:pict>
                    <v:shape w14:anchorId="344576C1" id="TextBox 8" o:spid="_x0000_s1049" type="#_x0000_t202" style="position:absolute;margin-left:370.9pt;margin-top:46.9pt;width:73.7pt;height:37.3pt;z-index:2516582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" filled="f" stroked="f">
                      <v:textbox>
                        <w:txbxContent>
                          <w:p w14:paraId="04784D18" w14:textId="77777777" w:rsidR="002C28B3" w:rsidRPr="00AD3E4A" w:rsidRDefault="002C28B3" w:rsidP="002C28B3">
                            <w:pPr>
                              <w:textAlignment w:val="baseline"/>
                              <w:rPr>
                                <w:rFonts w:ascii="Aptos" w:hAnsi="Aptos"/>
                                <w:color w:val="1CADE4"/>
                                <w:kern w:val="0"/>
                                <w:szCs w:val="22"/>
                                <w14:ligatures w14:val="none"/>
                              </w:rPr>
                            </w:pPr>
                            <w:r w:rsidRPr="00AD3E4A">
                              <w:rPr>
                                <w:rFonts w:ascii="Aptos" w:hAnsi="Aptos"/>
                                <w:color w:val="1CADE4"/>
                                <w:szCs w:val="22"/>
                              </w:rPr>
                              <w:t>Vic</w:t>
                            </w:r>
                          </w:p>
                        </w:txbxContent>
                      </v:textbox>
                      <w10:wrap type="topAndBottom"/>
                    </v:shape>
                  </w:pict>
                </mc:Fallback>
              </mc:AlternateContent>
            </w:r>
          </w:p>
          <w:p w14:paraId="639B48B0" w14:textId="77777777" w:rsidR="00077A28" w:rsidRPr="005D50F8" w:rsidRDefault="00077A28" w:rsidP="00885759">
            <w:pPr>
              <w:pStyle w:val="Caption"/>
              <w:rPr>
                <w:rFonts w:eastAsia="Aptos"/>
                <w:lang w:val="en-AU"/>
              </w:rPr>
            </w:pPr>
            <w:r w:rsidRPr="005D50F8">
              <w:rPr>
                <w:rFonts w:eastAsia="Aptos"/>
                <w:lang w:val="en-AU"/>
              </w:rPr>
              <w:t xml:space="preserve">Source: ABS, Victorian Annual Financial </w:t>
            </w:r>
            <w:r w:rsidRPr="00B8789F">
              <w:t>Reports</w:t>
            </w:r>
            <w:r w:rsidRPr="00B8789F">
              <w:rPr>
                <w:lang w:val="en-AU"/>
              </w:rPr>
              <w:t>, various years</w:t>
            </w:r>
          </w:p>
          <w:p w14:paraId="57408332" w14:textId="5E5E332B" w:rsidR="00077A28" w:rsidRPr="004304CB" w:rsidRDefault="00077A28" w:rsidP="00352512">
            <w:pPr>
              <w:spacing w:after="160" w:line="278" w:lineRule="auto"/>
              <w:rPr>
                <w:szCs w:val="22"/>
              </w:rPr>
            </w:pPr>
            <w:r w:rsidRPr="004304CB">
              <w:rPr>
                <w:szCs w:val="22"/>
              </w:rPr>
              <w:t xml:space="preserve">Hospitals are a significant cost pressure for the state. For </w:t>
            </w:r>
            <w:proofErr w:type="gramStart"/>
            <w:r w:rsidRPr="004304CB">
              <w:rPr>
                <w:szCs w:val="22"/>
              </w:rPr>
              <w:t>a number of</w:t>
            </w:r>
            <w:proofErr w:type="gramEnd"/>
            <w:r w:rsidRPr="004304CB">
              <w:rPr>
                <w:szCs w:val="22"/>
              </w:rPr>
              <w:t xml:space="preserve"> years, hospitals have overspent allocated </w:t>
            </w:r>
            <w:proofErr w:type="gramStart"/>
            <w:r w:rsidRPr="001F2A64">
              <w:rPr>
                <w:szCs w:val="22"/>
              </w:rPr>
              <w:t>budgets</w:t>
            </w:r>
            <w:proofErr w:type="gramEnd"/>
            <w:r w:rsidRPr="001F2A64">
              <w:rPr>
                <w:szCs w:val="22"/>
              </w:rPr>
              <w:t xml:space="preserve"> and the government has been under considerable pressure to meet the gap. These top-ups have been provided after the budget allocation</w:t>
            </w:r>
            <w:r w:rsidRPr="004304CB">
              <w:rPr>
                <w:szCs w:val="22"/>
              </w:rPr>
              <w:t>, with the gap between targeted and actual expenditure on admitted services growing considerably over recent years (</w:t>
            </w:r>
            <w:r w:rsidRPr="001F2A64">
              <w:rPr>
                <w:szCs w:val="22"/>
              </w:rPr>
              <w:fldChar w:fldCharType="begin"/>
            </w:r>
            <w:r w:rsidRPr="001F2A64">
              <w:rPr>
                <w:szCs w:val="22"/>
              </w:rPr>
              <w:instrText xml:space="preserve"> REF _Ref201925291 \h </w:instrText>
            </w:r>
            <w:r w:rsidR="001F2A64">
              <w:rPr>
                <w:szCs w:val="22"/>
              </w:rPr>
              <w:instrText xml:space="preserve"> \* MERGEFORMAT </w:instrText>
            </w:r>
            <w:r w:rsidRPr="001F2A64">
              <w:rPr>
                <w:szCs w:val="22"/>
              </w:rPr>
            </w:r>
            <w:r w:rsidRPr="001F2A64">
              <w:rPr>
                <w:szCs w:val="22"/>
              </w:rPr>
              <w:fldChar w:fldCharType="separate"/>
            </w:r>
            <w:r w:rsidR="009D1283" w:rsidRPr="009D1283">
              <w:rPr>
                <w:color w:val="000000" w:themeColor="text1"/>
                <w:szCs w:val="22"/>
              </w:rPr>
              <w:t>Figure 3.3</w:t>
            </w:r>
            <w:r w:rsidRPr="001F2A64">
              <w:rPr>
                <w:szCs w:val="22"/>
              </w:rPr>
              <w:fldChar w:fldCharType="end"/>
            </w:r>
            <w:r w:rsidRPr="001F2A64">
              <w:rPr>
                <w:szCs w:val="22"/>
              </w:rPr>
              <w:t>).</w:t>
            </w:r>
            <w:r w:rsidRPr="004304CB">
              <w:rPr>
                <w:szCs w:val="22"/>
              </w:rPr>
              <w:t xml:space="preserve"> These short-term budget top-ups generate uncertainty about future</w:t>
            </w:r>
            <w:r w:rsidR="00DB2B40">
              <w:rPr>
                <w:szCs w:val="22"/>
              </w:rPr>
              <w:t> </w:t>
            </w:r>
            <w:r w:rsidRPr="004304CB">
              <w:rPr>
                <w:szCs w:val="22"/>
              </w:rPr>
              <w:t xml:space="preserve">budget allocations and contribute to insufficient </w:t>
            </w:r>
            <w:r w:rsidRPr="001F2A64">
              <w:rPr>
                <w:szCs w:val="22"/>
              </w:rPr>
              <w:t>focus and</w:t>
            </w:r>
            <w:r>
              <w:rPr>
                <w:szCs w:val="22"/>
              </w:rPr>
              <w:t xml:space="preserve"> </w:t>
            </w:r>
            <w:r w:rsidRPr="004304CB">
              <w:rPr>
                <w:szCs w:val="22"/>
              </w:rPr>
              <w:t xml:space="preserve">investment </w:t>
            </w:r>
            <w:r w:rsidR="004868FE">
              <w:rPr>
                <w:szCs w:val="22"/>
              </w:rPr>
              <w:t>i</w:t>
            </w:r>
            <w:r>
              <w:rPr>
                <w:szCs w:val="22"/>
              </w:rPr>
              <w:t>n</w:t>
            </w:r>
            <w:r w:rsidRPr="004304CB">
              <w:rPr>
                <w:szCs w:val="22"/>
              </w:rPr>
              <w:t xml:space="preserve"> efficiency</w:t>
            </w:r>
            <w:r w:rsidR="00DB2B40">
              <w:rPr>
                <w:szCs w:val="22"/>
              </w:rPr>
              <w:t> </w:t>
            </w:r>
            <w:r w:rsidRPr="004304CB">
              <w:rPr>
                <w:szCs w:val="22"/>
              </w:rPr>
              <w:t>measures. </w:t>
            </w:r>
          </w:p>
          <w:p w14:paraId="60F5E749" w14:textId="53B7BFC6" w:rsidR="00077A28" w:rsidRDefault="00077A28" w:rsidP="009742EC">
            <w:pPr>
              <w:spacing w:before="240" w:after="160" w:line="278" w:lineRule="auto"/>
              <w:rPr>
                <w:szCs w:val="22"/>
              </w:rPr>
            </w:pPr>
            <w:r w:rsidRPr="004304CB">
              <w:rPr>
                <w:szCs w:val="22"/>
              </w:rPr>
              <w:lastRenderedPageBreak/>
              <w:t xml:space="preserve">This cycle of ‘soft budgeting’ has been a challenge for </w:t>
            </w:r>
            <w:proofErr w:type="gramStart"/>
            <w:r w:rsidRPr="004304CB">
              <w:rPr>
                <w:szCs w:val="22"/>
              </w:rPr>
              <w:t>a number of</w:t>
            </w:r>
            <w:proofErr w:type="gramEnd"/>
            <w:r w:rsidRPr="004304CB">
              <w:rPr>
                <w:szCs w:val="22"/>
              </w:rPr>
              <w:t xml:space="preserve"> state and territory hospital systems over recent years, and international studies show that hospitals become more efficient when the top-ups stop.</w:t>
            </w:r>
            <w:r w:rsidRPr="004304CB">
              <w:rPr>
                <w:rStyle w:val="FootnoteReference"/>
                <w:szCs w:val="22"/>
              </w:rPr>
              <w:footnoteReference w:id="8"/>
            </w:r>
            <w:r w:rsidRPr="004304CB">
              <w:rPr>
                <w:szCs w:val="22"/>
              </w:rPr>
              <w:t xml:space="preserve"> The Victorian Government’s recent tightening of hospital budget allocations and processes through the work of Hospitals Victoria and DH is positive. </w:t>
            </w:r>
          </w:p>
          <w:p w14:paraId="17900737" w14:textId="19DF93DF" w:rsidR="00835963" w:rsidRDefault="00FB3A5E" w:rsidP="00154705">
            <w:pPr>
              <w:pStyle w:val="Figureheading"/>
              <w:spacing w:before="240" w:after="100" w:afterAutospacing="1"/>
            </w:pPr>
            <w:bookmarkStart w:id="37" w:name="_Ref201925291"/>
            <w:r w:rsidRPr="00A03846">
              <w:t>Figure</w:t>
            </w:r>
            <w:r w:rsidRPr="008762B3">
              <w:t xml:space="preserve"> </w:t>
            </w:r>
            <w:r>
              <w:t>3.</w:t>
            </w:r>
            <w:r>
              <w:fldChar w:fldCharType="begin"/>
            </w:r>
            <w:r>
              <w:instrText xml:space="preserve"> SEQ Figure \* ARABIC \s 1 </w:instrText>
            </w:r>
            <w:r>
              <w:fldChar w:fldCharType="separate"/>
            </w:r>
            <w:r w:rsidR="009D1283">
              <w:rPr>
                <w:noProof/>
              </w:rPr>
              <w:t>3</w:t>
            </w:r>
            <w:r>
              <w:fldChar w:fldCharType="end"/>
            </w:r>
            <w:bookmarkEnd w:id="37"/>
            <w:r w:rsidRPr="008762B3">
              <w:t>: Difference in actual and targeted expenditure on admitted services, $ millions</w:t>
            </w:r>
          </w:p>
          <w:p w14:paraId="0030A496" w14:textId="291BB6A5" w:rsidR="00F41025" w:rsidRDefault="003576FF" w:rsidP="00F41025">
            <w:r>
              <w:rPr>
                <w:noProof/>
              </w:rPr>
              <w:drawing>
                <wp:anchor distT="0" distB="0" distL="114300" distR="114300" simplePos="0" relativeHeight="251658312" behindDoc="0" locked="0" layoutInCell="1" allowOverlap="1" wp14:anchorId="10D40AB0" wp14:editId="0A2E3905">
                  <wp:simplePos x="0" y="0"/>
                  <wp:positionH relativeFrom="column">
                    <wp:posOffset>0</wp:posOffset>
                  </wp:positionH>
                  <wp:positionV relativeFrom="paragraph">
                    <wp:posOffset>0</wp:posOffset>
                  </wp:positionV>
                  <wp:extent cx="5731510" cy="3029585"/>
                  <wp:effectExtent l="0" t="0" r="0" b="0"/>
                  <wp:wrapTopAndBottom/>
                  <wp:docPr id="834460768" name="Chart 1" descr="A bar chart displaying bars that display the dollar value of the difference in actual and targeted annual expenditure on administered hospital services in Victoria, over the period 2010-11 to 2023-24. These differences are presented in millions of dollars and increase from around zero in 2010-11 to $1,500 million in 2023 24.">
                    <a:extLst xmlns:a="http://schemas.openxmlformats.org/drawingml/2006/main">
                      <a:ext uri="{FF2B5EF4-FFF2-40B4-BE49-F238E27FC236}">
                        <a16:creationId xmlns:a16="http://schemas.microsoft.com/office/drawing/2014/main" id="{9FB6DA66-2AD9-5AF5-956B-A7FD3D965C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65FB36D7" w14:textId="77777777" w:rsidR="00C028DA" w:rsidRDefault="00FD629F" w:rsidP="00C028DA">
            <w:pPr>
              <w:pStyle w:val="Caption"/>
              <w:spacing w:after="120"/>
            </w:pPr>
            <w:r w:rsidRPr="00A03846">
              <w:t>Source: 2025/26 Budget, Department performance measures</w:t>
            </w:r>
          </w:p>
          <w:p w14:paraId="5CE99BD5" w14:textId="5995E190" w:rsidR="00FD629F" w:rsidRDefault="00FD629F" w:rsidP="009D647B">
            <w:pPr>
              <w:pStyle w:val="Caption"/>
            </w:pPr>
            <w:r w:rsidRPr="00A03846">
              <w:t xml:space="preserve">Note: Data </w:t>
            </w:r>
            <w:proofErr w:type="gramStart"/>
            <w:r w:rsidRPr="00A03846">
              <w:t>indicate</w:t>
            </w:r>
            <w:proofErr w:type="gramEnd"/>
            <w:r w:rsidRPr="00A03846">
              <w:t xml:space="preserve"> the difference between actual and targeted expenditure on administered services. Figures include Commonwealth and state revenue but exclude own source revenue.</w:t>
            </w:r>
          </w:p>
          <w:p w14:paraId="69ED1B95" w14:textId="279BDF6D" w:rsidR="00077A28" w:rsidRPr="005D50F8" w:rsidRDefault="00077A28" w:rsidP="00352512">
            <w:pPr>
              <w:spacing w:after="160" w:line="278" w:lineRule="auto"/>
              <w:rPr>
                <w:rFonts w:eastAsia="Aptos" w:cs="Aptos"/>
                <w:color w:val="000000" w:themeColor="text1"/>
                <w:szCs w:val="22"/>
                <w:lang w:val="en-AU"/>
              </w:rPr>
            </w:pPr>
            <w:r w:rsidRPr="0096071B">
              <w:rPr>
                <w:szCs w:val="22"/>
              </w:rPr>
              <w:t xml:space="preserve">Victoria is </w:t>
            </w:r>
            <w:proofErr w:type="spellStart"/>
            <w:r w:rsidRPr="0096071B">
              <w:rPr>
                <w:szCs w:val="22"/>
              </w:rPr>
              <w:t>recognised</w:t>
            </w:r>
            <w:proofErr w:type="spellEnd"/>
            <w:r w:rsidRPr="0096071B">
              <w:rPr>
                <w:szCs w:val="22"/>
              </w:rPr>
              <w:t xml:space="preserve"> as having </w:t>
            </w:r>
            <w:r w:rsidRPr="001024EF">
              <w:rPr>
                <w:szCs w:val="22"/>
              </w:rPr>
              <w:t>a generally high</w:t>
            </w:r>
            <w:r w:rsidR="001C2EDC">
              <w:rPr>
                <w:szCs w:val="22"/>
              </w:rPr>
              <w:t>-</w:t>
            </w:r>
            <w:r w:rsidRPr="001024EF">
              <w:rPr>
                <w:szCs w:val="22"/>
              </w:rPr>
              <w:t>performing</w:t>
            </w:r>
            <w:r w:rsidRPr="0096071B">
              <w:rPr>
                <w:szCs w:val="22"/>
              </w:rPr>
              <w:t xml:space="preserve"> health system, </w:t>
            </w:r>
            <w:r>
              <w:rPr>
                <w:szCs w:val="22"/>
              </w:rPr>
              <w:t xml:space="preserve">but </w:t>
            </w:r>
            <w:r w:rsidRPr="0096071B">
              <w:rPr>
                <w:szCs w:val="22"/>
              </w:rPr>
              <w:t xml:space="preserve">like </w:t>
            </w:r>
            <w:r w:rsidRPr="001024EF">
              <w:rPr>
                <w:szCs w:val="22"/>
              </w:rPr>
              <w:t xml:space="preserve">in </w:t>
            </w:r>
            <w:r w:rsidRPr="0096071B">
              <w:rPr>
                <w:szCs w:val="22"/>
              </w:rPr>
              <w:t xml:space="preserve">other parts of the world, it is a system under pressure. </w:t>
            </w:r>
            <w:r w:rsidRPr="005D50F8">
              <w:rPr>
                <w:rFonts w:eastAsia="Aptos" w:cs="Aptos"/>
                <w:color w:val="000000" w:themeColor="text1"/>
                <w:szCs w:val="22"/>
                <w:lang w:val="en-AU"/>
              </w:rPr>
              <w:t xml:space="preserve">A range of factors are contributing to growing demand on the system, reflecting </w:t>
            </w:r>
            <w:r>
              <w:rPr>
                <w:rFonts w:eastAsia="Aptos" w:cs="Aptos"/>
                <w:color w:val="000000" w:themeColor="text1"/>
                <w:szCs w:val="22"/>
                <w:lang w:val="en-AU"/>
              </w:rPr>
              <w:t xml:space="preserve">cost pressures, </w:t>
            </w:r>
            <w:r w:rsidRPr="005D50F8">
              <w:rPr>
                <w:rFonts w:eastAsia="Aptos" w:cs="Aptos"/>
                <w:color w:val="000000" w:themeColor="text1"/>
                <w:szCs w:val="22"/>
                <w:lang w:val="en-AU"/>
              </w:rPr>
              <w:t>demographic changes</w:t>
            </w:r>
            <w:r>
              <w:rPr>
                <w:rFonts w:eastAsia="Aptos" w:cs="Aptos"/>
                <w:color w:val="000000" w:themeColor="text1"/>
                <w:szCs w:val="22"/>
                <w:lang w:val="en-AU"/>
              </w:rPr>
              <w:t xml:space="preserve">, </w:t>
            </w:r>
            <w:r w:rsidRPr="006A7806">
              <w:rPr>
                <w:rFonts w:eastAsia="Aptos" w:cs="Aptos"/>
                <w:color w:val="000000" w:themeColor="text1"/>
                <w:szCs w:val="22"/>
                <w:lang w:val="en-AU"/>
              </w:rPr>
              <w:t>increased expectations</w:t>
            </w:r>
            <w:r w:rsidRPr="005D50F8">
              <w:rPr>
                <w:rFonts w:eastAsia="Aptos" w:cs="Aptos"/>
                <w:color w:val="000000" w:themeColor="text1"/>
                <w:szCs w:val="22"/>
                <w:lang w:val="en-AU"/>
              </w:rPr>
              <w:t xml:space="preserve"> and other </w:t>
            </w:r>
            <w:r>
              <w:rPr>
                <w:rFonts w:eastAsia="Aptos" w:cs="Aptos"/>
                <w:color w:val="000000" w:themeColor="text1"/>
                <w:szCs w:val="22"/>
                <w:lang w:val="en-AU"/>
              </w:rPr>
              <w:t>community</w:t>
            </w:r>
            <w:r w:rsidRPr="005D50F8">
              <w:rPr>
                <w:rFonts w:eastAsia="Aptos" w:cs="Aptos"/>
                <w:color w:val="000000" w:themeColor="text1"/>
                <w:szCs w:val="22"/>
                <w:lang w:val="en-AU"/>
              </w:rPr>
              <w:t xml:space="preserve"> </w:t>
            </w:r>
            <w:r>
              <w:rPr>
                <w:rFonts w:eastAsia="Aptos" w:cs="Aptos"/>
                <w:color w:val="000000" w:themeColor="text1"/>
                <w:szCs w:val="22"/>
                <w:lang w:val="en-AU"/>
              </w:rPr>
              <w:t>trends</w:t>
            </w:r>
            <w:r w:rsidRPr="005D50F8">
              <w:rPr>
                <w:rFonts w:eastAsia="Aptos" w:cs="Aptos"/>
                <w:color w:val="000000" w:themeColor="text1"/>
                <w:szCs w:val="22"/>
                <w:lang w:val="en-AU"/>
              </w:rPr>
              <w:t>: </w:t>
            </w:r>
          </w:p>
          <w:p w14:paraId="48480296" w14:textId="75E7AF62" w:rsidR="00077A28" w:rsidRPr="00FF0B57" w:rsidRDefault="00077A28" w:rsidP="00D207B3">
            <w:pPr>
              <w:pStyle w:val="ListParagraph"/>
              <w:numPr>
                <w:ilvl w:val="0"/>
                <w:numId w:val="16"/>
              </w:numPr>
              <w:spacing w:after="160" w:line="278" w:lineRule="auto"/>
              <w:contextualSpacing w:val="0"/>
              <w:rPr>
                <w:rFonts w:eastAsia="Aptos" w:cs="Aptos"/>
                <w:color w:val="000000" w:themeColor="text1"/>
                <w:szCs w:val="22"/>
                <w:lang w:val="en-AU"/>
              </w:rPr>
            </w:pPr>
            <w:r w:rsidRPr="00FF0B57" w:rsidDel="002E5935">
              <w:rPr>
                <w:rFonts w:eastAsia="Aptos" w:cs="Aptos"/>
                <w:color w:val="000000" w:themeColor="text1"/>
                <w:szCs w:val="22"/>
                <w:lang w:val="en-AU"/>
              </w:rPr>
              <w:t xml:space="preserve">An ageing population. Nearly 1.5 million </w:t>
            </w:r>
            <w:r w:rsidRPr="00FF0B57">
              <w:rPr>
                <w:rFonts w:eastAsia="Aptos" w:cs="Aptos"/>
                <w:color w:val="000000" w:themeColor="text1"/>
                <w:szCs w:val="22"/>
                <w:lang w:val="en-AU"/>
              </w:rPr>
              <w:t xml:space="preserve">Victorians (22 per cent) are aged 60 and above. The size of this cohort has grown by </w:t>
            </w:r>
            <w:r>
              <w:rPr>
                <w:rFonts w:eastAsia="Aptos" w:cs="Aptos"/>
                <w:color w:val="000000" w:themeColor="text1"/>
                <w:szCs w:val="22"/>
                <w:lang w:val="en-AU"/>
              </w:rPr>
              <w:t xml:space="preserve">around </w:t>
            </w:r>
            <w:r w:rsidRPr="00FF0B57">
              <w:rPr>
                <w:rFonts w:eastAsia="Aptos" w:cs="Aptos"/>
                <w:color w:val="000000" w:themeColor="text1"/>
                <w:szCs w:val="22"/>
                <w:lang w:val="en-AU"/>
              </w:rPr>
              <w:t>30 per cent over the past decade, twice the rate of growth of Victorians aged 59 and below, and this proportion is expected to continue rising.</w:t>
            </w:r>
          </w:p>
          <w:p w14:paraId="0D981E12" w14:textId="7EFE03F3" w:rsidR="00077A28" w:rsidRPr="00FF0B57" w:rsidRDefault="00077A28" w:rsidP="00D207B3">
            <w:pPr>
              <w:pStyle w:val="ListParagraph"/>
              <w:numPr>
                <w:ilvl w:val="0"/>
                <w:numId w:val="16"/>
              </w:numPr>
              <w:spacing w:after="160" w:line="278" w:lineRule="auto"/>
              <w:contextualSpacing w:val="0"/>
              <w:rPr>
                <w:rFonts w:eastAsia="Aptos" w:cs="Aptos"/>
                <w:color w:val="000000" w:themeColor="text1"/>
                <w:szCs w:val="22"/>
                <w:lang w:val="en-AU"/>
              </w:rPr>
            </w:pPr>
            <w:r w:rsidRPr="00FF0B57">
              <w:rPr>
                <w:rFonts w:eastAsia="Aptos" w:cs="Aptos"/>
                <w:color w:val="000000" w:themeColor="text1"/>
                <w:szCs w:val="22"/>
                <w:lang w:val="en-AU"/>
              </w:rPr>
              <w:t xml:space="preserve">Complex and varied health needs. More than one in </w:t>
            </w:r>
            <w:r w:rsidR="00283B09">
              <w:rPr>
                <w:rFonts w:eastAsia="Aptos" w:cs="Aptos"/>
                <w:color w:val="000000" w:themeColor="text1"/>
                <w:szCs w:val="22"/>
                <w:lang w:val="en-AU"/>
              </w:rPr>
              <w:t>5</w:t>
            </w:r>
            <w:r w:rsidRPr="00FF0B57">
              <w:rPr>
                <w:rFonts w:eastAsia="Aptos" w:cs="Aptos"/>
                <w:color w:val="000000" w:themeColor="text1"/>
                <w:szCs w:val="22"/>
                <w:lang w:val="en-AU"/>
              </w:rPr>
              <w:t xml:space="preserve"> Victorian adults live with </w:t>
            </w:r>
            <w:r w:rsidR="001751B7">
              <w:rPr>
                <w:rFonts w:eastAsia="Aptos" w:cs="Aptos"/>
                <w:color w:val="000000" w:themeColor="text1"/>
                <w:szCs w:val="22"/>
                <w:lang w:val="en-AU"/>
              </w:rPr>
              <w:t>2</w:t>
            </w:r>
            <w:r w:rsidR="001751B7" w:rsidRPr="00FF0B57">
              <w:rPr>
                <w:rFonts w:eastAsia="Aptos" w:cs="Aptos"/>
                <w:color w:val="000000" w:themeColor="text1"/>
                <w:szCs w:val="22"/>
                <w:lang w:val="en-AU"/>
              </w:rPr>
              <w:t xml:space="preserve"> </w:t>
            </w:r>
            <w:r w:rsidRPr="00FF0B57">
              <w:rPr>
                <w:rFonts w:eastAsia="Aptos" w:cs="Aptos"/>
                <w:color w:val="000000" w:themeColor="text1"/>
                <w:szCs w:val="22"/>
                <w:lang w:val="en-AU"/>
              </w:rPr>
              <w:t>or more chronic conditions, such as type 2 diabetes, heart disease or cancer.</w:t>
            </w:r>
          </w:p>
          <w:p w14:paraId="1FC64965" w14:textId="3C67976C" w:rsidR="00077A28" w:rsidRPr="00FF0B57" w:rsidRDefault="00077A28" w:rsidP="00DA3952">
            <w:pPr>
              <w:pStyle w:val="ListParagraph"/>
              <w:numPr>
                <w:ilvl w:val="0"/>
                <w:numId w:val="16"/>
              </w:numPr>
              <w:spacing w:before="240" w:after="160" w:line="278" w:lineRule="auto"/>
              <w:contextualSpacing w:val="0"/>
              <w:rPr>
                <w:rFonts w:eastAsia="Aptos" w:cs="Aptos"/>
                <w:color w:val="000000" w:themeColor="text1"/>
                <w:szCs w:val="22"/>
                <w:lang w:val="en-AU"/>
              </w:rPr>
            </w:pPr>
            <w:r w:rsidRPr="00FF0B57">
              <w:rPr>
                <w:rFonts w:eastAsia="Aptos" w:cs="Aptos"/>
                <w:color w:val="000000" w:themeColor="text1"/>
                <w:szCs w:val="22"/>
                <w:lang w:val="en-AU"/>
              </w:rPr>
              <w:lastRenderedPageBreak/>
              <w:t xml:space="preserve">One in </w:t>
            </w:r>
            <w:r>
              <w:rPr>
                <w:rFonts w:eastAsia="Aptos" w:cs="Aptos"/>
                <w:color w:val="000000" w:themeColor="text1"/>
                <w:szCs w:val="22"/>
                <w:lang w:val="en-AU"/>
              </w:rPr>
              <w:t>5</w:t>
            </w:r>
            <w:r w:rsidRPr="00FF0B57">
              <w:rPr>
                <w:rFonts w:eastAsia="Aptos" w:cs="Aptos"/>
                <w:color w:val="000000" w:themeColor="text1"/>
                <w:szCs w:val="22"/>
                <w:lang w:val="en-AU"/>
              </w:rPr>
              <w:t xml:space="preserve"> Victoria</w:t>
            </w:r>
            <w:r w:rsidR="00437F67">
              <w:rPr>
                <w:rFonts w:eastAsia="Aptos" w:cs="Aptos"/>
                <w:color w:val="000000" w:themeColor="text1"/>
                <w:szCs w:val="22"/>
                <w:lang w:val="en-AU"/>
              </w:rPr>
              <w:t>n</w:t>
            </w:r>
            <w:r w:rsidRPr="00FF0B57">
              <w:rPr>
                <w:rFonts w:eastAsia="Aptos" w:cs="Aptos"/>
                <w:color w:val="000000" w:themeColor="text1"/>
                <w:szCs w:val="22"/>
                <w:lang w:val="en-AU"/>
              </w:rPr>
              <w:t>s experience a mental health condition each year. Rates of high or very</w:t>
            </w:r>
            <w:r w:rsidR="00C82413">
              <w:rPr>
                <w:rFonts w:eastAsia="Aptos" w:cs="Aptos"/>
                <w:color w:val="000000" w:themeColor="text1"/>
                <w:szCs w:val="22"/>
                <w:lang w:val="en-AU"/>
              </w:rPr>
              <w:t> </w:t>
            </w:r>
            <w:r w:rsidRPr="00FF0B57">
              <w:rPr>
                <w:rFonts w:eastAsia="Aptos" w:cs="Aptos"/>
                <w:color w:val="000000" w:themeColor="text1"/>
                <w:szCs w:val="22"/>
                <w:lang w:val="en-AU"/>
              </w:rPr>
              <w:t xml:space="preserve">high psychological distress reached 22.8 per cent in 2022, up from 15 per cent </w:t>
            </w:r>
            <w:r>
              <w:rPr>
                <w:rFonts w:eastAsia="Aptos" w:cs="Aptos"/>
                <w:color w:val="000000" w:themeColor="text1"/>
                <w:szCs w:val="22"/>
                <w:lang w:val="en-AU"/>
              </w:rPr>
              <w:t>4</w:t>
            </w:r>
            <w:r w:rsidR="00C82413">
              <w:rPr>
                <w:rFonts w:eastAsia="Aptos" w:cs="Aptos"/>
                <w:color w:val="000000" w:themeColor="text1"/>
                <w:szCs w:val="22"/>
                <w:lang w:val="en-AU"/>
              </w:rPr>
              <w:t> </w:t>
            </w:r>
            <w:r w:rsidRPr="00FF0B57">
              <w:rPr>
                <w:rFonts w:eastAsia="Aptos" w:cs="Aptos"/>
                <w:color w:val="000000" w:themeColor="text1"/>
                <w:szCs w:val="22"/>
                <w:lang w:val="en-AU"/>
              </w:rPr>
              <w:t>years prior.</w:t>
            </w:r>
          </w:p>
          <w:p w14:paraId="14FA6BA8" w14:textId="14127355" w:rsidR="00077A28" w:rsidRPr="00093E9A" w:rsidRDefault="00077A28" w:rsidP="00D207B3">
            <w:pPr>
              <w:pStyle w:val="ListParagraph"/>
              <w:numPr>
                <w:ilvl w:val="0"/>
                <w:numId w:val="16"/>
              </w:numPr>
              <w:spacing w:after="160" w:line="278" w:lineRule="auto"/>
              <w:contextualSpacing w:val="0"/>
              <w:rPr>
                <w:rFonts w:eastAsia="Aptos" w:cs="Aptos"/>
                <w:color w:val="000000" w:themeColor="text1"/>
                <w:szCs w:val="22"/>
                <w:lang w:val="en-AU"/>
              </w:rPr>
            </w:pPr>
            <w:r w:rsidRPr="00FF0B57">
              <w:rPr>
                <w:rFonts w:eastAsia="Aptos" w:cs="Aptos"/>
                <w:color w:val="000000" w:themeColor="text1"/>
                <w:szCs w:val="22"/>
                <w:lang w:val="en-AU"/>
              </w:rPr>
              <w:t>High numbers of people access hospital emergency departments as the ‘front door’ to the health system</w:t>
            </w:r>
            <w:r w:rsidR="00114E4F">
              <w:rPr>
                <w:rFonts w:eastAsia="Aptos" w:cs="Aptos"/>
                <w:color w:val="000000" w:themeColor="text1"/>
                <w:szCs w:val="22"/>
                <w:lang w:val="en-AU"/>
              </w:rPr>
              <w:t>,</w:t>
            </w:r>
            <w:r w:rsidRPr="00FF0B57">
              <w:rPr>
                <w:rFonts w:eastAsia="Aptos" w:cs="Aptos"/>
                <w:color w:val="000000" w:themeColor="text1"/>
                <w:szCs w:val="22"/>
                <w:lang w:val="en-AU"/>
              </w:rPr>
              <w:t xml:space="preserve"> which are not always the most appropriate point of contact for patient need. In 2022–23, 41 per cent of emergency department presentations were lower urgency cases that should have been dealt with through the primary care system.</w:t>
            </w:r>
          </w:p>
          <w:p w14:paraId="6600B5D7" w14:textId="2FA4F8E0" w:rsidR="00077A28" w:rsidRPr="005D50F8" w:rsidRDefault="00077A28" w:rsidP="0014134E">
            <w:pPr>
              <w:spacing w:after="160" w:line="278" w:lineRule="auto"/>
              <w:rPr>
                <w:rFonts w:eastAsia="Aptos" w:cs="Aptos"/>
                <w:color w:val="000000" w:themeColor="text1"/>
                <w:szCs w:val="22"/>
                <w:lang w:val="en-AU"/>
              </w:rPr>
            </w:pPr>
            <w:r w:rsidRPr="005D50F8">
              <w:rPr>
                <w:rFonts w:eastAsia="Aptos" w:cs="Aptos"/>
                <w:color w:val="000000" w:themeColor="text1"/>
                <w:szCs w:val="22"/>
                <w:lang w:val="en-AU"/>
              </w:rPr>
              <w:t>There are significant opportunities for reform in health</w:t>
            </w:r>
            <w:r>
              <w:rPr>
                <w:rFonts w:eastAsia="Aptos" w:cs="Aptos"/>
                <w:color w:val="000000" w:themeColor="text1"/>
                <w:szCs w:val="22"/>
                <w:lang w:val="en-AU"/>
              </w:rPr>
              <w:t xml:space="preserve"> – </w:t>
            </w:r>
            <w:r w:rsidRPr="005D50F8">
              <w:rPr>
                <w:rFonts w:eastAsia="Aptos" w:cs="Aptos"/>
                <w:color w:val="000000" w:themeColor="text1"/>
                <w:szCs w:val="22"/>
                <w:lang w:val="en-AU"/>
              </w:rPr>
              <w:t xml:space="preserve">with varying degrees of complexity and sensitivity. </w:t>
            </w:r>
            <w:r>
              <w:rPr>
                <w:rFonts w:eastAsia="Aptos" w:cs="Aptos"/>
                <w:color w:val="000000" w:themeColor="text1"/>
                <w:szCs w:val="22"/>
                <w:lang w:val="en-AU"/>
              </w:rPr>
              <w:t>G</w:t>
            </w:r>
            <w:r w:rsidRPr="005D50F8">
              <w:rPr>
                <w:rFonts w:eastAsia="Aptos" w:cs="Aptos"/>
                <w:color w:val="000000" w:themeColor="text1"/>
                <w:szCs w:val="22"/>
                <w:lang w:val="en-AU"/>
              </w:rPr>
              <w:t>overnment consideration of Victoria’s health system through an enhanced planning and review process in the July</w:t>
            </w:r>
            <w:r>
              <w:rPr>
                <w:rFonts w:eastAsia="Aptos" w:cs="Aptos"/>
                <w:color w:val="000000" w:themeColor="text1"/>
                <w:szCs w:val="22"/>
                <w:lang w:val="en-AU"/>
              </w:rPr>
              <w:t>–</w:t>
            </w:r>
            <w:r w:rsidRPr="005D50F8">
              <w:rPr>
                <w:rFonts w:eastAsia="Aptos" w:cs="Aptos"/>
                <w:color w:val="000000" w:themeColor="text1"/>
                <w:szCs w:val="22"/>
                <w:lang w:val="en-AU"/>
              </w:rPr>
              <w:t xml:space="preserve">November </w:t>
            </w:r>
            <w:r>
              <w:rPr>
                <w:rFonts w:eastAsia="Aptos" w:cs="Aptos"/>
                <w:color w:val="000000" w:themeColor="text1"/>
                <w:szCs w:val="22"/>
                <w:lang w:val="en-AU"/>
              </w:rPr>
              <w:t>phase</w:t>
            </w:r>
            <w:r w:rsidRPr="005D50F8">
              <w:rPr>
                <w:rFonts w:eastAsia="Aptos" w:cs="Aptos"/>
                <w:color w:val="000000" w:themeColor="text1"/>
                <w:szCs w:val="22"/>
                <w:lang w:val="en-AU"/>
              </w:rPr>
              <w:t xml:space="preserve"> of the budget cycle would provide government with </w:t>
            </w:r>
            <w:r>
              <w:rPr>
                <w:rFonts w:eastAsia="Aptos" w:cs="Aptos"/>
                <w:color w:val="000000" w:themeColor="text1"/>
                <w:szCs w:val="22"/>
                <w:lang w:val="en-AU"/>
              </w:rPr>
              <w:t xml:space="preserve">a greater </w:t>
            </w:r>
            <w:r w:rsidRPr="005D50F8">
              <w:rPr>
                <w:rFonts w:eastAsia="Aptos" w:cs="Aptos"/>
                <w:color w:val="000000" w:themeColor="text1"/>
                <w:szCs w:val="22"/>
                <w:lang w:val="en-AU"/>
              </w:rPr>
              <w:t>opportunity to take a more strategic view of core r</w:t>
            </w:r>
            <w:r>
              <w:rPr>
                <w:rFonts w:eastAsia="Aptos" w:cs="Aptos"/>
                <w:color w:val="000000" w:themeColor="text1"/>
                <w:szCs w:val="22"/>
                <w:lang w:val="en-AU"/>
              </w:rPr>
              <w:t xml:space="preserve">oles, </w:t>
            </w:r>
            <w:r w:rsidRPr="005D50F8">
              <w:rPr>
                <w:rFonts w:eastAsia="Aptos" w:cs="Aptos"/>
                <w:color w:val="000000" w:themeColor="text1"/>
                <w:szCs w:val="22"/>
                <w:lang w:val="en-AU"/>
              </w:rPr>
              <w:t>objectives, pressures and</w:t>
            </w:r>
            <w:r>
              <w:rPr>
                <w:rFonts w:eastAsia="Aptos" w:cs="Aptos"/>
                <w:color w:val="000000" w:themeColor="text1"/>
                <w:szCs w:val="22"/>
                <w:lang w:val="en-AU"/>
              </w:rPr>
              <w:t xml:space="preserve"> demand management</w:t>
            </w:r>
            <w:r w:rsidRPr="005D50F8">
              <w:rPr>
                <w:rFonts w:eastAsia="Aptos" w:cs="Aptos"/>
                <w:color w:val="000000" w:themeColor="text1"/>
                <w:szCs w:val="22"/>
                <w:lang w:val="en-AU"/>
              </w:rPr>
              <w:t xml:space="preserve"> strategies. </w:t>
            </w:r>
            <w:r>
              <w:rPr>
                <w:rFonts w:eastAsia="Aptos" w:cs="Aptos"/>
                <w:color w:val="000000" w:themeColor="text1"/>
                <w:szCs w:val="22"/>
                <w:lang w:val="en-AU"/>
              </w:rPr>
              <w:t>This would support negotiations with the Commonwealth on key national partnerships (see Chapter 4)</w:t>
            </w:r>
            <w:r w:rsidR="00AB4CE5">
              <w:rPr>
                <w:rFonts w:eastAsia="Aptos" w:cs="Aptos"/>
                <w:color w:val="000000" w:themeColor="text1"/>
                <w:szCs w:val="22"/>
                <w:lang w:val="en-AU"/>
              </w:rPr>
              <w:t>. It would also</w:t>
            </w:r>
            <w:r>
              <w:rPr>
                <w:rFonts w:eastAsia="Aptos" w:cs="Aptos"/>
                <w:color w:val="000000" w:themeColor="text1"/>
                <w:szCs w:val="22"/>
                <w:lang w:val="en-AU"/>
              </w:rPr>
              <w:t xml:space="preserve"> facilitate </w:t>
            </w:r>
            <w:r w:rsidRPr="005D50F8">
              <w:rPr>
                <w:rFonts w:eastAsia="Aptos" w:cs="Aptos"/>
                <w:color w:val="000000" w:themeColor="text1"/>
                <w:szCs w:val="22"/>
                <w:lang w:val="en-AU"/>
              </w:rPr>
              <w:t>engagement with reform opportunities</w:t>
            </w:r>
            <w:r w:rsidR="003E04EB">
              <w:rPr>
                <w:rFonts w:eastAsia="Aptos" w:cs="Aptos"/>
                <w:color w:val="000000" w:themeColor="text1"/>
                <w:szCs w:val="22"/>
                <w:lang w:val="en-AU"/>
              </w:rPr>
              <w:t>,</w:t>
            </w:r>
            <w:r w:rsidRPr="005D50F8">
              <w:rPr>
                <w:rFonts w:eastAsia="Aptos" w:cs="Aptos"/>
                <w:color w:val="000000" w:themeColor="text1"/>
                <w:szCs w:val="22"/>
                <w:lang w:val="en-AU"/>
              </w:rPr>
              <w:t xml:space="preserve"> such as:</w:t>
            </w:r>
          </w:p>
          <w:p w14:paraId="444CE095" w14:textId="0F3F0989" w:rsidR="00077A28" w:rsidRPr="00BD425A" w:rsidRDefault="00C5203D" w:rsidP="00737F5A">
            <w:pPr>
              <w:pStyle w:val="ListParagraph"/>
              <w:numPr>
                <w:ilvl w:val="0"/>
                <w:numId w:val="17"/>
              </w:numPr>
              <w:spacing w:before="240" w:after="160" w:line="278" w:lineRule="auto"/>
              <w:ind w:left="306" w:hanging="306"/>
              <w:contextualSpacing w:val="0"/>
              <w:rPr>
                <w:rFonts w:eastAsia="Aptos" w:cs="Aptos"/>
                <w:color w:val="000000" w:themeColor="text1"/>
                <w:szCs w:val="22"/>
                <w:lang w:val="en-AU"/>
              </w:rPr>
            </w:pPr>
            <w:r>
              <w:rPr>
                <w:rFonts w:eastAsia="Aptos" w:cs="Aptos"/>
                <w:color w:val="000000" w:themeColor="text1"/>
                <w:szCs w:val="22"/>
                <w:lang w:val="en-AU"/>
              </w:rPr>
              <w:t>A</w:t>
            </w:r>
            <w:r w:rsidR="00077A28" w:rsidRPr="00BD425A">
              <w:rPr>
                <w:rFonts w:eastAsia="Aptos" w:cs="Aptos"/>
                <w:color w:val="000000" w:themeColor="text1"/>
                <w:szCs w:val="22"/>
                <w:lang w:val="en-AU"/>
              </w:rPr>
              <w:t>n increased role for health and wellbeing promotion and preventive health measures</w:t>
            </w:r>
            <w:r>
              <w:rPr>
                <w:rFonts w:eastAsia="Aptos" w:cs="Aptos"/>
                <w:color w:val="000000" w:themeColor="text1"/>
                <w:szCs w:val="22"/>
                <w:lang w:val="en-AU"/>
              </w:rPr>
              <w:t>.</w:t>
            </w:r>
          </w:p>
          <w:p w14:paraId="5450880C" w14:textId="3016B101" w:rsidR="00077A28" w:rsidRPr="00BD425A" w:rsidRDefault="00C5203D" w:rsidP="00D207B3">
            <w:pPr>
              <w:pStyle w:val="ListParagraph"/>
              <w:numPr>
                <w:ilvl w:val="0"/>
                <w:numId w:val="17"/>
              </w:numPr>
              <w:spacing w:after="160" w:line="278" w:lineRule="auto"/>
              <w:ind w:left="306" w:hanging="306"/>
              <w:contextualSpacing w:val="0"/>
              <w:rPr>
                <w:rFonts w:eastAsia="Aptos" w:cs="Aptos"/>
                <w:color w:val="000000" w:themeColor="text1"/>
                <w:szCs w:val="22"/>
                <w:lang w:val="en-AU"/>
              </w:rPr>
            </w:pPr>
            <w:r>
              <w:rPr>
                <w:rFonts w:eastAsia="Aptos" w:cs="Aptos"/>
                <w:color w:val="000000" w:themeColor="text1"/>
                <w:szCs w:val="22"/>
                <w:lang w:val="en-AU"/>
              </w:rPr>
              <w:t>A</w:t>
            </w:r>
            <w:r w:rsidR="00077A28" w:rsidRPr="00BD425A">
              <w:rPr>
                <w:rFonts w:eastAsia="Aptos" w:cs="Aptos"/>
                <w:color w:val="000000" w:themeColor="text1"/>
                <w:szCs w:val="22"/>
                <w:lang w:val="en-AU"/>
              </w:rPr>
              <w:t xml:space="preserve"> greater role for digital service delivery and connected data systems</w:t>
            </w:r>
            <w:r>
              <w:rPr>
                <w:rFonts w:eastAsia="Aptos" w:cs="Aptos"/>
                <w:color w:val="000000" w:themeColor="text1"/>
                <w:szCs w:val="22"/>
                <w:lang w:val="en-AU"/>
              </w:rPr>
              <w:t>.</w:t>
            </w:r>
          </w:p>
          <w:p w14:paraId="30801EFC" w14:textId="5707FB02" w:rsidR="00077A28" w:rsidRPr="00BD425A" w:rsidRDefault="00C5203D" w:rsidP="00D207B3">
            <w:pPr>
              <w:pStyle w:val="ListParagraph"/>
              <w:numPr>
                <w:ilvl w:val="0"/>
                <w:numId w:val="17"/>
              </w:numPr>
              <w:spacing w:after="160" w:line="278" w:lineRule="auto"/>
              <w:ind w:left="306" w:hanging="306"/>
              <w:contextualSpacing w:val="0"/>
              <w:rPr>
                <w:rFonts w:eastAsia="Aptos" w:cs="Aptos"/>
                <w:color w:val="000000" w:themeColor="text1"/>
                <w:szCs w:val="22"/>
                <w:lang w:val="en-AU"/>
              </w:rPr>
            </w:pPr>
            <w:r>
              <w:rPr>
                <w:rFonts w:eastAsia="Aptos" w:cs="Aptos"/>
                <w:color w:val="000000" w:themeColor="text1"/>
                <w:szCs w:val="22"/>
                <w:lang w:val="en-AU"/>
              </w:rPr>
              <w:t>A</w:t>
            </w:r>
            <w:r w:rsidR="00077A28" w:rsidRPr="00BD425A">
              <w:rPr>
                <w:rFonts w:eastAsia="Aptos" w:cs="Aptos"/>
                <w:color w:val="000000" w:themeColor="text1"/>
                <w:szCs w:val="22"/>
                <w:lang w:val="en-AU"/>
              </w:rPr>
              <w:t xml:space="preserve"> greater role for community health to deliver care closer to home and at less cost</w:t>
            </w:r>
            <w:r>
              <w:rPr>
                <w:rFonts w:eastAsia="Aptos" w:cs="Aptos"/>
                <w:color w:val="000000" w:themeColor="text1"/>
                <w:szCs w:val="22"/>
                <w:lang w:val="en-AU"/>
              </w:rPr>
              <w:t>.</w:t>
            </w:r>
          </w:p>
          <w:p w14:paraId="3E316F3B" w14:textId="35B87293" w:rsidR="00077A28" w:rsidRPr="00BD425A" w:rsidRDefault="00C5203D" w:rsidP="00D207B3">
            <w:pPr>
              <w:pStyle w:val="ListParagraph"/>
              <w:numPr>
                <w:ilvl w:val="0"/>
                <w:numId w:val="17"/>
              </w:numPr>
              <w:spacing w:after="160" w:line="278" w:lineRule="auto"/>
              <w:ind w:left="306" w:hanging="306"/>
              <w:contextualSpacing w:val="0"/>
              <w:rPr>
                <w:rFonts w:eastAsia="Aptos" w:cs="Aptos"/>
                <w:color w:val="000000" w:themeColor="text1"/>
                <w:szCs w:val="22"/>
                <w:lang w:val="en-AU"/>
              </w:rPr>
            </w:pPr>
            <w:r>
              <w:rPr>
                <w:rFonts w:eastAsia="Aptos" w:cs="Aptos"/>
                <w:color w:val="000000" w:themeColor="text1"/>
                <w:szCs w:val="22"/>
                <w:lang w:val="en-AU"/>
              </w:rPr>
              <w:t>I</w:t>
            </w:r>
            <w:r w:rsidR="00077A28" w:rsidRPr="00BD425A">
              <w:rPr>
                <w:rFonts w:eastAsia="Aptos" w:cs="Aptos"/>
                <w:color w:val="000000" w:themeColor="text1"/>
                <w:szCs w:val="22"/>
                <w:lang w:val="en-AU"/>
              </w:rPr>
              <w:t xml:space="preserve">mproved statewide service and capital planning and </w:t>
            </w:r>
            <w:r w:rsidR="00077A28">
              <w:rPr>
                <w:rFonts w:eastAsia="Aptos" w:cs="Aptos"/>
                <w:color w:val="000000" w:themeColor="text1"/>
                <w:szCs w:val="22"/>
                <w:lang w:val="en-AU"/>
              </w:rPr>
              <w:t xml:space="preserve">a stronger </w:t>
            </w:r>
            <w:r w:rsidR="00077A28" w:rsidRPr="00BD425A">
              <w:rPr>
                <w:rFonts w:eastAsia="Aptos" w:cs="Aptos"/>
                <w:color w:val="000000" w:themeColor="text1"/>
                <w:szCs w:val="22"/>
                <w:lang w:val="en-AU"/>
              </w:rPr>
              <w:t>DH stewardship role</w:t>
            </w:r>
            <w:r>
              <w:rPr>
                <w:rFonts w:eastAsia="Aptos" w:cs="Aptos"/>
                <w:color w:val="000000" w:themeColor="text1"/>
                <w:szCs w:val="22"/>
                <w:lang w:val="en-AU"/>
              </w:rPr>
              <w:t>.</w:t>
            </w:r>
          </w:p>
          <w:p w14:paraId="0985016E" w14:textId="6D700AB6" w:rsidR="00077A28" w:rsidRPr="00BD425A" w:rsidRDefault="00C5203D" w:rsidP="00D207B3">
            <w:pPr>
              <w:pStyle w:val="ListParagraph"/>
              <w:numPr>
                <w:ilvl w:val="0"/>
                <w:numId w:val="17"/>
              </w:numPr>
              <w:spacing w:after="160" w:line="278" w:lineRule="auto"/>
              <w:ind w:left="306" w:hanging="306"/>
              <w:contextualSpacing w:val="0"/>
              <w:rPr>
                <w:rFonts w:eastAsia="Aptos" w:cs="Aptos"/>
                <w:color w:val="000000" w:themeColor="text1"/>
                <w:szCs w:val="22"/>
                <w:lang w:val="en-AU"/>
              </w:rPr>
            </w:pPr>
            <w:r>
              <w:rPr>
                <w:rFonts w:eastAsia="Aptos" w:cs="Aptos"/>
                <w:color w:val="000000" w:themeColor="text1"/>
                <w:szCs w:val="22"/>
                <w:lang w:val="en-AU"/>
              </w:rPr>
              <w:t>O</w:t>
            </w:r>
            <w:r w:rsidR="00077A28" w:rsidRPr="00BD425A">
              <w:rPr>
                <w:rFonts w:eastAsia="Aptos" w:cs="Aptos"/>
                <w:color w:val="000000" w:themeColor="text1"/>
                <w:szCs w:val="22"/>
                <w:lang w:val="en-AU"/>
              </w:rPr>
              <w:t xml:space="preserve">pportunities for </w:t>
            </w:r>
            <w:r w:rsidR="00077A28">
              <w:rPr>
                <w:rFonts w:eastAsia="Aptos" w:cs="Aptos"/>
                <w:color w:val="000000" w:themeColor="text1"/>
                <w:szCs w:val="22"/>
                <w:lang w:val="en-AU"/>
              </w:rPr>
              <w:t>more</w:t>
            </w:r>
            <w:r w:rsidR="00077A28" w:rsidRPr="00BD425A">
              <w:rPr>
                <w:rFonts w:eastAsia="Aptos" w:cs="Aptos"/>
                <w:color w:val="000000" w:themeColor="text1"/>
                <w:szCs w:val="22"/>
                <w:lang w:val="en-AU"/>
              </w:rPr>
              <w:t xml:space="preserve"> networked governance across health services</w:t>
            </w:r>
            <w:r w:rsidR="00077A28">
              <w:rPr>
                <w:rFonts w:eastAsia="Aptos" w:cs="Aptos"/>
                <w:color w:val="000000" w:themeColor="text1"/>
                <w:szCs w:val="22"/>
                <w:lang w:val="en-AU"/>
              </w:rPr>
              <w:t xml:space="preserve"> – st</w:t>
            </w:r>
            <w:r w:rsidR="00077A28" w:rsidRPr="00BD425A">
              <w:rPr>
                <w:rFonts w:eastAsia="Aptos" w:cs="Aptos"/>
                <w:color w:val="000000" w:themeColor="text1"/>
                <w:szCs w:val="22"/>
                <w:lang w:val="en-AU"/>
              </w:rPr>
              <w:t>arting with accelerated Local Health Service Networks and opportunities for health service consolidation over time</w:t>
            </w:r>
            <w:r>
              <w:rPr>
                <w:rFonts w:eastAsia="Aptos" w:cs="Aptos"/>
                <w:color w:val="000000" w:themeColor="text1"/>
                <w:szCs w:val="22"/>
                <w:lang w:val="en-AU"/>
              </w:rPr>
              <w:t>.</w:t>
            </w:r>
          </w:p>
          <w:p w14:paraId="4E948804" w14:textId="3EBE5142" w:rsidR="00077A28" w:rsidRDefault="00C5203D" w:rsidP="00815CFB">
            <w:pPr>
              <w:pStyle w:val="ListParagraph"/>
              <w:numPr>
                <w:ilvl w:val="0"/>
                <w:numId w:val="17"/>
              </w:numPr>
              <w:spacing w:after="240" w:line="278" w:lineRule="auto"/>
              <w:ind w:left="306" w:hanging="306"/>
              <w:contextualSpacing w:val="0"/>
              <w:rPr>
                <w:rFonts w:eastAsia="Aptos" w:cs="Aptos"/>
                <w:color w:val="000000" w:themeColor="text1"/>
                <w:szCs w:val="22"/>
                <w:lang w:val="en-AU"/>
              </w:rPr>
            </w:pPr>
            <w:r>
              <w:rPr>
                <w:rFonts w:eastAsia="Aptos" w:cs="Aptos"/>
                <w:color w:val="000000" w:themeColor="text1"/>
                <w:szCs w:val="22"/>
                <w:lang w:val="en-AU"/>
              </w:rPr>
              <w:t>O</w:t>
            </w:r>
            <w:r w:rsidR="00077A28" w:rsidRPr="00BD425A">
              <w:rPr>
                <w:rFonts w:eastAsia="Aptos" w:cs="Aptos"/>
                <w:color w:val="000000" w:themeColor="text1"/>
                <w:szCs w:val="22"/>
                <w:lang w:val="en-AU"/>
              </w:rPr>
              <w:t xml:space="preserve">pportunities to </w:t>
            </w:r>
            <w:r w:rsidR="00077A28" w:rsidRPr="00BD06B0">
              <w:rPr>
                <w:rFonts w:eastAsia="Aptos" w:cs="Aptos"/>
                <w:color w:val="000000" w:themeColor="text1"/>
                <w:szCs w:val="22"/>
                <w:lang w:val="en-AU"/>
              </w:rPr>
              <w:t xml:space="preserve">transition out </w:t>
            </w:r>
            <w:r w:rsidR="00077A28" w:rsidRPr="00BD425A">
              <w:rPr>
                <w:rFonts w:eastAsia="Aptos" w:cs="Aptos"/>
                <w:color w:val="000000" w:themeColor="text1"/>
                <w:szCs w:val="22"/>
                <w:lang w:val="en-AU"/>
              </w:rPr>
              <w:t>of areas of Commonwealth responsibilities – including in prevention, primary care, aged care and mental health</w:t>
            </w:r>
            <w:r w:rsidR="00077A28">
              <w:rPr>
                <w:rFonts w:eastAsia="Aptos" w:cs="Aptos"/>
                <w:color w:val="000000" w:themeColor="text1"/>
                <w:szCs w:val="22"/>
                <w:lang w:val="en-AU"/>
              </w:rPr>
              <w:t xml:space="preserve"> </w:t>
            </w:r>
            <w:r w:rsidR="006E1A5A">
              <w:rPr>
                <w:rFonts w:eastAsia="Aptos" w:cs="Aptos"/>
                <w:color w:val="000000" w:themeColor="text1"/>
                <w:szCs w:val="22"/>
                <w:lang w:val="en-AU"/>
              </w:rPr>
              <w:t xml:space="preserve">– </w:t>
            </w:r>
            <w:r w:rsidR="00077A28" w:rsidRPr="00BD06B0">
              <w:rPr>
                <w:rFonts w:eastAsia="Aptos" w:cs="Aptos"/>
                <w:color w:val="000000" w:themeColor="text1"/>
                <w:szCs w:val="22"/>
                <w:lang w:val="en-AU"/>
              </w:rPr>
              <w:t>to allow a stronger focus on the government’s core responsibilities.</w:t>
            </w:r>
          </w:p>
        </w:tc>
      </w:tr>
    </w:tbl>
    <w:p w14:paraId="5A313FCE" w14:textId="77777777" w:rsidR="00815CFB" w:rsidRDefault="00815CFB" w:rsidP="003813B3">
      <w:pPr>
        <w:pStyle w:val="ListParagraph"/>
        <w:numPr>
          <w:ilvl w:val="0"/>
          <w:numId w:val="6"/>
        </w:numPr>
        <w:spacing w:before="240"/>
        <w:ind w:left="357" w:hanging="357"/>
        <w:contextualSpacing w:val="0"/>
        <w:rPr>
          <w:rFonts w:eastAsia="Aptos" w:cs="Aptos"/>
          <w:b/>
          <w:color w:val="000000" w:themeColor="text1"/>
          <w:szCs w:val="22"/>
        </w:rPr>
        <w:sectPr w:rsidR="00815CFB" w:rsidSect="00AE6104">
          <w:type w:val="continuous"/>
          <w:pgSz w:w="11906" w:h="16838"/>
          <w:pgMar w:top="1440" w:right="1440" w:bottom="1440" w:left="1440" w:header="708" w:footer="708" w:gutter="0"/>
          <w:cols w:space="708"/>
          <w:docGrid w:linePitch="360"/>
          <w15:footnoteColumns w:val="1"/>
        </w:sectPr>
      </w:pPr>
    </w:p>
    <w:p w14:paraId="2A84FDD3" w14:textId="77777777" w:rsidR="00077A28" w:rsidRPr="00552588" w:rsidRDefault="00077A28" w:rsidP="00815CFB">
      <w:pPr>
        <w:pStyle w:val="ListParagraph"/>
        <w:numPr>
          <w:ilvl w:val="0"/>
          <w:numId w:val="6"/>
        </w:numPr>
        <w:ind w:left="357" w:hanging="357"/>
        <w:contextualSpacing w:val="0"/>
        <w:rPr>
          <w:rFonts w:ascii="Aptos" w:eastAsia="Aptos" w:hAnsi="Aptos" w:cs="Aptos"/>
          <w:b/>
          <w:color w:val="000000" w:themeColor="text1"/>
          <w:szCs w:val="22"/>
        </w:rPr>
      </w:pPr>
      <w:r w:rsidRPr="00775A25">
        <w:rPr>
          <w:rFonts w:eastAsia="Aptos" w:cs="Aptos"/>
          <w:b/>
          <w:color w:val="000000" w:themeColor="text1"/>
          <w:szCs w:val="22"/>
        </w:rPr>
        <w:t>Expand systematic expenditure evaluations in the annual budget cycle</w:t>
      </w:r>
      <w:r>
        <w:rPr>
          <w:rFonts w:eastAsia="Aptos" w:cs="Aptos"/>
          <w:b/>
          <w:color w:val="000000" w:themeColor="text1"/>
          <w:szCs w:val="22"/>
        </w:rPr>
        <w:t xml:space="preserve"> (July to November)</w:t>
      </w:r>
    </w:p>
    <w:p w14:paraId="4B0A635D" w14:textId="2B4CC0BD" w:rsidR="00077A28" w:rsidRPr="00AC06C7" w:rsidRDefault="00077A28" w:rsidP="00077A28">
      <w:pPr>
        <w:ind w:left="357"/>
        <w:rPr>
          <w:rFonts w:eastAsia="Aptos" w:cs="Aptos"/>
          <w:color w:val="000000" w:themeColor="text1"/>
          <w:szCs w:val="22"/>
        </w:rPr>
      </w:pPr>
      <w:r w:rsidRPr="00AC06C7">
        <w:rPr>
          <w:rFonts w:eastAsia="Aptos" w:cs="Aptos"/>
          <w:color w:val="000000" w:themeColor="text1"/>
          <w:szCs w:val="22"/>
        </w:rPr>
        <w:t xml:space="preserve">Expanding and embedding the systematic evaluation of the effectiveness and efficiency </w:t>
      </w:r>
      <w:r w:rsidRPr="00BD06B0">
        <w:rPr>
          <w:rFonts w:eastAsia="Aptos" w:cs="Aptos"/>
          <w:color w:val="000000" w:themeColor="text1"/>
          <w:szCs w:val="22"/>
        </w:rPr>
        <w:t>of operating expenditure</w:t>
      </w:r>
      <w:r w:rsidRPr="00AC06C7">
        <w:rPr>
          <w:rFonts w:eastAsia="Aptos" w:cs="Aptos"/>
          <w:color w:val="000000" w:themeColor="text1"/>
          <w:szCs w:val="22"/>
        </w:rPr>
        <w:t xml:space="preserve"> </w:t>
      </w:r>
      <w:r>
        <w:rPr>
          <w:rFonts w:eastAsia="Aptos" w:cs="Aptos"/>
          <w:color w:val="000000" w:themeColor="text1"/>
          <w:szCs w:val="22"/>
        </w:rPr>
        <w:t>would deepen understanding</w:t>
      </w:r>
      <w:r w:rsidRPr="00AC06C7">
        <w:rPr>
          <w:rFonts w:eastAsia="Aptos" w:cs="Aptos"/>
          <w:color w:val="000000" w:themeColor="text1"/>
          <w:szCs w:val="22"/>
        </w:rPr>
        <w:t xml:space="preserve"> of base expenditure in the annual budget </w:t>
      </w:r>
      <w:r>
        <w:rPr>
          <w:rFonts w:eastAsia="Aptos" w:cs="Aptos"/>
          <w:color w:val="000000" w:themeColor="text1"/>
          <w:szCs w:val="22"/>
        </w:rPr>
        <w:t xml:space="preserve">and enhance decision-making. </w:t>
      </w:r>
    </w:p>
    <w:p w14:paraId="6892CD36" w14:textId="45F55409" w:rsidR="00077A28" w:rsidRDefault="00077A28" w:rsidP="00077A28">
      <w:pPr>
        <w:ind w:left="360"/>
        <w:rPr>
          <w:rFonts w:eastAsia="Aptos" w:cs="Aptos"/>
          <w:color w:val="000000" w:themeColor="text1"/>
          <w:szCs w:val="22"/>
        </w:rPr>
      </w:pPr>
      <w:r w:rsidRPr="00AC06C7">
        <w:rPr>
          <w:rFonts w:eastAsia="Aptos" w:cs="Aptos"/>
          <w:color w:val="000000" w:themeColor="text1"/>
          <w:szCs w:val="22"/>
        </w:rPr>
        <w:t xml:space="preserve">The process should consider a systematic rolling program of deep evaluations of major programs </w:t>
      </w:r>
      <w:r w:rsidR="006E1A5A">
        <w:rPr>
          <w:rFonts w:eastAsia="Aptos" w:cs="Aptos"/>
          <w:color w:val="000000" w:themeColor="text1"/>
          <w:szCs w:val="22"/>
        </w:rPr>
        <w:t xml:space="preserve">of work </w:t>
      </w:r>
      <w:r w:rsidRPr="00AC06C7">
        <w:rPr>
          <w:rFonts w:eastAsia="Aptos" w:cs="Aptos"/>
          <w:color w:val="000000" w:themeColor="text1"/>
          <w:szCs w:val="22"/>
        </w:rPr>
        <w:t xml:space="preserve">and projects. </w:t>
      </w:r>
      <w:r>
        <w:rPr>
          <w:rFonts w:eastAsia="Aptos" w:cs="Aptos"/>
          <w:color w:val="000000" w:themeColor="text1"/>
          <w:szCs w:val="22"/>
        </w:rPr>
        <w:t xml:space="preserve">The evaluations would </w:t>
      </w:r>
      <w:r w:rsidRPr="00AC06C7">
        <w:rPr>
          <w:rFonts w:eastAsia="Aptos" w:cs="Aptos"/>
          <w:color w:val="000000" w:themeColor="text1"/>
          <w:szCs w:val="22"/>
        </w:rPr>
        <w:t>determine which programs, projects and expenditure should continue, stop, expand</w:t>
      </w:r>
      <w:r>
        <w:rPr>
          <w:rFonts w:eastAsia="Aptos" w:cs="Aptos"/>
          <w:color w:val="000000" w:themeColor="text1"/>
          <w:szCs w:val="22"/>
        </w:rPr>
        <w:t xml:space="preserve"> </w:t>
      </w:r>
      <w:r w:rsidRPr="00AC06C7">
        <w:rPr>
          <w:rFonts w:eastAsia="Aptos" w:cs="Aptos"/>
          <w:color w:val="000000" w:themeColor="text1"/>
          <w:szCs w:val="22"/>
        </w:rPr>
        <w:t xml:space="preserve">or be transformed to help generate savings, efficiencies and/or enable funds to be redirected to </w:t>
      </w:r>
      <w:r>
        <w:rPr>
          <w:rFonts w:eastAsia="Aptos" w:cs="Aptos"/>
          <w:color w:val="000000" w:themeColor="text1"/>
          <w:szCs w:val="22"/>
        </w:rPr>
        <w:t xml:space="preserve">higher priority </w:t>
      </w:r>
      <w:r w:rsidRPr="00AC06C7">
        <w:rPr>
          <w:rFonts w:eastAsia="Aptos" w:cs="Aptos"/>
          <w:color w:val="000000" w:themeColor="text1"/>
          <w:szCs w:val="22"/>
        </w:rPr>
        <w:t>programs</w:t>
      </w:r>
      <w:r>
        <w:rPr>
          <w:rFonts w:eastAsia="Aptos" w:cs="Aptos"/>
          <w:color w:val="000000" w:themeColor="text1"/>
          <w:szCs w:val="22"/>
        </w:rPr>
        <w:t xml:space="preserve"> or to ongoing savings</w:t>
      </w:r>
      <w:r w:rsidRPr="00AC06C7">
        <w:rPr>
          <w:rFonts w:eastAsia="Aptos" w:cs="Aptos"/>
          <w:color w:val="000000" w:themeColor="text1"/>
          <w:szCs w:val="22"/>
        </w:rPr>
        <w:t xml:space="preserve">. </w:t>
      </w:r>
    </w:p>
    <w:p w14:paraId="62D77611" w14:textId="180F89D2" w:rsidR="00077A28" w:rsidRDefault="00077A28" w:rsidP="00077A28">
      <w:pPr>
        <w:ind w:left="360"/>
        <w:rPr>
          <w:rFonts w:eastAsia="Aptos" w:cs="Aptos"/>
          <w:color w:val="000000" w:themeColor="text1"/>
          <w:szCs w:val="22"/>
        </w:rPr>
      </w:pPr>
      <w:r>
        <w:rPr>
          <w:rFonts w:eastAsia="Aptos" w:cs="Aptos"/>
          <w:color w:val="000000" w:themeColor="text1"/>
          <w:szCs w:val="22"/>
        </w:rPr>
        <w:lastRenderedPageBreak/>
        <w:t>A</w:t>
      </w:r>
      <w:r w:rsidRPr="00AC06C7">
        <w:rPr>
          <w:rFonts w:eastAsia="Aptos" w:cs="Aptos"/>
          <w:color w:val="000000" w:themeColor="text1"/>
          <w:szCs w:val="22"/>
        </w:rPr>
        <w:t>ll major expenditure</w:t>
      </w:r>
      <w:r>
        <w:rPr>
          <w:rFonts w:eastAsia="Aptos" w:cs="Aptos"/>
          <w:color w:val="000000" w:themeColor="text1"/>
          <w:szCs w:val="22"/>
        </w:rPr>
        <w:t xml:space="preserve"> </w:t>
      </w:r>
      <w:r w:rsidRPr="00AC06C7">
        <w:rPr>
          <w:rFonts w:eastAsia="Aptos" w:cs="Aptos"/>
          <w:color w:val="000000" w:themeColor="text1"/>
          <w:szCs w:val="22"/>
        </w:rPr>
        <w:t>program</w:t>
      </w:r>
      <w:r w:rsidR="00521A64">
        <w:rPr>
          <w:rFonts w:eastAsia="Aptos" w:cs="Aptos"/>
          <w:color w:val="000000" w:themeColor="text1"/>
          <w:szCs w:val="22"/>
        </w:rPr>
        <w:t xml:space="preserve"> areas</w:t>
      </w:r>
      <w:r w:rsidRPr="00AC06C7">
        <w:rPr>
          <w:rFonts w:eastAsia="Aptos" w:cs="Aptos"/>
          <w:color w:val="000000" w:themeColor="text1"/>
          <w:szCs w:val="22"/>
        </w:rPr>
        <w:t xml:space="preserve"> </w:t>
      </w:r>
      <w:r>
        <w:rPr>
          <w:rFonts w:eastAsia="Aptos" w:cs="Aptos"/>
          <w:color w:val="000000" w:themeColor="text1"/>
          <w:szCs w:val="22"/>
        </w:rPr>
        <w:t xml:space="preserve">should </w:t>
      </w:r>
      <w:r w:rsidRPr="00AC06C7">
        <w:rPr>
          <w:rFonts w:eastAsia="Aptos" w:cs="Aptos"/>
          <w:color w:val="000000" w:themeColor="text1"/>
          <w:szCs w:val="22"/>
        </w:rPr>
        <w:t>be evaluated at least once</w:t>
      </w:r>
      <w:r>
        <w:rPr>
          <w:rFonts w:eastAsia="Aptos" w:cs="Aptos"/>
          <w:color w:val="000000" w:themeColor="text1"/>
          <w:szCs w:val="22"/>
        </w:rPr>
        <w:t xml:space="preserve"> in a four-year cycle.</w:t>
      </w:r>
      <w:r w:rsidRPr="00AC06C7">
        <w:rPr>
          <w:rFonts w:eastAsia="Aptos" w:cs="Aptos"/>
          <w:color w:val="000000" w:themeColor="text1"/>
          <w:szCs w:val="22"/>
        </w:rPr>
        <w:t xml:space="preserve"> </w:t>
      </w:r>
      <w:r>
        <w:rPr>
          <w:rFonts w:eastAsia="Aptos" w:cs="Aptos"/>
          <w:color w:val="000000" w:themeColor="text1"/>
          <w:szCs w:val="22"/>
        </w:rPr>
        <w:t xml:space="preserve">A sample of potential </w:t>
      </w:r>
      <w:r w:rsidRPr="00AC06C7">
        <w:rPr>
          <w:rFonts w:eastAsia="Aptos" w:cs="Aptos"/>
          <w:color w:val="000000" w:themeColor="text1"/>
          <w:szCs w:val="22"/>
        </w:rPr>
        <w:t xml:space="preserve">programs </w:t>
      </w:r>
      <w:r>
        <w:rPr>
          <w:rFonts w:eastAsia="Aptos" w:cs="Aptos"/>
          <w:color w:val="000000" w:themeColor="text1"/>
          <w:szCs w:val="22"/>
        </w:rPr>
        <w:t xml:space="preserve">for systematic evaluation include </w:t>
      </w:r>
      <w:r w:rsidR="00A97440">
        <w:rPr>
          <w:rFonts w:eastAsia="Aptos" w:cs="Aptos"/>
          <w:color w:val="000000" w:themeColor="text1"/>
          <w:szCs w:val="22"/>
        </w:rPr>
        <w:t>V</w:t>
      </w:r>
      <w:r>
        <w:rPr>
          <w:rFonts w:eastAsia="Aptos" w:cs="Aptos"/>
          <w:color w:val="000000" w:themeColor="text1"/>
          <w:szCs w:val="22"/>
        </w:rPr>
        <w:t xml:space="preserve">ocational </w:t>
      </w:r>
      <w:r w:rsidR="00A97440">
        <w:rPr>
          <w:rFonts w:eastAsia="Aptos" w:cs="Aptos"/>
          <w:color w:val="000000" w:themeColor="text1"/>
          <w:szCs w:val="22"/>
        </w:rPr>
        <w:t>E</w:t>
      </w:r>
      <w:r>
        <w:rPr>
          <w:rFonts w:eastAsia="Aptos" w:cs="Aptos"/>
          <w:color w:val="000000" w:themeColor="text1"/>
          <w:szCs w:val="22"/>
        </w:rPr>
        <w:t xml:space="preserve">ducation and </w:t>
      </w:r>
      <w:r w:rsidR="00A97440">
        <w:rPr>
          <w:rFonts w:eastAsia="Aptos" w:cs="Aptos"/>
          <w:color w:val="000000" w:themeColor="text1"/>
          <w:szCs w:val="22"/>
        </w:rPr>
        <w:t>T</w:t>
      </w:r>
      <w:r>
        <w:rPr>
          <w:rFonts w:eastAsia="Aptos" w:cs="Aptos"/>
          <w:color w:val="000000" w:themeColor="text1"/>
          <w:szCs w:val="22"/>
        </w:rPr>
        <w:t>raining</w:t>
      </w:r>
      <w:r w:rsidR="00F02C21">
        <w:rPr>
          <w:rFonts w:eastAsia="Aptos" w:cs="Aptos"/>
          <w:color w:val="000000" w:themeColor="text1"/>
          <w:szCs w:val="22"/>
        </w:rPr>
        <w:t xml:space="preserve"> (VET)</w:t>
      </w:r>
      <w:r w:rsidR="004C2C2E">
        <w:rPr>
          <w:rFonts w:eastAsia="Aptos" w:cs="Aptos"/>
          <w:color w:val="000000" w:themeColor="text1"/>
          <w:szCs w:val="22"/>
        </w:rPr>
        <w:t>,</w:t>
      </w:r>
      <w:r>
        <w:rPr>
          <w:rFonts w:eastAsia="Aptos" w:cs="Aptos"/>
          <w:color w:val="000000" w:themeColor="text1"/>
          <w:szCs w:val="22"/>
        </w:rPr>
        <w:t xml:space="preserve"> industry support (the Review explores these program areas in Chapter 8</w:t>
      </w:r>
      <w:r w:rsidRPr="00BD06B0">
        <w:rPr>
          <w:rFonts w:eastAsia="Aptos" w:cs="Aptos"/>
          <w:color w:val="000000" w:themeColor="text1"/>
          <w:szCs w:val="22"/>
        </w:rPr>
        <w:t>)</w:t>
      </w:r>
      <w:r w:rsidR="004C2C2E">
        <w:rPr>
          <w:rFonts w:eastAsia="Aptos" w:cs="Aptos"/>
          <w:color w:val="000000" w:themeColor="text1"/>
          <w:szCs w:val="22"/>
        </w:rPr>
        <w:t>,</w:t>
      </w:r>
      <w:r w:rsidRPr="00BD06B0">
        <w:rPr>
          <w:rFonts w:eastAsia="Aptos" w:cs="Aptos"/>
          <w:color w:val="000000" w:themeColor="text1"/>
          <w:szCs w:val="22"/>
        </w:rPr>
        <w:t xml:space="preserve"> the Victorian Energy Upgrades program in DEECA</w:t>
      </w:r>
      <w:r w:rsidR="00D208DD">
        <w:rPr>
          <w:rFonts w:eastAsia="Aptos" w:cs="Aptos"/>
          <w:color w:val="000000" w:themeColor="text1"/>
          <w:szCs w:val="22"/>
        </w:rPr>
        <w:t>,</w:t>
      </w:r>
      <w:r w:rsidR="004C2C2E">
        <w:rPr>
          <w:rFonts w:eastAsia="Aptos" w:cs="Aptos"/>
          <w:color w:val="000000" w:themeColor="text1"/>
          <w:szCs w:val="22"/>
        </w:rPr>
        <w:t xml:space="preserve"> and</w:t>
      </w:r>
      <w:r w:rsidRPr="00BD06B0">
        <w:rPr>
          <w:rFonts w:eastAsia="Aptos" w:cs="Aptos"/>
          <w:color w:val="000000" w:themeColor="text1"/>
          <w:szCs w:val="22"/>
        </w:rPr>
        <w:t xml:space="preserve"> </w:t>
      </w:r>
      <w:r w:rsidR="00BE54FA">
        <w:rPr>
          <w:rFonts w:eastAsia="Aptos" w:cs="Aptos"/>
          <w:color w:val="000000" w:themeColor="text1"/>
          <w:szCs w:val="22"/>
        </w:rPr>
        <w:t>crime prevention</w:t>
      </w:r>
      <w:r w:rsidRPr="00BD06B0">
        <w:rPr>
          <w:rFonts w:eastAsia="Aptos" w:cs="Aptos"/>
          <w:color w:val="000000" w:themeColor="text1"/>
          <w:szCs w:val="22"/>
        </w:rPr>
        <w:t xml:space="preserve"> in the Department of Justice and Community Safety (DJCS).</w:t>
      </w:r>
      <w:r w:rsidRPr="00AC06C7">
        <w:rPr>
          <w:rFonts w:eastAsia="Aptos" w:cs="Aptos"/>
          <w:color w:val="000000" w:themeColor="text1"/>
          <w:szCs w:val="22"/>
        </w:rPr>
        <w:t xml:space="preserve"> </w:t>
      </w:r>
    </w:p>
    <w:p w14:paraId="7ED96820" w14:textId="7B846B02" w:rsidR="00077A28" w:rsidRPr="00AC06C7" w:rsidRDefault="00077A28" w:rsidP="00D207B3">
      <w:pPr>
        <w:pStyle w:val="ListParagraph"/>
        <w:numPr>
          <w:ilvl w:val="0"/>
          <w:numId w:val="4"/>
        </w:numPr>
        <w:contextualSpacing w:val="0"/>
        <w:rPr>
          <w:rFonts w:eastAsia="Aptos" w:cs="Aptos"/>
          <w:b/>
          <w:color w:val="000000" w:themeColor="text1"/>
          <w:szCs w:val="22"/>
        </w:rPr>
      </w:pPr>
      <w:r>
        <w:rPr>
          <w:rFonts w:eastAsia="Aptos" w:cs="Aptos"/>
          <w:b/>
          <w:color w:val="000000" w:themeColor="text1"/>
          <w:szCs w:val="22"/>
        </w:rPr>
        <w:t>Hold</w:t>
      </w:r>
      <w:r w:rsidRPr="00AC06C7">
        <w:rPr>
          <w:rFonts w:eastAsia="Aptos" w:cs="Aptos"/>
          <w:b/>
          <w:color w:val="000000" w:themeColor="text1"/>
          <w:szCs w:val="22"/>
        </w:rPr>
        <w:t xml:space="preserve"> Secretaries and </w:t>
      </w:r>
      <w:r w:rsidR="00531A94">
        <w:rPr>
          <w:rFonts w:eastAsia="Aptos" w:cs="Aptos"/>
          <w:b/>
          <w:color w:val="000000" w:themeColor="text1"/>
          <w:szCs w:val="22"/>
        </w:rPr>
        <w:t>Chief Executive Officers</w:t>
      </w:r>
      <w:r w:rsidRPr="00AC06C7">
        <w:rPr>
          <w:rFonts w:eastAsia="Aptos" w:cs="Aptos"/>
          <w:b/>
          <w:color w:val="000000" w:themeColor="text1"/>
          <w:szCs w:val="22"/>
        </w:rPr>
        <w:t xml:space="preserve"> </w:t>
      </w:r>
      <w:r w:rsidR="00531A94">
        <w:rPr>
          <w:rFonts w:eastAsia="Aptos" w:cs="Aptos"/>
          <w:b/>
          <w:color w:val="000000" w:themeColor="text1"/>
          <w:szCs w:val="22"/>
        </w:rPr>
        <w:t>(</w:t>
      </w:r>
      <w:r w:rsidRPr="00AC06C7">
        <w:rPr>
          <w:rFonts w:eastAsia="Aptos" w:cs="Aptos"/>
          <w:b/>
          <w:color w:val="000000" w:themeColor="text1"/>
          <w:szCs w:val="22"/>
        </w:rPr>
        <w:t>CEOs</w:t>
      </w:r>
      <w:r w:rsidR="00531A94">
        <w:rPr>
          <w:rFonts w:eastAsia="Aptos" w:cs="Aptos"/>
          <w:b/>
          <w:color w:val="000000" w:themeColor="text1"/>
          <w:szCs w:val="22"/>
        </w:rPr>
        <w:t>)</w:t>
      </w:r>
      <w:r w:rsidRPr="00AC06C7">
        <w:rPr>
          <w:rFonts w:eastAsia="Aptos" w:cs="Aptos"/>
          <w:b/>
          <w:color w:val="000000" w:themeColor="text1"/>
          <w:szCs w:val="22"/>
        </w:rPr>
        <w:t xml:space="preserve"> to account for their departmental and entity financial performance</w:t>
      </w:r>
      <w:r>
        <w:rPr>
          <w:rFonts w:eastAsia="Aptos" w:cs="Aptos"/>
          <w:b/>
          <w:color w:val="000000" w:themeColor="text1"/>
          <w:szCs w:val="22"/>
        </w:rPr>
        <w:t xml:space="preserve"> (information submitted twice yearly)</w:t>
      </w:r>
    </w:p>
    <w:p w14:paraId="757CA0C9" w14:textId="1A7481EE" w:rsidR="00077A28" w:rsidRPr="00775A25" w:rsidRDefault="00077A28" w:rsidP="00077A28">
      <w:pPr>
        <w:ind w:left="360"/>
        <w:rPr>
          <w:rFonts w:eastAsia="Aptos" w:cs="Aptos"/>
          <w:color w:val="000000" w:themeColor="text1"/>
          <w:szCs w:val="22"/>
        </w:rPr>
      </w:pPr>
      <w:r w:rsidRPr="00775A25">
        <w:rPr>
          <w:rFonts w:eastAsia="Aptos" w:cs="Aptos"/>
          <w:color w:val="000000" w:themeColor="text1"/>
          <w:szCs w:val="22"/>
        </w:rPr>
        <w:t>Service delivery and financial performance (actuals against budget) of departments and entities should be monitored and submitted to Cabinet for consideration at least twice a year. This will enable government to discuss significant emerging issues and use performance information to take corrective action and inform future resource allocation decisions during the year as well as part of the annual budget</w:t>
      </w:r>
      <w:r w:rsidR="00506DB6">
        <w:rPr>
          <w:rFonts w:eastAsia="Aptos" w:cs="Aptos"/>
          <w:color w:val="000000" w:themeColor="text1"/>
          <w:szCs w:val="22"/>
        </w:rPr>
        <w:t> </w:t>
      </w:r>
      <w:r w:rsidRPr="00775A25">
        <w:rPr>
          <w:rFonts w:eastAsia="Aptos" w:cs="Aptos"/>
          <w:color w:val="000000" w:themeColor="text1"/>
          <w:szCs w:val="22"/>
        </w:rPr>
        <w:t>cycle.</w:t>
      </w:r>
    </w:p>
    <w:p w14:paraId="49314750" w14:textId="5BE88CF5" w:rsidR="00077A28" w:rsidRDefault="00077A28" w:rsidP="00077A28">
      <w:pPr>
        <w:ind w:left="360"/>
        <w:rPr>
          <w:rFonts w:eastAsia="Aptos" w:cs="Aptos"/>
          <w:color w:val="000000" w:themeColor="text1"/>
          <w:szCs w:val="22"/>
        </w:rPr>
      </w:pPr>
      <w:r w:rsidRPr="00AC06C7">
        <w:rPr>
          <w:rFonts w:eastAsia="Aptos" w:cs="Aptos"/>
          <w:color w:val="000000" w:themeColor="text1"/>
          <w:szCs w:val="22"/>
        </w:rPr>
        <w:t xml:space="preserve">The financial performance of departments and entities should be jointly assessed and rated by DTF, DPC and the relevant </w:t>
      </w:r>
      <w:r>
        <w:rPr>
          <w:rFonts w:eastAsia="Aptos" w:cs="Aptos"/>
          <w:color w:val="000000" w:themeColor="text1"/>
          <w:szCs w:val="22"/>
        </w:rPr>
        <w:t>department or entity</w:t>
      </w:r>
      <w:r w:rsidRPr="00AC06C7">
        <w:rPr>
          <w:rFonts w:eastAsia="Aptos" w:cs="Aptos"/>
          <w:color w:val="000000" w:themeColor="text1"/>
          <w:szCs w:val="22"/>
        </w:rPr>
        <w:t xml:space="preserve"> as part of an agreed financial management assessment</w:t>
      </w:r>
      <w:r w:rsidR="00AA16F5">
        <w:rPr>
          <w:rFonts w:eastAsia="Aptos" w:cs="Aptos"/>
          <w:color w:val="000000" w:themeColor="text1"/>
          <w:szCs w:val="22"/>
        </w:rPr>
        <w:t>,</w:t>
      </w:r>
      <w:r w:rsidRPr="00AC06C7">
        <w:rPr>
          <w:rFonts w:eastAsia="Aptos" w:cs="Aptos"/>
          <w:color w:val="000000" w:themeColor="text1"/>
          <w:szCs w:val="22"/>
        </w:rPr>
        <w:t xml:space="preserve"> and the ratings reported to </w:t>
      </w:r>
      <w:r>
        <w:rPr>
          <w:rFonts w:eastAsia="Aptos" w:cs="Aptos"/>
          <w:color w:val="000000" w:themeColor="text1"/>
          <w:szCs w:val="22"/>
        </w:rPr>
        <w:t>C</w:t>
      </w:r>
      <w:r w:rsidRPr="00AC06C7">
        <w:rPr>
          <w:rFonts w:eastAsia="Aptos" w:cs="Aptos"/>
          <w:color w:val="000000" w:themeColor="text1"/>
          <w:szCs w:val="22"/>
        </w:rPr>
        <w:t xml:space="preserve">abinet at the start of the annual budget process. </w:t>
      </w:r>
    </w:p>
    <w:p w14:paraId="0289B17E" w14:textId="7DD11E08" w:rsidR="00077A28" w:rsidRPr="00AC06C7" w:rsidRDefault="00077A28" w:rsidP="00077A28">
      <w:pPr>
        <w:ind w:left="360"/>
        <w:rPr>
          <w:rFonts w:eastAsia="Aptos" w:cs="Aptos"/>
          <w:color w:val="000000" w:themeColor="text1"/>
          <w:szCs w:val="22"/>
        </w:rPr>
      </w:pPr>
      <w:r w:rsidRPr="00AC06C7">
        <w:rPr>
          <w:rFonts w:eastAsia="Aptos" w:cs="Aptos"/>
          <w:color w:val="000000" w:themeColor="text1"/>
          <w:szCs w:val="22"/>
        </w:rPr>
        <w:t>Secretaries and CEOs of departments and entities with poor financial performance should be</w:t>
      </w:r>
      <w:r>
        <w:rPr>
          <w:rFonts w:eastAsia="Aptos" w:cs="Aptos"/>
          <w:color w:val="000000" w:themeColor="text1"/>
          <w:szCs w:val="22"/>
        </w:rPr>
        <w:t xml:space="preserve"> </w:t>
      </w:r>
      <w:r w:rsidRPr="00AC06C7">
        <w:rPr>
          <w:rFonts w:eastAsia="Aptos" w:cs="Aptos"/>
          <w:color w:val="000000" w:themeColor="text1"/>
          <w:szCs w:val="22"/>
        </w:rPr>
        <w:t xml:space="preserve">required to submit remedial plans for endorsement </w:t>
      </w:r>
      <w:r>
        <w:rPr>
          <w:rFonts w:eastAsia="Aptos" w:cs="Aptos"/>
          <w:color w:val="000000" w:themeColor="text1"/>
          <w:szCs w:val="22"/>
        </w:rPr>
        <w:t xml:space="preserve">by government </w:t>
      </w:r>
      <w:r w:rsidRPr="00AC06C7">
        <w:rPr>
          <w:rFonts w:eastAsia="Aptos" w:cs="Aptos"/>
          <w:color w:val="000000" w:themeColor="text1"/>
          <w:szCs w:val="22"/>
        </w:rPr>
        <w:t xml:space="preserve">and </w:t>
      </w:r>
      <w:r>
        <w:rPr>
          <w:rFonts w:eastAsia="Aptos" w:cs="Aptos"/>
          <w:color w:val="000000" w:themeColor="text1"/>
          <w:szCs w:val="22"/>
        </w:rPr>
        <w:t>have</w:t>
      </w:r>
      <w:r w:rsidRPr="00AC06C7">
        <w:rPr>
          <w:rFonts w:eastAsia="Aptos" w:cs="Aptos"/>
          <w:color w:val="000000" w:themeColor="text1"/>
          <w:szCs w:val="22"/>
        </w:rPr>
        <w:t xml:space="preserve"> additional </w:t>
      </w:r>
      <w:r>
        <w:rPr>
          <w:rFonts w:eastAsia="Aptos" w:cs="Aptos"/>
          <w:color w:val="000000" w:themeColor="text1"/>
          <w:szCs w:val="22"/>
        </w:rPr>
        <w:t>Treasurer</w:t>
      </w:r>
      <w:r w:rsidRPr="00AC06C7">
        <w:rPr>
          <w:rFonts w:eastAsia="Aptos" w:cs="Aptos"/>
          <w:color w:val="000000" w:themeColor="text1"/>
          <w:szCs w:val="22"/>
        </w:rPr>
        <w:t xml:space="preserve"> oversight </w:t>
      </w:r>
      <w:r>
        <w:rPr>
          <w:rFonts w:eastAsia="Aptos" w:cs="Aptos"/>
          <w:color w:val="000000" w:themeColor="text1"/>
          <w:szCs w:val="22"/>
        </w:rPr>
        <w:t>and approvals</w:t>
      </w:r>
      <w:r w:rsidRPr="004749CF">
        <w:rPr>
          <w:rFonts w:eastAsia="Aptos" w:cs="Aptos"/>
          <w:color w:val="000000" w:themeColor="text1"/>
          <w:szCs w:val="22"/>
        </w:rPr>
        <w:t xml:space="preserve">. This will directly assist in implementing amendments to the </w:t>
      </w:r>
      <w:r w:rsidR="00CE5B72" w:rsidRPr="00CE5B72">
        <w:rPr>
          <w:rFonts w:eastAsia="Aptos" w:cs="Aptos"/>
          <w:iCs/>
          <w:color w:val="000000" w:themeColor="text1"/>
          <w:szCs w:val="22"/>
        </w:rPr>
        <w:t>FMA</w:t>
      </w:r>
      <w:r w:rsidRPr="004749CF">
        <w:rPr>
          <w:rFonts w:eastAsia="Aptos" w:cs="Aptos"/>
          <w:color w:val="000000" w:themeColor="text1"/>
          <w:szCs w:val="22"/>
        </w:rPr>
        <w:t>.</w:t>
      </w:r>
    </w:p>
    <w:p w14:paraId="776AD1B0" w14:textId="0D42E21A" w:rsidR="00077A28" w:rsidRPr="00AC06C7" w:rsidRDefault="00077A28" w:rsidP="00D207B3">
      <w:pPr>
        <w:pStyle w:val="ListParagraph"/>
        <w:numPr>
          <w:ilvl w:val="0"/>
          <w:numId w:val="4"/>
        </w:numPr>
        <w:ind w:left="357"/>
        <w:contextualSpacing w:val="0"/>
        <w:rPr>
          <w:rFonts w:eastAsia="Aptos" w:cs="Aptos"/>
          <w:b/>
          <w:color w:val="000000" w:themeColor="text1"/>
          <w:szCs w:val="22"/>
        </w:rPr>
      </w:pPr>
      <w:r w:rsidRPr="00AC06C7">
        <w:rPr>
          <w:rFonts w:eastAsia="Aptos" w:cs="Aptos"/>
          <w:b/>
          <w:color w:val="000000" w:themeColor="text1"/>
          <w:szCs w:val="22"/>
        </w:rPr>
        <w:t>Replace the GED in the savings framework by embedding more system</w:t>
      </w:r>
      <w:r w:rsidR="00DD6670">
        <w:rPr>
          <w:rFonts w:eastAsia="Aptos" w:cs="Aptos"/>
          <w:b/>
          <w:color w:val="000000" w:themeColor="text1"/>
          <w:szCs w:val="22"/>
        </w:rPr>
        <w:t>at</w:t>
      </w:r>
      <w:r w:rsidRPr="00AC06C7">
        <w:rPr>
          <w:rFonts w:eastAsia="Aptos" w:cs="Aptos"/>
          <w:b/>
          <w:color w:val="000000" w:themeColor="text1"/>
          <w:szCs w:val="22"/>
        </w:rPr>
        <w:t xml:space="preserve">ic evaluation and discrete savings targets </w:t>
      </w:r>
    </w:p>
    <w:p w14:paraId="53B9BA6C" w14:textId="42ED2F00" w:rsidR="00AD17B9" w:rsidRDefault="00077A28" w:rsidP="009475A5">
      <w:pPr>
        <w:ind w:left="357"/>
        <w:rPr>
          <w:rFonts w:eastAsia="Aptos" w:cs="Aptos"/>
          <w:color w:val="000000" w:themeColor="text1"/>
          <w:szCs w:val="22"/>
        </w:rPr>
      </w:pPr>
      <w:r w:rsidRPr="00AC06C7">
        <w:rPr>
          <w:rFonts w:eastAsia="Aptos" w:cs="Aptos"/>
          <w:color w:val="000000" w:themeColor="text1"/>
          <w:szCs w:val="22"/>
        </w:rPr>
        <w:t xml:space="preserve">The </w:t>
      </w:r>
      <w:r>
        <w:rPr>
          <w:rFonts w:eastAsia="Aptos" w:cs="Aptos"/>
          <w:color w:val="000000" w:themeColor="text1"/>
          <w:szCs w:val="22"/>
        </w:rPr>
        <w:t>g</w:t>
      </w:r>
      <w:r w:rsidRPr="00AC06C7">
        <w:rPr>
          <w:rFonts w:eastAsia="Aptos" w:cs="Aptos"/>
          <w:color w:val="000000" w:themeColor="text1"/>
          <w:szCs w:val="22"/>
        </w:rPr>
        <w:t xml:space="preserve">overnment should </w:t>
      </w:r>
      <w:r>
        <w:rPr>
          <w:rFonts w:eastAsia="Aptos" w:cs="Aptos"/>
          <w:color w:val="000000" w:themeColor="text1"/>
          <w:szCs w:val="22"/>
        </w:rPr>
        <w:t xml:space="preserve">retire </w:t>
      </w:r>
      <w:r w:rsidRPr="00AC06C7">
        <w:rPr>
          <w:rFonts w:eastAsia="Aptos" w:cs="Aptos"/>
          <w:color w:val="000000" w:themeColor="text1"/>
          <w:szCs w:val="22"/>
        </w:rPr>
        <w:t>the GED beyond the existing forward estimates</w:t>
      </w:r>
      <w:r>
        <w:rPr>
          <w:rFonts w:eastAsia="Aptos" w:cs="Aptos"/>
          <w:color w:val="000000" w:themeColor="text1"/>
          <w:szCs w:val="22"/>
        </w:rPr>
        <w:t xml:space="preserve"> and replace</w:t>
      </w:r>
      <w:r w:rsidRPr="00AC06C7">
        <w:rPr>
          <w:rFonts w:eastAsia="Aptos" w:cs="Aptos"/>
          <w:color w:val="000000" w:themeColor="text1"/>
          <w:szCs w:val="22"/>
        </w:rPr>
        <w:t xml:space="preserve"> </w:t>
      </w:r>
      <w:r>
        <w:rPr>
          <w:rFonts w:eastAsia="Aptos" w:cs="Aptos"/>
          <w:color w:val="000000" w:themeColor="text1"/>
          <w:szCs w:val="22"/>
        </w:rPr>
        <w:t xml:space="preserve">it </w:t>
      </w:r>
      <w:r w:rsidRPr="00AC06C7">
        <w:rPr>
          <w:rFonts w:eastAsia="Aptos" w:cs="Aptos"/>
          <w:color w:val="000000" w:themeColor="text1"/>
          <w:szCs w:val="22"/>
        </w:rPr>
        <w:t xml:space="preserve">by embedding systematic evaluation </w:t>
      </w:r>
      <w:r>
        <w:rPr>
          <w:rFonts w:eastAsia="Aptos" w:cs="Aptos"/>
          <w:color w:val="000000" w:themeColor="text1"/>
          <w:szCs w:val="22"/>
        </w:rPr>
        <w:t>(</w:t>
      </w:r>
      <w:r w:rsidR="00193F0A">
        <w:rPr>
          <w:rFonts w:eastAsia="Aptos" w:cs="Aptos"/>
          <w:color w:val="000000" w:themeColor="text1"/>
          <w:szCs w:val="22"/>
        </w:rPr>
        <w:t>rule</w:t>
      </w:r>
      <w:r w:rsidRPr="00AC06C7">
        <w:rPr>
          <w:rFonts w:eastAsia="Aptos" w:cs="Aptos"/>
          <w:color w:val="000000" w:themeColor="text1"/>
          <w:szCs w:val="22"/>
        </w:rPr>
        <w:t xml:space="preserve"> </w:t>
      </w:r>
      <w:r>
        <w:rPr>
          <w:rFonts w:eastAsia="Aptos" w:cs="Aptos"/>
          <w:color w:val="000000" w:themeColor="text1"/>
          <w:szCs w:val="22"/>
        </w:rPr>
        <w:t>5) and</w:t>
      </w:r>
      <w:r w:rsidRPr="00AC06C7">
        <w:rPr>
          <w:rFonts w:eastAsia="Aptos" w:cs="Aptos"/>
          <w:color w:val="000000" w:themeColor="text1"/>
          <w:szCs w:val="22"/>
        </w:rPr>
        <w:t xml:space="preserve"> plans to achieve </w:t>
      </w:r>
      <w:r>
        <w:rPr>
          <w:rFonts w:eastAsia="Aptos" w:cs="Aptos"/>
          <w:color w:val="000000" w:themeColor="text1"/>
          <w:szCs w:val="22"/>
        </w:rPr>
        <w:t>departmental</w:t>
      </w:r>
      <w:r w:rsidRPr="00AC06C7">
        <w:rPr>
          <w:rFonts w:eastAsia="Aptos" w:cs="Aptos"/>
          <w:color w:val="000000" w:themeColor="text1"/>
          <w:szCs w:val="22"/>
        </w:rPr>
        <w:t xml:space="preserve"> annual savings targets and opportunities to re-prioritise base funding as part of the annual budget</w:t>
      </w:r>
      <w:r>
        <w:rPr>
          <w:rFonts w:eastAsia="Aptos" w:cs="Aptos"/>
          <w:color w:val="000000" w:themeColor="text1"/>
          <w:szCs w:val="22"/>
        </w:rPr>
        <w:t xml:space="preserve"> process (rule 1)</w:t>
      </w:r>
      <w:r w:rsidRPr="00AC06C7">
        <w:rPr>
          <w:rFonts w:eastAsia="Aptos" w:cs="Aptos"/>
          <w:color w:val="000000" w:themeColor="text1"/>
          <w:szCs w:val="22"/>
        </w:rPr>
        <w:t xml:space="preserve">. </w:t>
      </w:r>
    </w:p>
    <w:p w14:paraId="2E69B4ED" w14:textId="77777777" w:rsidR="00815CFB" w:rsidRDefault="00815CFB" w:rsidP="009475A5">
      <w:pPr>
        <w:ind w:left="357"/>
        <w:rPr>
          <w:rFonts w:eastAsia="Aptos" w:cs="Aptos"/>
          <w:color w:val="000000" w:themeColor="text1"/>
          <w:szCs w:val="22"/>
        </w:rPr>
        <w:sectPr w:rsidR="00815CFB" w:rsidSect="00815CFB">
          <w:type w:val="continuous"/>
          <w:pgSz w:w="11906" w:h="16838"/>
          <w:pgMar w:top="1440" w:right="1440" w:bottom="1440" w:left="1440" w:header="708" w:footer="708" w:gutter="0"/>
          <w:cols w:num="2" w:space="708"/>
          <w:docGrid w:linePitch="360"/>
          <w15:footnoteColumns w:val="1"/>
        </w:sectPr>
      </w:pPr>
    </w:p>
    <w:p w14:paraId="17914599" w14:textId="77777777" w:rsidR="00815CFB" w:rsidRPr="009475A5" w:rsidRDefault="00815CFB" w:rsidP="009475A5">
      <w:pPr>
        <w:ind w:left="357"/>
        <w:rPr>
          <w:rFonts w:eastAsia="Aptos" w:cs="Aptos"/>
          <w:color w:val="000000" w:themeColor="text1"/>
          <w:szCs w:val="22"/>
        </w:rPr>
      </w:pPr>
    </w:p>
    <w:tbl>
      <w:tblPr>
        <w:tblStyle w:val="TableGrid"/>
        <w:tblW w:w="0" w:type="auto"/>
        <w:tblInd w:w="357" w:type="dxa"/>
        <w:shd w:val="clear" w:color="auto" w:fill="E7E6E6"/>
        <w:tblLook w:val="04A0" w:firstRow="1" w:lastRow="0" w:firstColumn="1" w:lastColumn="0" w:noHBand="0" w:noVBand="1"/>
      </w:tblPr>
      <w:tblGrid>
        <w:gridCol w:w="8669"/>
      </w:tblGrid>
      <w:tr w:rsidR="00077A28" w14:paraId="6532D62E" w14:textId="77777777" w:rsidTr="0067567E">
        <w:tc>
          <w:tcPr>
            <w:tcW w:w="8669" w:type="dxa"/>
            <w:tcBorders>
              <w:top w:val="nil"/>
              <w:left w:val="nil"/>
              <w:bottom w:val="nil"/>
              <w:right w:val="nil"/>
            </w:tcBorders>
            <w:shd w:val="clear" w:color="auto" w:fill="E7E6E6"/>
          </w:tcPr>
          <w:p w14:paraId="5CC01E4A" w14:textId="47F35EE0" w:rsidR="00077A28" w:rsidRPr="00D66DCE" w:rsidRDefault="00077A28" w:rsidP="005810E5">
            <w:pPr>
              <w:spacing w:before="120" w:after="160" w:line="278" w:lineRule="auto"/>
              <w:rPr>
                <w:rFonts w:eastAsia="Aptos" w:cs="Aptos"/>
                <w:b/>
                <w:bCs/>
                <w:color w:val="000000" w:themeColor="text1"/>
                <w:szCs w:val="22"/>
                <w:lang w:val="en-AU"/>
              </w:rPr>
            </w:pPr>
            <w:r w:rsidRPr="00D66DCE">
              <w:rPr>
                <w:rFonts w:eastAsia="Aptos" w:cs="Aptos"/>
                <w:b/>
                <w:bCs/>
                <w:color w:val="000000" w:themeColor="text1"/>
                <w:szCs w:val="22"/>
                <w:lang w:val="en-AU"/>
              </w:rPr>
              <w:t xml:space="preserve">Box </w:t>
            </w:r>
            <w:r>
              <w:rPr>
                <w:rFonts w:eastAsia="Aptos" w:cs="Aptos"/>
                <w:b/>
                <w:bCs/>
                <w:color w:val="000000" w:themeColor="text1"/>
                <w:szCs w:val="22"/>
                <w:lang w:val="en-AU"/>
              </w:rPr>
              <w:t>3</w:t>
            </w:r>
            <w:r w:rsidRPr="00D66DCE">
              <w:rPr>
                <w:rFonts w:eastAsia="Aptos" w:cs="Aptos"/>
                <w:b/>
                <w:bCs/>
                <w:color w:val="000000" w:themeColor="text1"/>
                <w:szCs w:val="22"/>
                <w:lang w:val="en-AU"/>
              </w:rPr>
              <w:t>.2: General Efficiency Dividend</w:t>
            </w:r>
            <w:r>
              <w:rPr>
                <w:rFonts w:eastAsia="Aptos" w:cs="Aptos"/>
                <w:b/>
                <w:bCs/>
                <w:color w:val="000000" w:themeColor="text1"/>
                <w:szCs w:val="22"/>
                <w:lang w:val="en-AU"/>
              </w:rPr>
              <w:t xml:space="preserve"> – an outdated tool </w:t>
            </w:r>
            <w:r w:rsidRPr="004749CF">
              <w:rPr>
                <w:rFonts w:eastAsia="Aptos" w:cs="Aptos"/>
                <w:b/>
                <w:color w:val="000000" w:themeColor="text1"/>
                <w:szCs w:val="22"/>
                <w:lang w:val="en-AU"/>
              </w:rPr>
              <w:t>for budget savings</w:t>
            </w:r>
          </w:p>
          <w:p w14:paraId="5156E256" w14:textId="5432A399" w:rsidR="00077A28" w:rsidRDefault="00077A28" w:rsidP="00352512">
            <w:pPr>
              <w:spacing w:after="160" w:line="278" w:lineRule="auto"/>
              <w:rPr>
                <w:rFonts w:eastAsia="Calibri" w:cs="Calibri"/>
                <w:color w:val="000000" w:themeColor="text1"/>
                <w:szCs w:val="22"/>
                <w:lang w:val="en-AU"/>
              </w:rPr>
            </w:pPr>
            <w:r w:rsidRPr="00AC06C7">
              <w:rPr>
                <w:rFonts w:eastAsia="Aptos" w:cs="Aptos"/>
                <w:color w:val="000000" w:themeColor="text1"/>
                <w:szCs w:val="22"/>
                <w:lang w:val="en-AU"/>
              </w:rPr>
              <w:t xml:space="preserve">The GED has been in place since 2013, providing cumulative savings to </w:t>
            </w:r>
            <w:r>
              <w:rPr>
                <w:rFonts w:eastAsia="Aptos" w:cs="Aptos"/>
                <w:color w:val="000000" w:themeColor="text1"/>
                <w:szCs w:val="22"/>
                <w:lang w:val="en-AU"/>
              </w:rPr>
              <w:t>g</w:t>
            </w:r>
            <w:r w:rsidRPr="00AC06C7">
              <w:rPr>
                <w:rFonts w:eastAsia="Aptos" w:cs="Aptos"/>
                <w:color w:val="000000" w:themeColor="text1"/>
                <w:szCs w:val="22"/>
                <w:lang w:val="en-AU"/>
              </w:rPr>
              <w:t xml:space="preserve">overnment of </w:t>
            </w:r>
            <w:r w:rsidR="002E59E5">
              <w:rPr>
                <w:rFonts w:eastAsia="Aptos" w:cs="Aptos"/>
                <w:color w:val="000000" w:themeColor="text1"/>
                <w:szCs w:val="22"/>
                <w:lang w:val="en-AU"/>
              </w:rPr>
              <w:t>more than</w:t>
            </w:r>
            <w:r w:rsidRPr="00AC06C7">
              <w:rPr>
                <w:rFonts w:eastAsia="Aptos" w:cs="Aptos"/>
                <w:color w:val="000000" w:themeColor="text1"/>
                <w:szCs w:val="22"/>
                <w:lang w:val="en-AU"/>
              </w:rPr>
              <w:t xml:space="preserve"> $5.1 billion to the end of 2028</w:t>
            </w:r>
            <w:r>
              <w:rPr>
                <w:rFonts w:eastAsia="Aptos" w:cs="Aptos"/>
                <w:color w:val="000000" w:themeColor="text1"/>
                <w:szCs w:val="22"/>
                <w:lang w:val="en-AU"/>
              </w:rPr>
              <w:t>–</w:t>
            </w:r>
            <w:r w:rsidRPr="00AC06C7">
              <w:rPr>
                <w:rFonts w:eastAsia="Aptos" w:cs="Aptos"/>
                <w:color w:val="000000" w:themeColor="text1"/>
                <w:szCs w:val="22"/>
                <w:lang w:val="en-AU"/>
              </w:rPr>
              <w:t xml:space="preserve">29. Distinct from programmatic savings, the GED reduces funding provided to </w:t>
            </w:r>
            <w:r>
              <w:rPr>
                <w:rFonts w:eastAsia="Aptos" w:cs="Aptos"/>
                <w:color w:val="000000" w:themeColor="text1"/>
                <w:szCs w:val="22"/>
                <w:lang w:val="en-AU"/>
              </w:rPr>
              <w:t>d</w:t>
            </w:r>
            <w:r w:rsidRPr="00AC06C7">
              <w:rPr>
                <w:rFonts w:eastAsia="Aptos" w:cs="Aptos"/>
                <w:color w:val="000000" w:themeColor="text1"/>
                <w:szCs w:val="22"/>
                <w:lang w:val="en-AU"/>
              </w:rPr>
              <w:t xml:space="preserve">epartments for back-office resources that support the activities and administration of the </w:t>
            </w:r>
            <w:r>
              <w:rPr>
                <w:rFonts w:eastAsia="Aptos" w:cs="Aptos"/>
                <w:color w:val="000000" w:themeColor="text1"/>
                <w:szCs w:val="22"/>
                <w:lang w:val="en-AU"/>
              </w:rPr>
              <w:t>d</w:t>
            </w:r>
            <w:r w:rsidRPr="00AC06C7">
              <w:rPr>
                <w:rFonts w:eastAsia="Aptos" w:cs="Aptos"/>
                <w:color w:val="000000" w:themeColor="text1"/>
                <w:szCs w:val="22"/>
                <w:lang w:val="en-AU"/>
              </w:rPr>
              <w:t xml:space="preserve">epartment, anticipating </w:t>
            </w:r>
            <w:r w:rsidR="00BA6FEA">
              <w:rPr>
                <w:rFonts w:eastAsia="Aptos" w:cs="Aptos"/>
                <w:color w:val="000000" w:themeColor="text1"/>
                <w:szCs w:val="22"/>
                <w:lang w:val="en-AU"/>
              </w:rPr>
              <w:t>that</w:t>
            </w:r>
            <w:r w:rsidRPr="00AC06C7">
              <w:rPr>
                <w:rFonts w:eastAsia="Aptos" w:cs="Aptos"/>
                <w:color w:val="000000" w:themeColor="text1"/>
                <w:szCs w:val="22"/>
                <w:lang w:val="en-AU"/>
              </w:rPr>
              <w:t xml:space="preserve"> efficiency gains are possible without reducing service delivery.</w:t>
            </w:r>
            <w:r w:rsidRPr="00AC06C7">
              <w:rPr>
                <w:rFonts w:eastAsia="Calibri" w:cs="Calibri"/>
                <w:color w:val="000000" w:themeColor="text1"/>
                <w:szCs w:val="22"/>
                <w:lang w:val="en-AU"/>
              </w:rPr>
              <w:t xml:space="preserve"> </w:t>
            </w:r>
          </w:p>
          <w:p w14:paraId="0D35D4D6" w14:textId="63A4A2B4" w:rsidR="00077A28" w:rsidRDefault="00077A28" w:rsidP="00352512">
            <w:pPr>
              <w:spacing w:after="160" w:line="278" w:lineRule="auto"/>
              <w:rPr>
                <w:rFonts w:eastAsia="Aptos" w:cs="Aptos"/>
                <w:color w:val="000000" w:themeColor="text1"/>
                <w:szCs w:val="22"/>
                <w:lang w:val="en-AU"/>
              </w:rPr>
            </w:pPr>
            <w:r w:rsidRPr="00AC06C7">
              <w:rPr>
                <w:rFonts w:eastAsia="Aptos" w:cs="Aptos"/>
                <w:color w:val="000000" w:themeColor="text1"/>
                <w:szCs w:val="22"/>
                <w:lang w:val="en-AU"/>
              </w:rPr>
              <w:t xml:space="preserve">Given the length of time </w:t>
            </w:r>
            <w:r w:rsidR="00BA6FEA">
              <w:rPr>
                <w:rFonts w:eastAsia="Aptos" w:cs="Aptos"/>
                <w:color w:val="000000" w:themeColor="text1"/>
                <w:szCs w:val="22"/>
                <w:lang w:val="en-AU"/>
              </w:rPr>
              <w:t>the</w:t>
            </w:r>
            <w:r w:rsidRPr="00AC06C7">
              <w:rPr>
                <w:rFonts w:eastAsia="Aptos" w:cs="Aptos"/>
                <w:color w:val="000000" w:themeColor="text1"/>
                <w:szCs w:val="22"/>
                <w:lang w:val="en-AU"/>
              </w:rPr>
              <w:t xml:space="preserve"> </w:t>
            </w:r>
            <w:r>
              <w:rPr>
                <w:rFonts w:eastAsia="Aptos" w:cs="Aptos"/>
                <w:color w:val="000000" w:themeColor="text1"/>
                <w:szCs w:val="22"/>
                <w:lang w:val="en-AU"/>
              </w:rPr>
              <w:t>GED</w:t>
            </w:r>
            <w:r w:rsidRPr="00AC06C7">
              <w:rPr>
                <w:rFonts w:eastAsia="Aptos" w:cs="Aptos"/>
                <w:color w:val="000000" w:themeColor="text1"/>
                <w:szCs w:val="22"/>
                <w:lang w:val="en-AU"/>
              </w:rPr>
              <w:t xml:space="preserve"> has been operating and </w:t>
            </w:r>
            <w:r w:rsidR="00F34920">
              <w:rPr>
                <w:rFonts w:eastAsia="Aptos" w:cs="Aptos"/>
                <w:color w:val="000000" w:themeColor="text1"/>
                <w:szCs w:val="22"/>
                <w:lang w:val="en-AU"/>
              </w:rPr>
              <w:t>the continued need for</w:t>
            </w:r>
            <w:r w:rsidRPr="00AC06C7">
              <w:rPr>
                <w:rFonts w:eastAsia="Aptos" w:cs="Aptos"/>
                <w:color w:val="000000" w:themeColor="text1"/>
                <w:szCs w:val="22"/>
                <w:lang w:val="en-AU"/>
              </w:rPr>
              <w:t xml:space="preserve"> investment in new </w:t>
            </w:r>
            <w:r w:rsidR="003A1E3C">
              <w:rPr>
                <w:rFonts w:eastAsia="Aptos" w:cs="Aptos"/>
                <w:color w:val="000000" w:themeColor="text1"/>
                <w:szCs w:val="22"/>
                <w:lang w:val="en-AU"/>
              </w:rPr>
              <w:t>I</w:t>
            </w:r>
            <w:r w:rsidR="00BB400F">
              <w:rPr>
                <w:rFonts w:eastAsia="Aptos" w:cs="Aptos"/>
                <w:color w:val="000000" w:themeColor="text1"/>
                <w:szCs w:val="22"/>
                <w:lang w:val="en-AU"/>
              </w:rPr>
              <w:t xml:space="preserve">nformation and </w:t>
            </w:r>
            <w:r w:rsidR="003A1E3C">
              <w:rPr>
                <w:rFonts w:eastAsia="Aptos" w:cs="Aptos"/>
                <w:color w:val="000000" w:themeColor="text1"/>
                <w:szCs w:val="22"/>
                <w:lang w:val="en-AU"/>
              </w:rPr>
              <w:t>C</w:t>
            </w:r>
            <w:r w:rsidR="00BB400F">
              <w:rPr>
                <w:rFonts w:eastAsia="Aptos" w:cs="Aptos"/>
                <w:color w:val="000000" w:themeColor="text1"/>
                <w:szCs w:val="22"/>
                <w:lang w:val="en-AU"/>
              </w:rPr>
              <w:t xml:space="preserve">ommunication </w:t>
            </w:r>
            <w:r w:rsidR="003A1E3C">
              <w:rPr>
                <w:rFonts w:eastAsia="Aptos" w:cs="Aptos"/>
                <w:color w:val="000000" w:themeColor="text1"/>
                <w:szCs w:val="22"/>
                <w:lang w:val="en-AU"/>
              </w:rPr>
              <w:t>T</w:t>
            </w:r>
            <w:r w:rsidR="00BB400F">
              <w:rPr>
                <w:rFonts w:eastAsia="Aptos" w:cs="Aptos"/>
                <w:color w:val="000000" w:themeColor="text1"/>
                <w:szCs w:val="22"/>
                <w:lang w:val="en-AU"/>
              </w:rPr>
              <w:t>echnology (</w:t>
            </w:r>
            <w:r w:rsidRPr="00AC06C7">
              <w:rPr>
                <w:rFonts w:eastAsia="Aptos" w:cs="Aptos"/>
                <w:color w:val="000000" w:themeColor="text1"/>
                <w:szCs w:val="22"/>
                <w:lang w:val="en-AU"/>
              </w:rPr>
              <w:t>I</w:t>
            </w:r>
            <w:r w:rsidR="002F2504">
              <w:rPr>
                <w:rFonts w:eastAsia="Aptos" w:cs="Aptos"/>
                <w:color w:val="000000" w:themeColor="text1"/>
                <w:szCs w:val="22"/>
                <w:lang w:val="en-AU"/>
              </w:rPr>
              <w:t>C</w:t>
            </w:r>
            <w:r w:rsidRPr="00AC06C7">
              <w:rPr>
                <w:rFonts w:eastAsia="Aptos" w:cs="Aptos"/>
                <w:color w:val="000000" w:themeColor="text1"/>
                <w:szCs w:val="22"/>
                <w:lang w:val="en-AU"/>
              </w:rPr>
              <w:t>T</w:t>
            </w:r>
            <w:r w:rsidR="00BB400F">
              <w:rPr>
                <w:rFonts w:eastAsia="Aptos" w:cs="Aptos"/>
                <w:color w:val="000000" w:themeColor="text1"/>
                <w:szCs w:val="22"/>
                <w:lang w:val="en-AU"/>
              </w:rPr>
              <w:t>)</w:t>
            </w:r>
            <w:r w:rsidRPr="00AC06C7">
              <w:rPr>
                <w:rFonts w:eastAsia="Aptos" w:cs="Aptos"/>
                <w:color w:val="000000" w:themeColor="text1"/>
                <w:szCs w:val="22"/>
                <w:lang w:val="en-AU"/>
              </w:rPr>
              <w:t xml:space="preserve"> systems and processes, it is now affecting </w:t>
            </w:r>
            <w:r>
              <w:rPr>
                <w:rFonts w:eastAsia="Aptos" w:cs="Aptos"/>
                <w:color w:val="000000" w:themeColor="text1"/>
                <w:szCs w:val="22"/>
                <w:lang w:val="en-AU"/>
              </w:rPr>
              <w:t>d</w:t>
            </w:r>
            <w:r w:rsidRPr="00AC06C7">
              <w:rPr>
                <w:rFonts w:eastAsia="Aptos" w:cs="Aptos"/>
                <w:color w:val="000000" w:themeColor="text1"/>
                <w:szCs w:val="22"/>
                <w:lang w:val="en-AU"/>
              </w:rPr>
              <w:t>epartments</w:t>
            </w:r>
            <w:r>
              <w:rPr>
                <w:rFonts w:eastAsia="Aptos" w:cs="Aptos"/>
                <w:color w:val="000000" w:themeColor="text1"/>
                <w:szCs w:val="22"/>
                <w:lang w:val="en-AU"/>
              </w:rPr>
              <w:t>’ ability</w:t>
            </w:r>
            <w:r w:rsidRPr="00AC06C7">
              <w:rPr>
                <w:rFonts w:eastAsia="Aptos" w:cs="Aptos"/>
                <w:color w:val="000000" w:themeColor="text1"/>
                <w:szCs w:val="22"/>
                <w:lang w:val="en-AU"/>
              </w:rPr>
              <w:t xml:space="preserve"> to operate effectively and maintain good management processes.</w:t>
            </w:r>
          </w:p>
        </w:tc>
      </w:tr>
    </w:tbl>
    <w:p w14:paraId="54F8E686" w14:textId="77777777" w:rsidR="00BD6D00" w:rsidRDefault="00BD6D00" w:rsidP="00077A28">
      <w:pPr>
        <w:spacing w:before="120"/>
        <w:ind w:left="357"/>
        <w:rPr>
          <w:rFonts w:eastAsia="Aptos" w:cs="Aptos"/>
          <w:color w:val="000000" w:themeColor="text1"/>
          <w:szCs w:val="22"/>
        </w:rPr>
        <w:sectPr w:rsidR="00BD6D00" w:rsidSect="00AE6104">
          <w:type w:val="continuous"/>
          <w:pgSz w:w="11906" w:h="16838"/>
          <w:pgMar w:top="1440" w:right="1440" w:bottom="1440" w:left="1440" w:header="708" w:footer="708" w:gutter="0"/>
          <w:cols w:space="708"/>
          <w:docGrid w:linePitch="360"/>
          <w15:footnoteColumns w:val="1"/>
        </w:sectPr>
      </w:pPr>
    </w:p>
    <w:p w14:paraId="6A4F84A4" w14:textId="21E0D292" w:rsidR="00077A28" w:rsidRPr="00AC06C7" w:rsidRDefault="00077A28" w:rsidP="00077A28">
      <w:pPr>
        <w:spacing w:before="120"/>
        <w:ind w:left="357"/>
        <w:rPr>
          <w:rFonts w:eastAsia="Aptos" w:cs="Aptos"/>
          <w:color w:val="000000" w:themeColor="text1"/>
          <w:szCs w:val="22"/>
        </w:rPr>
      </w:pPr>
      <w:r>
        <w:rPr>
          <w:rFonts w:eastAsia="Aptos" w:cs="Aptos"/>
          <w:color w:val="000000" w:themeColor="text1"/>
          <w:szCs w:val="22"/>
        </w:rPr>
        <w:lastRenderedPageBreak/>
        <w:t xml:space="preserve">The savings process undertaken by the government in this year’s budget </w:t>
      </w:r>
      <w:r w:rsidRPr="004749CF">
        <w:rPr>
          <w:rFonts w:eastAsia="Aptos" w:cs="Aptos"/>
          <w:color w:val="000000" w:themeColor="text1"/>
          <w:szCs w:val="22"/>
        </w:rPr>
        <w:t>– to which the Review directly contributed – yielded significant long-term savings</w:t>
      </w:r>
      <w:r>
        <w:rPr>
          <w:rFonts w:eastAsia="Aptos" w:cs="Aptos"/>
          <w:color w:val="000000" w:themeColor="text1"/>
          <w:szCs w:val="22"/>
        </w:rPr>
        <w:t>. The Review has continued this systematic approach to identif</w:t>
      </w:r>
      <w:r w:rsidR="00986BDD">
        <w:rPr>
          <w:rFonts w:eastAsia="Aptos" w:cs="Aptos"/>
          <w:color w:val="000000" w:themeColor="text1"/>
          <w:szCs w:val="22"/>
        </w:rPr>
        <w:t>y</w:t>
      </w:r>
      <w:r>
        <w:rPr>
          <w:rFonts w:eastAsia="Aptos" w:cs="Aptos"/>
          <w:color w:val="000000" w:themeColor="text1"/>
          <w:szCs w:val="22"/>
        </w:rPr>
        <w:t xml:space="preserve"> additional sustainable operating budget</w:t>
      </w:r>
      <w:r w:rsidR="002A2B68">
        <w:rPr>
          <w:rFonts w:eastAsia="Aptos" w:cs="Aptos"/>
          <w:color w:val="000000" w:themeColor="text1"/>
          <w:szCs w:val="22"/>
        </w:rPr>
        <w:t> </w:t>
      </w:r>
      <w:r>
        <w:rPr>
          <w:rFonts w:eastAsia="Aptos" w:cs="Aptos"/>
          <w:color w:val="000000" w:themeColor="text1"/>
          <w:szCs w:val="22"/>
        </w:rPr>
        <w:t xml:space="preserve">savings.  </w:t>
      </w:r>
    </w:p>
    <w:p w14:paraId="07A070EE" w14:textId="548ED810" w:rsidR="00077A28" w:rsidRPr="00AC06C7" w:rsidRDefault="00077A28" w:rsidP="00077A28">
      <w:pPr>
        <w:ind w:left="357"/>
        <w:rPr>
          <w:rFonts w:eastAsia="Aptos" w:cs="Aptos"/>
          <w:color w:val="000000" w:themeColor="text1"/>
          <w:szCs w:val="22"/>
        </w:rPr>
      </w:pPr>
      <w:r w:rsidRPr="00AC06C7">
        <w:rPr>
          <w:rFonts w:eastAsia="Aptos" w:cs="Aptos"/>
          <w:color w:val="000000" w:themeColor="text1"/>
          <w:szCs w:val="22"/>
        </w:rPr>
        <w:t xml:space="preserve">Removing reliance on the GED and </w:t>
      </w:r>
      <w:r w:rsidR="00E25E09">
        <w:rPr>
          <w:rFonts w:eastAsia="Aptos" w:cs="Aptos"/>
          <w:color w:val="000000" w:themeColor="text1"/>
          <w:szCs w:val="22"/>
        </w:rPr>
        <w:t>replacing</w:t>
      </w:r>
      <w:r w:rsidRPr="00AC06C7">
        <w:rPr>
          <w:rFonts w:eastAsia="Aptos" w:cs="Aptos"/>
          <w:color w:val="000000" w:themeColor="text1"/>
          <w:szCs w:val="22"/>
        </w:rPr>
        <w:t xml:space="preserve"> it with alternative processes should help </w:t>
      </w:r>
      <w:r>
        <w:rPr>
          <w:rFonts w:eastAsia="Aptos" w:cs="Aptos"/>
          <w:color w:val="000000" w:themeColor="text1"/>
          <w:szCs w:val="22"/>
        </w:rPr>
        <w:t>give</w:t>
      </w:r>
      <w:r w:rsidRPr="00AC06C7">
        <w:rPr>
          <w:rFonts w:eastAsia="Aptos" w:cs="Aptos"/>
          <w:color w:val="000000" w:themeColor="text1"/>
          <w:szCs w:val="22"/>
        </w:rPr>
        <w:t xml:space="preserve"> the </w:t>
      </w:r>
      <w:r>
        <w:rPr>
          <w:rFonts w:eastAsia="Aptos" w:cs="Aptos"/>
          <w:color w:val="000000" w:themeColor="text1"/>
          <w:szCs w:val="22"/>
        </w:rPr>
        <w:t>g</w:t>
      </w:r>
      <w:r w:rsidRPr="00AC06C7">
        <w:rPr>
          <w:rFonts w:eastAsia="Aptos" w:cs="Aptos"/>
          <w:color w:val="000000" w:themeColor="text1"/>
          <w:szCs w:val="22"/>
        </w:rPr>
        <w:t>overnment greater visibility and control over how resources are allocated</w:t>
      </w:r>
      <w:r w:rsidR="001775A6">
        <w:rPr>
          <w:rFonts w:eastAsia="Aptos" w:cs="Aptos"/>
          <w:color w:val="000000" w:themeColor="text1"/>
          <w:szCs w:val="22"/>
        </w:rPr>
        <w:t>. It should</w:t>
      </w:r>
      <w:r w:rsidRPr="00AC06C7">
        <w:rPr>
          <w:rFonts w:eastAsia="Aptos" w:cs="Aptos"/>
          <w:color w:val="000000" w:themeColor="text1"/>
          <w:szCs w:val="22"/>
        </w:rPr>
        <w:t xml:space="preserve"> </w:t>
      </w:r>
      <w:r w:rsidR="001775A6">
        <w:rPr>
          <w:rFonts w:eastAsia="Aptos" w:cs="Aptos"/>
          <w:color w:val="000000" w:themeColor="text1"/>
          <w:szCs w:val="22"/>
        </w:rPr>
        <w:t>also</w:t>
      </w:r>
      <w:r w:rsidRPr="00AC06C7">
        <w:rPr>
          <w:rFonts w:eastAsia="Aptos" w:cs="Aptos"/>
          <w:color w:val="000000" w:themeColor="text1"/>
          <w:szCs w:val="22"/>
        </w:rPr>
        <w:t xml:space="preserve"> drive more targeted </w:t>
      </w:r>
      <w:r w:rsidR="001775A6" w:rsidRPr="00F921F2">
        <w:rPr>
          <w:rFonts w:eastAsia="Aptos" w:cs="Aptos"/>
          <w:color w:val="000000" w:themeColor="text1"/>
          <w:szCs w:val="22"/>
        </w:rPr>
        <w:t xml:space="preserve">and </w:t>
      </w:r>
      <w:r w:rsidR="00292A83" w:rsidRPr="00F921F2">
        <w:rPr>
          <w:rFonts w:eastAsia="Aptos" w:cs="Aptos"/>
          <w:color w:val="000000" w:themeColor="text1"/>
          <w:szCs w:val="22"/>
        </w:rPr>
        <w:t>sustainable</w:t>
      </w:r>
      <w:r w:rsidR="00292A83">
        <w:rPr>
          <w:rFonts w:eastAsia="Aptos" w:cs="Aptos"/>
          <w:color w:val="000000" w:themeColor="text1"/>
          <w:szCs w:val="22"/>
        </w:rPr>
        <w:t xml:space="preserve"> </w:t>
      </w:r>
      <w:r w:rsidRPr="00AC06C7">
        <w:rPr>
          <w:rFonts w:eastAsia="Aptos" w:cs="Aptos"/>
          <w:color w:val="000000" w:themeColor="text1"/>
          <w:szCs w:val="22"/>
        </w:rPr>
        <w:t>savings and better realisation of efficiencies.</w:t>
      </w:r>
      <w:r>
        <w:rPr>
          <w:rFonts w:eastAsia="Aptos" w:cs="Aptos"/>
          <w:color w:val="000000" w:themeColor="text1"/>
          <w:szCs w:val="22"/>
        </w:rPr>
        <w:t xml:space="preserve"> </w:t>
      </w:r>
    </w:p>
    <w:p w14:paraId="31191CC6" w14:textId="77777777" w:rsidR="00077A28" w:rsidRPr="006F6F2D" w:rsidRDefault="00077A28" w:rsidP="00D207B3">
      <w:pPr>
        <w:pStyle w:val="ListParagraph"/>
        <w:numPr>
          <w:ilvl w:val="0"/>
          <w:numId w:val="4"/>
        </w:numPr>
        <w:ind w:left="357"/>
        <w:contextualSpacing w:val="0"/>
        <w:rPr>
          <w:rFonts w:eastAsia="Aptos" w:cs="Aptos"/>
          <w:b/>
          <w:color w:val="000000" w:themeColor="text1"/>
          <w:szCs w:val="22"/>
        </w:rPr>
      </w:pPr>
      <w:r w:rsidRPr="00775A25">
        <w:rPr>
          <w:rFonts w:eastAsia="Aptos" w:cs="Aptos"/>
          <w:b/>
          <w:color w:val="000000" w:themeColor="text1"/>
          <w:szCs w:val="22"/>
        </w:rPr>
        <w:t xml:space="preserve">Reduce the number of </w:t>
      </w:r>
      <w:proofErr w:type="gramStart"/>
      <w:r w:rsidRPr="00775A25">
        <w:rPr>
          <w:rFonts w:eastAsia="Aptos" w:cs="Aptos"/>
          <w:b/>
          <w:color w:val="000000" w:themeColor="text1"/>
          <w:szCs w:val="22"/>
        </w:rPr>
        <w:t>fixed-term</w:t>
      </w:r>
      <w:proofErr w:type="gramEnd"/>
      <w:r w:rsidRPr="00775A25">
        <w:rPr>
          <w:rFonts w:eastAsia="Aptos" w:cs="Aptos"/>
          <w:b/>
          <w:color w:val="000000" w:themeColor="text1"/>
          <w:szCs w:val="22"/>
        </w:rPr>
        <w:t xml:space="preserve"> funded programs </w:t>
      </w:r>
    </w:p>
    <w:p w14:paraId="2B71A841" w14:textId="77777777" w:rsidR="00077A28" w:rsidRDefault="00077A28" w:rsidP="00077A28">
      <w:pPr>
        <w:ind w:left="357"/>
        <w:rPr>
          <w:rFonts w:eastAsia="Aptos" w:cs="Aptos"/>
          <w:color w:val="000000" w:themeColor="text1"/>
          <w:szCs w:val="22"/>
        </w:rPr>
      </w:pPr>
      <w:r w:rsidRPr="00AC06C7">
        <w:rPr>
          <w:rFonts w:eastAsia="Aptos" w:cs="Aptos"/>
          <w:color w:val="000000" w:themeColor="text1"/>
          <w:szCs w:val="22"/>
        </w:rPr>
        <w:t>Fixed-term funding is appropriate where time-limited government intervention is required (e.g.</w:t>
      </w:r>
      <w:r>
        <w:rPr>
          <w:rFonts w:eastAsia="Aptos" w:cs="Aptos"/>
          <w:color w:val="000000" w:themeColor="text1"/>
          <w:szCs w:val="22"/>
        </w:rPr>
        <w:t> </w:t>
      </w:r>
      <w:r w:rsidRPr="00AC06C7">
        <w:rPr>
          <w:rFonts w:eastAsia="Aptos" w:cs="Aptos"/>
          <w:color w:val="000000" w:themeColor="text1"/>
          <w:szCs w:val="22"/>
        </w:rPr>
        <w:t xml:space="preserve">COVID-19 response), or where the accountable delivery of a program needs to be supported by more frequent government consideration (e.g. results of a pilot program). </w:t>
      </w:r>
      <w:r>
        <w:rPr>
          <w:rFonts w:eastAsia="Aptos" w:cs="Aptos"/>
          <w:color w:val="000000" w:themeColor="text1"/>
          <w:szCs w:val="22"/>
        </w:rPr>
        <w:t>While providing some flexibility, it incurs</w:t>
      </w:r>
      <w:r w:rsidRPr="00AC06C7">
        <w:rPr>
          <w:rFonts w:eastAsia="Aptos" w:cs="Aptos"/>
          <w:color w:val="000000" w:themeColor="text1"/>
          <w:szCs w:val="22"/>
        </w:rPr>
        <w:t xml:space="preserve"> add</w:t>
      </w:r>
      <w:r>
        <w:rPr>
          <w:rFonts w:eastAsia="Aptos" w:cs="Aptos"/>
          <w:color w:val="000000" w:themeColor="text1"/>
          <w:szCs w:val="22"/>
        </w:rPr>
        <w:t>itional</w:t>
      </w:r>
      <w:r w:rsidRPr="00AC06C7">
        <w:rPr>
          <w:rFonts w:eastAsia="Aptos" w:cs="Aptos"/>
          <w:color w:val="000000" w:themeColor="text1"/>
          <w:szCs w:val="22"/>
        </w:rPr>
        <w:t xml:space="preserve"> costs and</w:t>
      </w:r>
      <w:r>
        <w:rPr>
          <w:rFonts w:eastAsia="Aptos" w:cs="Aptos"/>
          <w:color w:val="000000" w:themeColor="text1"/>
          <w:szCs w:val="22"/>
        </w:rPr>
        <w:t xml:space="preserve"> more</w:t>
      </w:r>
      <w:r w:rsidRPr="00AC06C7">
        <w:rPr>
          <w:rFonts w:eastAsia="Aptos" w:cs="Aptos"/>
          <w:color w:val="000000" w:themeColor="text1"/>
          <w:szCs w:val="22"/>
        </w:rPr>
        <w:t xml:space="preserve"> complex program delivery. </w:t>
      </w:r>
    </w:p>
    <w:p w14:paraId="425094AA" w14:textId="7A4E4D21" w:rsidR="00077A28" w:rsidRDefault="00077A28" w:rsidP="00077A28">
      <w:pPr>
        <w:ind w:left="357"/>
        <w:rPr>
          <w:rFonts w:eastAsia="Aptos" w:cs="Aptos"/>
          <w:color w:val="000000" w:themeColor="text1"/>
          <w:szCs w:val="22"/>
        </w:rPr>
      </w:pPr>
      <w:r w:rsidRPr="0080434A">
        <w:rPr>
          <w:rFonts w:eastAsia="Aptos" w:cs="Aptos"/>
          <w:color w:val="000000" w:themeColor="text1"/>
          <w:szCs w:val="22"/>
        </w:rPr>
        <w:t>Funding for fixed-term initiatives lapsing in the 2025/26 Budget accounted for around 30 per cent of new expenditure, up from around 20 per cent in the 2024/25 Budget.</w:t>
      </w:r>
      <w:r>
        <w:rPr>
          <w:rFonts w:eastAsia="Aptos" w:cs="Aptos"/>
          <w:color w:val="000000" w:themeColor="text1"/>
          <w:szCs w:val="22"/>
        </w:rPr>
        <w:t xml:space="preserve"> </w:t>
      </w:r>
    </w:p>
    <w:p w14:paraId="28640970" w14:textId="5A240092" w:rsidR="00077A28" w:rsidRPr="00AC06C7" w:rsidRDefault="00077A28" w:rsidP="00077A28">
      <w:pPr>
        <w:ind w:left="357"/>
        <w:rPr>
          <w:rFonts w:eastAsia="Aptos" w:cs="Aptos"/>
          <w:color w:val="000000" w:themeColor="text1"/>
          <w:szCs w:val="22"/>
        </w:rPr>
      </w:pPr>
      <w:r>
        <w:rPr>
          <w:rFonts w:eastAsia="Aptos" w:cs="Aptos"/>
          <w:color w:val="000000" w:themeColor="text1"/>
          <w:szCs w:val="22"/>
        </w:rPr>
        <w:t xml:space="preserve">Government has funded some </w:t>
      </w:r>
      <w:r w:rsidRPr="00F921F2">
        <w:rPr>
          <w:rFonts w:eastAsia="Aptos" w:cs="Aptos"/>
          <w:color w:val="000000" w:themeColor="text1"/>
          <w:szCs w:val="22"/>
        </w:rPr>
        <w:t>important</w:t>
      </w:r>
      <w:r>
        <w:rPr>
          <w:rFonts w:eastAsia="Aptos" w:cs="Aptos"/>
          <w:color w:val="000000" w:themeColor="text1"/>
          <w:szCs w:val="22"/>
        </w:rPr>
        <w:t xml:space="preserve"> programs on a fixed-term basis </w:t>
      </w:r>
      <w:r w:rsidRPr="00F921F2">
        <w:rPr>
          <w:rFonts w:eastAsia="Aptos" w:cs="Aptos"/>
          <w:color w:val="000000" w:themeColor="text1"/>
          <w:szCs w:val="22"/>
        </w:rPr>
        <w:t>over</w:t>
      </w:r>
      <w:r>
        <w:rPr>
          <w:rFonts w:eastAsia="Aptos" w:cs="Aptos"/>
          <w:color w:val="000000" w:themeColor="text1"/>
          <w:szCs w:val="22"/>
        </w:rPr>
        <w:t xml:space="preserve"> multiple budgets. </w:t>
      </w:r>
      <w:r w:rsidRPr="00F921F2">
        <w:rPr>
          <w:rFonts w:eastAsia="Aptos" w:cs="Aptos"/>
          <w:color w:val="000000" w:themeColor="text1"/>
          <w:szCs w:val="22"/>
        </w:rPr>
        <w:t>For example</w:t>
      </w:r>
      <w:r w:rsidRPr="00F921F2" w:rsidDel="00B52D59">
        <w:rPr>
          <w:rFonts w:eastAsia="Aptos" w:cs="Aptos"/>
          <w:color w:val="000000" w:themeColor="text1"/>
          <w:szCs w:val="22"/>
        </w:rPr>
        <w:t xml:space="preserve">, </w:t>
      </w:r>
      <w:r w:rsidRPr="00F921F2">
        <w:rPr>
          <w:rFonts w:eastAsia="Aptos" w:cs="Aptos"/>
          <w:color w:val="000000" w:themeColor="text1"/>
          <w:szCs w:val="22"/>
        </w:rPr>
        <w:t>base road maintenance funding has been supplemented by additional time-limited funding in the past five budgets. Relying on these top</w:t>
      </w:r>
      <w:r w:rsidR="00654D8E">
        <w:rPr>
          <w:rFonts w:eastAsia="Aptos" w:cs="Aptos"/>
          <w:color w:val="000000" w:themeColor="text1"/>
          <w:szCs w:val="22"/>
        </w:rPr>
        <w:t>-</w:t>
      </w:r>
      <w:r w:rsidRPr="00F921F2">
        <w:rPr>
          <w:rFonts w:eastAsia="Aptos" w:cs="Aptos"/>
          <w:color w:val="000000" w:themeColor="text1"/>
          <w:szCs w:val="22"/>
        </w:rPr>
        <w:t>ups impedes</w:t>
      </w:r>
      <w:r>
        <w:rPr>
          <w:rFonts w:eastAsia="Aptos" w:cs="Aptos"/>
          <w:color w:val="000000" w:themeColor="text1"/>
          <w:szCs w:val="22"/>
        </w:rPr>
        <w:t xml:space="preserve"> </w:t>
      </w:r>
      <w:r w:rsidRPr="00F921F2">
        <w:rPr>
          <w:rFonts w:eastAsia="Aptos" w:cs="Aptos"/>
          <w:color w:val="000000" w:themeColor="text1"/>
          <w:szCs w:val="22"/>
        </w:rPr>
        <w:t xml:space="preserve">long-term planning and prevents efficiencies that could be </w:t>
      </w:r>
      <w:r w:rsidRPr="00F921F2">
        <w:rPr>
          <w:rFonts w:eastAsia="Aptos" w:cs="Aptos"/>
          <w:color w:val="000000" w:themeColor="text1"/>
          <w:szCs w:val="22"/>
        </w:rPr>
        <w:t>derived from multi-year service contracts.</w:t>
      </w:r>
      <w:r>
        <w:rPr>
          <w:rFonts w:eastAsia="Aptos" w:cs="Aptos"/>
          <w:color w:val="000000" w:themeColor="text1"/>
          <w:szCs w:val="22"/>
        </w:rPr>
        <w:t xml:space="preserve"> </w:t>
      </w:r>
      <w:r w:rsidRPr="00F921F2">
        <w:rPr>
          <w:rFonts w:eastAsia="Aptos" w:cs="Aptos"/>
          <w:color w:val="000000" w:themeColor="text1"/>
          <w:szCs w:val="22"/>
        </w:rPr>
        <w:t>Fixed-term funding should not include programs that are highly likely to be re</w:t>
      </w:r>
      <w:r w:rsidR="00A0533B">
        <w:rPr>
          <w:rFonts w:eastAsia="Aptos" w:cs="Aptos"/>
          <w:color w:val="000000" w:themeColor="text1"/>
          <w:szCs w:val="22"/>
        </w:rPr>
        <w:t>-</w:t>
      </w:r>
      <w:r w:rsidRPr="00F921F2">
        <w:rPr>
          <w:rFonts w:eastAsia="Aptos" w:cs="Aptos"/>
          <w:color w:val="000000" w:themeColor="text1"/>
          <w:szCs w:val="22"/>
        </w:rPr>
        <w:t>funded</w:t>
      </w:r>
      <w:r>
        <w:rPr>
          <w:rFonts w:eastAsia="Aptos" w:cs="Aptos"/>
          <w:color w:val="000000" w:themeColor="text1"/>
          <w:szCs w:val="22"/>
        </w:rPr>
        <w:t>.</w:t>
      </w:r>
    </w:p>
    <w:p w14:paraId="20CAD2B3" w14:textId="37852F69" w:rsidR="00077A28" w:rsidRPr="00AC06C7" w:rsidRDefault="00077A28" w:rsidP="00077A28">
      <w:pPr>
        <w:ind w:left="357"/>
        <w:rPr>
          <w:rFonts w:eastAsia="Aptos" w:cs="Aptos"/>
          <w:color w:val="000000" w:themeColor="text1"/>
          <w:szCs w:val="22"/>
        </w:rPr>
      </w:pPr>
      <w:r w:rsidRPr="00AC06C7">
        <w:rPr>
          <w:rFonts w:eastAsia="Aptos" w:cs="Aptos"/>
          <w:color w:val="000000" w:themeColor="text1"/>
          <w:szCs w:val="22"/>
        </w:rPr>
        <w:t xml:space="preserve">Following implementation of </w:t>
      </w:r>
      <w:r w:rsidR="00810BE2">
        <w:rPr>
          <w:rFonts w:eastAsia="Aptos" w:cs="Aptos"/>
          <w:color w:val="000000" w:themeColor="text1"/>
          <w:szCs w:val="22"/>
        </w:rPr>
        <w:t xml:space="preserve">a </w:t>
      </w:r>
      <w:r>
        <w:rPr>
          <w:rFonts w:eastAsia="Aptos" w:cs="Aptos"/>
          <w:color w:val="000000" w:themeColor="text1"/>
          <w:szCs w:val="22"/>
        </w:rPr>
        <w:t xml:space="preserve">rolling program of </w:t>
      </w:r>
      <w:r w:rsidRPr="00AC06C7">
        <w:rPr>
          <w:rFonts w:eastAsia="Aptos" w:cs="Aptos"/>
          <w:color w:val="000000" w:themeColor="text1"/>
          <w:szCs w:val="22"/>
        </w:rPr>
        <w:t>periodic evaluation of programs</w:t>
      </w:r>
      <w:r w:rsidR="00810BE2">
        <w:rPr>
          <w:rFonts w:eastAsia="Aptos" w:cs="Aptos"/>
          <w:color w:val="000000" w:themeColor="text1"/>
          <w:szCs w:val="22"/>
        </w:rPr>
        <w:t xml:space="preserve"> (rule</w:t>
      </w:r>
      <w:r w:rsidR="00653903">
        <w:rPr>
          <w:rFonts w:eastAsia="Aptos" w:cs="Aptos"/>
          <w:color w:val="000000" w:themeColor="text1"/>
          <w:szCs w:val="22"/>
        </w:rPr>
        <w:t xml:space="preserve"> 5</w:t>
      </w:r>
      <w:r>
        <w:rPr>
          <w:rFonts w:eastAsia="Aptos" w:cs="Aptos"/>
          <w:color w:val="000000" w:themeColor="text1"/>
          <w:szCs w:val="22"/>
        </w:rPr>
        <w:t>)</w:t>
      </w:r>
      <w:r w:rsidRPr="00AC06C7">
        <w:rPr>
          <w:rFonts w:eastAsia="Aptos" w:cs="Aptos"/>
          <w:color w:val="000000" w:themeColor="text1"/>
          <w:szCs w:val="22"/>
        </w:rPr>
        <w:t xml:space="preserve">, </w:t>
      </w:r>
      <w:r>
        <w:rPr>
          <w:rFonts w:eastAsia="Aptos" w:cs="Aptos"/>
          <w:color w:val="000000" w:themeColor="text1"/>
          <w:szCs w:val="22"/>
        </w:rPr>
        <w:t>g</w:t>
      </w:r>
      <w:r w:rsidRPr="00AC06C7">
        <w:rPr>
          <w:rFonts w:eastAsia="Aptos" w:cs="Aptos"/>
          <w:color w:val="000000" w:themeColor="text1"/>
          <w:szCs w:val="22"/>
        </w:rPr>
        <w:t xml:space="preserve">overnment should be able to reduce the number of </w:t>
      </w:r>
      <w:proofErr w:type="gramStart"/>
      <w:r w:rsidRPr="00AC06C7">
        <w:rPr>
          <w:rFonts w:eastAsia="Aptos" w:cs="Aptos"/>
          <w:color w:val="000000" w:themeColor="text1"/>
          <w:szCs w:val="22"/>
        </w:rPr>
        <w:t>fixed-term</w:t>
      </w:r>
      <w:proofErr w:type="gramEnd"/>
      <w:r w:rsidRPr="00AC06C7">
        <w:rPr>
          <w:rFonts w:eastAsia="Aptos" w:cs="Aptos"/>
          <w:color w:val="000000" w:themeColor="text1"/>
          <w:szCs w:val="22"/>
        </w:rPr>
        <w:t xml:space="preserve"> </w:t>
      </w:r>
      <w:r>
        <w:rPr>
          <w:rFonts w:eastAsia="Aptos" w:cs="Aptos"/>
          <w:color w:val="000000" w:themeColor="text1"/>
          <w:szCs w:val="22"/>
        </w:rPr>
        <w:t>funded</w:t>
      </w:r>
      <w:r w:rsidRPr="00AC06C7">
        <w:rPr>
          <w:rFonts w:eastAsia="Aptos" w:cs="Aptos"/>
          <w:color w:val="000000" w:themeColor="text1"/>
          <w:szCs w:val="22"/>
        </w:rPr>
        <w:t xml:space="preserve"> programs in the budget. Nevertheless, all fixed</w:t>
      </w:r>
      <w:r>
        <w:rPr>
          <w:rFonts w:eastAsia="Aptos" w:cs="Aptos"/>
          <w:color w:val="000000" w:themeColor="text1"/>
          <w:szCs w:val="22"/>
        </w:rPr>
        <w:t>-</w:t>
      </w:r>
      <w:r w:rsidRPr="00AC06C7">
        <w:rPr>
          <w:rFonts w:eastAsia="Aptos" w:cs="Aptos"/>
          <w:color w:val="000000" w:themeColor="text1"/>
          <w:szCs w:val="22"/>
        </w:rPr>
        <w:t xml:space="preserve">term programs should continue to submit an evaluation and associated business case to inform decisions on whether programs should </w:t>
      </w:r>
      <w:r>
        <w:rPr>
          <w:rFonts w:eastAsia="Aptos" w:cs="Aptos"/>
          <w:color w:val="000000" w:themeColor="text1"/>
          <w:szCs w:val="22"/>
        </w:rPr>
        <w:t>be embedded in base funding</w:t>
      </w:r>
      <w:r w:rsidRPr="00AC06C7">
        <w:rPr>
          <w:rFonts w:eastAsia="Aptos" w:cs="Aptos"/>
          <w:color w:val="000000" w:themeColor="text1"/>
          <w:szCs w:val="22"/>
        </w:rPr>
        <w:t>, stopped or be transformed</w:t>
      </w:r>
      <w:r w:rsidR="004A245A">
        <w:rPr>
          <w:rFonts w:eastAsia="Aptos" w:cs="Aptos"/>
          <w:color w:val="000000" w:themeColor="text1"/>
          <w:szCs w:val="22"/>
        </w:rPr>
        <w:t>,</w:t>
      </w:r>
      <w:r w:rsidRPr="00AC06C7">
        <w:rPr>
          <w:rFonts w:eastAsia="Aptos" w:cs="Aptos"/>
          <w:color w:val="000000" w:themeColor="text1"/>
          <w:szCs w:val="22"/>
        </w:rPr>
        <w:t xml:space="preserve"> as part</w:t>
      </w:r>
      <w:r w:rsidR="00654D8E">
        <w:rPr>
          <w:rFonts w:eastAsia="Aptos" w:cs="Aptos"/>
          <w:color w:val="000000" w:themeColor="text1"/>
          <w:szCs w:val="22"/>
        </w:rPr>
        <w:t xml:space="preserve"> </w:t>
      </w:r>
      <w:r w:rsidRPr="00AC06C7">
        <w:rPr>
          <w:rFonts w:eastAsia="Aptos" w:cs="Aptos"/>
          <w:color w:val="000000" w:themeColor="text1"/>
          <w:szCs w:val="22"/>
        </w:rPr>
        <w:t>of the annual budget process.</w:t>
      </w:r>
    </w:p>
    <w:p w14:paraId="2001DBAB" w14:textId="77777777" w:rsidR="00077A28" w:rsidRPr="00AC06C7" w:rsidRDefault="00077A28" w:rsidP="00D207B3">
      <w:pPr>
        <w:pStyle w:val="ListParagraph"/>
        <w:numPr>
          <w:ilvl w:val="0"/>
          <w:numId w:val="3"/>
        </w:numPr>
        <w:ind w:left="357"/>
        <w:contextualSpacing w:val="0"/>
        <w:rPr>
          <w:rFonts w:eastAsia="Aptos" w:cs="Aptos"/>
          <w:color w:val="000000" w:themeColor="text1"/>
          <w:szCs w:val="22"/>
        </w:rPr>
      </w:pPr>
      <w:r w:rsidRPr="00AC06C7">
        <w:rPr>
          <w:rFonts w:eastAsia="Aptos" w:cs="Aptos"/>
          <w:b/>
          <w:color w:val="000000" w:themeColor="text1"/>
          <w:szCs w:val="22"/>
        </w:rPr>
        <w:t>Mandate and deliver public sector financial training for executives</w:t>
      </w:r>
    </w:p>
    <w:p w14:paraId="02550345" w14:textId="1189B89F" w:rsidR="00077A28" w:rsidRPr="00AC06C7" w:rsidRDefault="00077A28" w:rsidP="00077A28">
      <w:pPr>
        <w:ind w:left="357"/>
        <w:rPr>
          <w:rFonts w:eastAsia="Aptos" w:cs="Aptos"/>
          <w:color w:val="000000" w:themeColor="text1"/>
          <w:szCs w:val="22"/>
        </w:rPr>
      </w:pPr>
      <w:r w:rsidRPr="00AC06C7">
        <w:rPr>
          <w:rFonts w:eastAsia="Aptos" w:cs="Aptos"/>
          <w:color w:val="000000" w:themeColor="text1"/>
          <w:szCs w:val="22"/>
        </w:rPr>
        <w:t xml:space="preserve">Financial literacy and capability are </w:t>
      </w:r>
      <w:r>
        <w:rPr>
          <w:rFonts w:eastAsia="Aptos" w:cs="Aptos"/>
          <w:color w:val="000000" w:themeColor="text1"/>
          <w:szCs w:val="22"/>
        </w:rPr>
        <w:t>needed</w:t>
      </w:r>
      <w:r w:rsidRPr="00AC06C7">
        <w:rPr>
          <w:rFonts w:eastAsia="Aptos" w:cs="Aptos"/>
          <w:color w:val="000000" w:themeColor="text1"/>
          <w:szCs w:val="22"/>
        </w:rPr>
        <w:t xml:space="preserve"> </w:t>
      </w:r>
      <w:r>
        <w:rPr>
          <w:rFonts w:eastAsia="Aptos" w:cs="Aptos"/>
          <w:color w:val="000000" w:themeColor="text1"/>
          <w:szCs w:val="22"/>
        </w:rPr>
        <w:t xml:space="preserve">for effective </w:t>
      </w:r>
      <w:r w:rsidRPr="00AC06C7">
        <w:rPr>
          <w:rFonts w:eastAsia="Aptos" w:cs="Aptos"/>
          <w:color w:val="000000" w:themeColor="text1"/>
          <w:szCs w:val="22"/>
        </w:rPr>
        <w:t>manag</w:t>
      </w:r>
      <w:r>
        <w:rPr>
          <w:rFonts w:eastAsia="Aptos" w:cs="Aptos"/>
          <w:color w:val="000000" w:themeColor="text1"/>
          <w:szCs w:val="22"/>
        </w:rPr>
        <w:t>ement</w:t>
      </w:r>
      <w:r w:rsidRPr="00AC06C7">
        <w:rPr>
          <w:rFonts w:eastAsia="Aptos" w:cs="Aptos"/>
          <w:color w:val="000000" w:themeColor="text1"/>
          <w:szCs w:val="22"/>
        </w:rPr>
        <w:t xml:space="preserve"> </w:t>
      </w:r>
      <w:r w:rsidR="005B431C">
        <w:rPr>
          <w:rFonts w:eastAsia="Aptos" w:cs="Aptos"/>
          <w:color w:val="000000" w:themeColor="text1"/>
          <w:szCs w:val="22"/>
        </w:rPr>
        <w:t xml:space="preserve">of </w:t>
      </w:r>
      <w:r w:rsidRPr="00AC06C7">
        <w:rPr>
          <w:rFonts w:eastAsia="Aptos" w:cs="Aptos"/>
          <w:color w:val="000000" w:themeColor="text1"/>
          <w:szCs w:val="22"/>
        </w:rPr>
        <w:t xml:space="preserve">public sector programs and resources. </w:t>
      </w:r>
      <w:r>
        <w:rPr>
          <w:rFonts w:eastAsia="Aptos" w:cs="Aptos"/>
          <w:color w:val="000000" w:themeColor="text1"/>
          <w:szCs w:val="22"/>
        </w:rPr>
        <w:t>T</w:t>
      </w:r>
      <w:r w:rsidRPr="00AC06C7">
        <w:rPr>
          <w:rFonts w:eastAsia="Aptos" w:cs="Aptos"/>
          <w:color w:val="000000" w:themeColor="text1"/>
          <w:szCs w:val="22"/>
        </w:rPr>
        <w:t xml:space="preserve">he public sector tends to place responsibility for financial literacy and capability onto its Chief Finance Officers and finance teams, rather than </w:t>
      </w:r>
      <w:r>
        <w:rPr>
          <w:rFonts w:eastAsia="Aptos" w:cs="Aptos"/>
          <w:color w:val="000000" w:themeColor="text1"/>
          <w:szCs w:val="22"/>
        </w:rPr>
        <w:t>considering it</w:t>
      </w:r>
      <w:r w:rsidRPr="00AC06C7">
        <w:rPr>
          <w:rFonts w:eastAsia="Aptos" w:cs="Aptos"/>
          <w:color w:val="000000" w:themeColor="text1"/>
          <w:szCs w:val="22"/>
        </w:rPr>
        <w:t xml:space="preserve"> a core capability required of all public sector executives. The </w:t>
      </w:r>
      <w:r>
        <w:rPr>
          <w:rFonts w:eastAsia="Aptos" w:cs="Aptos"/>
          <w:color w:val="000000" w:themeColor="text1"/>
          <w:szCs w:val="22"/>
        </w:rPr>
        <w:t>R</w:t>
      </w:r>
      <w:r w:rsidRPr="00AC06C7">
        <w:rPr>
          <w:rFonts w:eastAsia="Aptos" w:cs="Aptos"/>
          <w:color w:val="000000" w:themeColor="text1"/>
          <w:szCs w:val="22"/>
        </w:rPr>
        <w:t>eview recommends mandatory public sector base financial management training for executives</w:t>
      </w:r>
      <w:r>
        <w:rPr>
          <w:rFonts w:eastAsia="Aptos" w:cs="Aptos"/>
          <w:color w:val="000000" w:themeColor="text1"/>
          <w:szCs w:val="22"/>
        </w:rPr>
        <w:t>,</w:t>
      </w:r>
      <w:r w:rsidRPr="00AC06C7">
        <w:rPr>
          <w:rFonts w:eastAsia="Aptos" w:cs="Aptos"/>
          <w:color w:val="000000" w:themeColor="text1"/>
          <w:szCs w:val="22"/>
        </w:rPr>
        <w:t xml:space="preserve"> </w:t>
      </w:r>
      <w:r>
        <w:rPr>
          <w:rFonts w:eastAsia="Aptos" w:cs="Aptos"/>
          <w:color w:val="000000" w:themeColor="text1"/>
          <w:szCs w:val="22"/>
        </w:rPr>
        <w:t>to</w:t>
      </w:r>
      <w:r w:rsidRPr="00AC06C7">
        <w:rPr>
          <w:rFonts w:eastAsia="Aptos" w:cs="Aptos"/>
          <w:color w:val="000000" w:themeColor="text1"/>
          <w:szCs w:val="22"/>
        </w:rPr>
        <w:t xml:space="preserve"> be completed every three years.</w:t>
      </w:r>
      <w:r>
        <w:rPr>
          <w:rFonts w:eastAsia="Aptos" w:cs="Aptos"/>
          <w:color w:val="000000" w:themeColor="text1"/>
          <w:szCs w:val="22"/>
        </w:rPr>
        <w:t xml:space="preserve"> This should be a core</w:t>
      </w:r>
      <w:r w:rsidR="008B680D">
        <w:rPr>
          <w:rFonts w:eastAsia="Aptos" w:cs="Aptos"/>
          <w:color w:val="000000" w:themeColor="text1"/>
          <w:szCs w:val="22"/>
        </w:rPr>
        <w:t> </w:t>
      </w:r>
      <w:r>
        <w:rPr>
          <w:rFonts w:eastAsia="Aptos" w:cs="Aptos"/>
          <w:color w:val="000000" w:themeColor="text1"/>
          <w:szCs w:val="22"/>
        </w:rPr>
        <w:t>capability.</w:t>
      </w:r>
    </w:p>
    <w:p w14:paraId="126B20DF" w14:textId="51F4A3E7" w:rsidR="00077A28" w:rsidRPr="00AC06C7" w:rsidRDefault="00077A28" w:rsidP="00077A28">
      <w:pPr>
        <w:ind w:left="357"/>
        <w:rPr>
          <w:rFonts w:eastAsia="Aptos" w:cs="Aptos"/>
          <w:color w:val="000000" w:themeColor="text1"/>
          <w:szCs w:val="22"/>
        </w:rPr>
      </w:pPr>
      <w:r w:rsidRPr="00AC06C7">
        <w:rPr>
          <w:rFonts w:eastAsia="Aptos" w:cs="Aptos"/>
          <w:color w:val="000000" w:themeColor="text1"/>
          <w:szCs w:val="22"/>
        </w:rPr>
        <w:t>The</w:t>
      </w:r>
      <w:r>
        <w:rPr>
          <w:rFonts w:eastAsia="Aptos" w:cs="Aptos"/>
          <w:color w:val="000000" w:themeColor="text1"/>
          <w:szCs w:val="22"/>
        </w:rPr>
        <w:t xml:space="preserve"> VPS</w:t>
      </w:r>
      <w:r w:rsidRPr="00AC06C7">
        <w:rPr>
          <w:rFonts w:eastAsia="Aptos" w:cs="Aptos"/>
          <w:color w:val="000000" w:themeColor="text1"/>
          <w:szCs w:val="22"/>
        </w:rPr>
        <w:t xml:space="preserve"> Accounting and Finance Graduate program can also be augmented through increasing numbers, boosting attraction and retention approaches, and offering further training in partnership with peak bodies. </w:t>
      </w:r>
      <w:r w:rsidRPr="00F921F2">
        <w:rPr>
          <w:rFonts w:eastAsia="Aptos" w:cs="Aptos"/>
          <w:color w:val="000000" w:themeColor="text1"/>
          <w:szCs w:val="22"/>
        </w:rPr>
        <w:t>The importance of graduates being recruited to the VPS is discussed in Chapter 5.</w:t>
      </w:r>
    </w:p>
    <w:p w14:paraId="32D8C456" w14:textId="71914C80" w:rsidR="00077A28" w:rsidRPr="00775A25" w:rsidRDefault="00077A28" w:rsidP="00D207B3">
      <w:pPr>
        <w:pStyle w:val="ListParagraph"/>
        <w:numPr>
          <w:ilvl w:val="0"/>
          <w:numId w:val="3"/>
        </w:numPr>
        <w:ind w:left="357"/>
        <w:contextualSpacing w:val="0"/>
        <w:rPr>
          <w:rFonts w:eastAsia="Aptos" w:cs="Aptos"/>
          <w:color w:val="000000" w:themeColor="text1"/>
          <w:szCs w:val="22"/>
        </w:rPr>
      </w:pPr>
      <w:r w:rsidRPr="00775A25">
        <w:rPr>
          <w:rFonts w:eastAsia="Aptos" w:cs="Aptos"/>
          <w:b/>
          <w:color w:val="000000" w:themeColor="text1"/>
          <w:szCs w:val="22"/>
        </w:rPr>
        <w:lastRenderedPageBreak/>
        <w:t xml:space="preserve">Embed systematic job rotation for financial officers between DTF and </w:t>
      </w:r>
      <w:r w:rsidR="006707DB">
        <w:rPr>
          <w:rFonts w:eastAsia="Aptos" w:cs="Aptos"/>
          <w:b/>
          <w:color w:val="000000" w:themeColor="text1"/>
          <w:szCs w:val="22"/>
        </w:rPr>
        <w:t xml:space="preserve">other </w:t>
      </w:r>
      <w:r w:rsidRPr="00775A25">
        <w:rPr>
          <w:rFonts w:eastAsia="Aptos" w:cs="Aptos"/>
          <w:b/>
          <w:color w:val="000000" w:themeColor="text1"/>
          <w:szCs w:val="22"/>
        </w:rPr>
        <w:t>departments</w:t>
      </w:r>
    </w:p>
    <w:p w14:paraId="40F0DFFF" w14:textId="0FA3CF91" w:rsidR="00077A28" w:rsidRPr="00AC06C7" w:rsidRDefault="00077A28" w:rsidP="00077A28">
      <w:pPr>
        <w:ind w:left="357"/>
        <w:rPr>
          <w:rFonts w:eastAsia="Aptos" w:cs="Aptos"/>
          <w:color w:val="000000" w:themeColor="text1"/>
          <w:szCs w:val="22"/>
        </w:rPr>
      </w:pPr>
      <w:r>
        <w:rPr>
          <w:rFonts w:eastAsia="Aptos" w:cs="Aptos"/>
          <w:color w:val="000000" w:themeColor="text1"/>
          <w:szCs w:val="22"/>
        </w:rPr>
        <w:t>P</w:t>
      </w:r>
      <w:r w:rsidRPr="00AC06C7">
        <w:rPr>
          <w:rFonts w:eastAsia="Aptos" w:cs="Aptos"/>
          <w:color w:val="000000" w:themeColor="text1"/>
          <w:szCs w:val="22"/>
        </w:rPr>
        <w:t xml:space="preserve">eriodic </w:t>
      </w:r>
      <w:r>
        <w:rPr>
          <w:rFonts w:eastAsia="Aptos" w:cs="Aptos"/>
          <w:color w:val="000000" w:themeColor="text1"/>
          <w:szCs w:val="22"/>
        </w:rPr>
        <w:t>job rotations</w:t>
      </w:r>
      <w:r w:rsidRPr="00AC06C7">
        <w:rPr>
          <w:rFonts w:eastAsia="Aptos" w:cs="Aptos"/>
          <w:color w:val="000000" w:themeColor="text1"/>
          <w:szCs w:val="22"/>
        </w:rPr>
        <w:t xml:space="preserve"> for financial officers between departments and DTF </w:t>
      </w:r>
      <w:r>
        <w:rPr>
          <w:rFonts w:eastAsia="Aptos" w:cs="Aptos"/>
          <w:color w:val="000000" w:themeColor="text1"/>
          <w:szCs w:val="22"/>
        </w:rPr>
        <w:t>(</w:t>
      </w:r>
      <w:r w:rsidR="006707DB">
        <w:rPr>
          <w:rFonts w:eastAsia="Aptos" w:cs="Aptos"/>
          <w:color w:val="000000" w:themeColor="text1"/>
          <w:szCs w:val="22"/>
        </w:rPr>
        <w:t>e.g.</w:t>
      </w:r>
      <w:r>
        <w:rPr>
          <w:rFonts w:eastAsia="Aptos" w:cs="Aptos"/>
          <w:color w:val="000000" w:themeColor="text1"/>
          <w:szCs w:val="22"/>
        </w:rPr>
        <w:t xml:space="preserve"> the period of </w:t>
      </w:r>
      <w:r w:rsidRPr="00AC06C7">
        <w:rPr>
          <w:rFonts w:eastAsia="Aptos" w:cs="Aptos"/>
          <w:color w:val="000000" w:themeColor="text1"/>
          <w:szCs w:val="22"/>
        </w:rPr>
        <w:t>September</w:t>
      </w:r>
      <w:r>
        <w:rPr>
          <w:rFonts w:eastAsia="Aptos" w:cs="Aptos"/>
          <w:color w:val="000000" w:themeColor="text1"/>
          <w:szCs w:val="22"/>
        </w:rPr>
        <w:t xml:space="preserve"> to </w:t>
      </w:r>
      <w:r w:rsidRPr="00AC06C7">
        <w:rPr>
          <w:rFonts w:eastAsia="Aptos" w:cs="Aptos"/>
          <w:color w:val="000000" w:themeColor="text1"/>
          <w:szCs w:val="22"/>
        </w:rPr>
        <w:t>January</w:t>
      </w:r>
      <w:r>
        <w:rPr>
          <w:rFonts w:eastAsia="Aptos" w:cs="Aptos"/>
          <w:color w:val="000000" w:themeColor="text1"/>
          <w:szCs w:val="22"/>
        </w:rPr>
        <w:t xml:space="preserve">) </w:t>
      </w:r>
      <w:r w:rsidRPr="00AC06C7">
        <w:rPr>
          <w:rFonts w:eastAsia="Aptos" w:cs="Aptos"/>
          <w:color w:val="000000" w:themeColor="text1"/>
          <w:szCs w:val="22"/>
        </w:rPr>
        <w:t>w</w:t>
      </w:r>
      <w:r>
        <w:rPr>
          <w:rFonts w:eastAsia="Aptos" w:cs="Aptos"/>
          <w:color w:val="000000" w:themeColor="text1"/>
          <w:szCs w:val="22"/>
        </w:rPr>
        <w:t>ould</w:t>
      </w:r>
      <w:r w:rsidRPr="00AC06C7">
        <w:rPr>
          <w:rFonts w:eastAsia="Aptos" w:cs="Aptos"/>
          <w:color w:val="000000" w:themeColor="text1"/>
          <w:szCs w:val="22"/>
        </w:rPr>
        <w:t xml:space="preserve"> lift financial management capability across the VPS</w:t>
      </w:r>
      <w:r w:rsidR="0097431A">
        <w:rPr>
          <w:rFonts w:eastAsia="Aptos" w:cs="Aptos"/>
          <w:color w:val="000000" w:themeColor="text1"/>
          <w:szCs w:val="22"/>
        </w:rPr>
        <w:t>.</w:t>
      </w:r>
      <w:r w:rsidRPr="00AC06C7">
        <w:rPr>
          <w:rFonts w:eastAsia="Aptos" w:cs="Aptos"/>
          <w:color w:val="000000" w:themeColor="text1"/>
          <w:szCs w:val="22"/>
        </w:rPr>
        <w:t xml:space="preserve"> </w:t>
      </w:r>
      <w:r w:rsidR="0097431A">
        <w:rPr>
          <w:rFonts w:eastAsia="Aptos" w:cs="Aptos"/>
          <w:color w:val="000000" w:themeColor="text1"/>
          <w:szCs w:val="22"/>
        </w:rPr>
        <w:t>They would</w:t>
      </w:r>
      <w:r w:rsidRPr="00AC06C7">
        <w:rPr>
          <w:rFonts w:eastAsia="Aptos" w:cs="Aptos"/>
          <w:color w:val="000000" w:themeColor="text1"/>
          <w:szCs w:val="22"/>
        </w:rPr>
        <w:t xml:space="preserve"> address any skill shortages during peak periods and foster better understanding of respective financial management issues</w:t>
      </w:r>
      <w:r w:rsidR="007C4B3A">
        <w:rPr>
          <w:rFonts w:eastAsia="Aptos" w:cs="Aptos"/>
          <w:color w:val="000000" w:themeColor="text1"/>
          <w:szCs w:val="22"/>
        </w:rPr>
        <w:t>,</w:t>
      </w:r>
      <w:r w:rsidRPr="00AC06C7">
        <w:rPr>
          <w:rFonts w:eastAsia="Aptos" w:cs="Aptos"/>
          <w:color w:val="000000" w:themeColor="text1"/>
          <w:szCs w:val="22"/>
        </w:rPr>
        <w:t xml:space="preserve"> challenges and strategies to resolve them.</w:t>
      </w:r>
      <w:r>
        <w:rPr>
          <w:rFonts w:eastAsia="Aptos" w:cs="Aptos"/>
          <w:color w:val="000000" w:themeColor="text1"/>
          <w:szCs w:val="22"/>
        </w:rPr>
        <w:t xml:space="preserve"> It </w:t>
      </w:r>
      <w:r w:rsidR="007C4B3A">
        <w:rPr>
          <w:rFonts w:eastAsia="Aptos" w:cs="Aptos"/>
          <w:color w:val="000000" w:themeColor="text1"/>
          <w:szCs w:val="22"/>
        </w:rPr>
        <w:t>would</w:t>
      </w:r>
      <w:r>
        <w:rPr>
          <w:rFonts w:eastAsia="Aptos" w:cs="Aptos"/>
          <w:color w:val="000000" w:themeColor="text1"/>
          <w:szCs w:val="22"/>
        </w:rPr>
        <w:t xml:space="preserve"> also help build a more collaborative culture across departments and generate a greater shared ownership of problems and solutions.</w:t>
      </w:r>
    </w:p>
    <w:p w14:paraId="6BB0789F" w14:textId="77777777" w:rsidR="00BD6D00" w:rsidRDefault="00BD6D00" w:rsidP="00A212BF">
      <w:pPr>
        <w:pStyle w:val="Heading2"/>
        <w:sectPr w:rsidR="00BD6D00" w:rsidSect="00BD6D00">
          <w:type w:val="continuous"/>
          <w:pgSz w:w="11906" w:h="16838"/>
          <w:pgMar w:top="1440" w:right="1440" w:bottom="1440" w:left="1440" w:header="708" w:footer="708" w:gutter="0"/>
          <w:cols w:num="2" w:space="708"/>
          <w:docGrid w:linePitch="360"/>
          <w15:footnoteColumns w:val="1"/>
        </w:sectPr>
      </w:pPr>
      <w:bookmarkStart w:id="38" w:name="_Toc202523971"/>
    </w:p>
    <w:p w14:paraId="73CE21C9" w14:textId="783EF07E" w:rsidR="00077A28" w:rsidRPr="001778C8" w:rsidRDefault="002F7281" w:rsidP="004B1BB6">
      <w:pPr>
        <w:pStyle w:val="Heading2"/>
        <w:spacing w:before="360"/>
      </w:pPr>
      <w:bookmarkStart w:id="39" w:name="_Toc214911991"/>
      <w:r>
        <w:t xml:space="preserve">3.5   </w:t>
      </w:r>
      <w:r w:rsidR="00077A28" w:rsidRPr="001778C8">
        <w:t>Recommendations</w:t>
      </w:r>
      <w:bookmarkEnd w:id="38"/>
      <w:bookmarkEnd w:id="39"/>
      <w:r w:rsidR="00077A28" w:rsidRPr="001778C8">
        <w:t> </w:t>
      </w:r>
    </w:p>
    <w:tbl>
      <w:tblPr>
        <w:tblStyle w:val="TableGrid"/>
        <w:tblW w:w="0" w:type="auto"/>
        <w:tblBorders>
          <w:top w:val="single" w:sz="4" w:space="0" w:color="156082" w:themeColor="accent1"/>
          <w:left w:val="single" w:sz="4" w:space="0" w:color="156082" w:themeColor="accent1"/>
          <w:bottom w:val="single" w:sz="4" w:space="0" w:color="156082" w:themeColor="accent1"/>
          <w:right w:val="single" w:sz="4" w:space="0" w:color="156082" w:themeColor="accent1"/>
          <w:insideH w:val="none" w:sz="0" w:space="0" w:color="auto"/>
          <w:insideV w:val="none" w:sz="0" w:space="0" w:color="auto"/>
        </w:tblBorders>
        <w:tblLook w:val="04A0" w:firstRow="1" w:lastRow="0" w:firstColumn="1" w:lastColumn="0" w:noHBand="0" w:noVBand="1"/>
      </w:tblPr>
      <w:tblGrid>
        <w:gridCol w:w="9016"/>
      </w:tblGrid>
      <w:tr w:rsidR="00077A28" w14:paraId="41B2DE1E" w14:textId="77777777" w:rsidTr="00352512">
        <w:tc>
          <w:tcPr>
            <w:tcW w:w="9350" w:type="dxa"/>
          </w:tcPr>
          <w:p w14:paraId="45F3084A" w14:textId="18F41B6B" w:rsidR="00077A28" w:rsidRPr="00114A33" w:rsidRDefault="00077A28" w:rsidP="00AE7533">
            <w:pPr>
              <w:pStyle w:val="ListParagraph"/>
              <w:numPr>
                <w:ilvl w:val="0"/>
                <w:numId w:val="18"/>
              </w:numPr>
              <w:spacing w:before="60" w:after="160" w:line="278" w:lineRule="auto"/>
              <w:ind w:left="567" w:hanging="567"/>
              <w:contextualSpacing w:val="0"/>
              <w:rPr>
                <w:rFonts w:eastAsia="Aptos" w:cs="Aptos"/>
                <w:color w:val="000000" w:themeColor="text1"/>
                <w:szCs w:val="22"/>
                <w:lang w:val="en-AU"/>
              </w:rPr>
            </w:pPr>
            <w:r>
              <w:rPr>
                <w:rFonts w:eastAsia="Aptos" w:cs="Aptos"/>
                <w:color w:val="000000" w:themeColor="text1"/>
                <w:szCs w:val="22"/>
                <w:lang w:val="en-AU"/>
              </w:rPr>
              <w:t>A</w:t>
            </w:r>
            <w:r w:rsidRPr="008C6577">
              <w:rPr>
                <w:rFonts w:eastAsia="Aptos" w:cs="Aptos"/>
                <w:color w:val="000000" w:themeColor="text1"/>
                <w:szCs w:val="22"/>
                <w:lang w:val="en-AU"/>
              </w:rPr>
              <w:t>ctively apply</w:t>
            </w:r>
            <w:r w:rsidRPr="00AC06C7">
              <w:rPr>
                <w:rFonts w:eastAsia="Aptos" w:cs="Aptos"/>
                <w:color w:val="000000" w:themeColor="text1"/>
                <w:szCs w:val="22"/>
                <w:lang w:val="en-AU"/>
              </w:rPr>
              <w:t xml:space="preserve"> enhanced financial management operating principles to support </w:t>
            </w:r>
            <w:r>
              <w:rPr>
                <w:rFonts w:eastAsia="Aptos" w:cs="Aptos"/>
                <w:color w:val="000000" w:themeColor="text1"/>
                <w:szCs w:val="22"/>
                <w:lang w:val="en-AU"/>
              </w:rPr>
              <w:t>strong</w:t>
            </w:r>
            <w:r w:rsidR="00AE5836">
              <w:rPr>
                <w:rFonts w:eastAsia="Aptos" w:cs="Aptos"/>
                <w:color w:val="000000" w:themeColor="text1"/>
                <w:szCs w:val="22"/>
                <w:lang w:val="en-AU"/>
              </w:rPr>
              <w:t> </w:t>
            </w:r>
            <w:r w:rsidRPr="00AC06C7">
              <w:rPr>
                <w:rFonts w:eastAsia="Aptos" w:cs="Aptos"/>
                <w:color w:val="000000" w:themeColor="text1"/>
                <w:szCs w:val="22"/>
                <w:lang w:val="en-AU"/>
              </w:rPr>
              <w:t>fiscal management</w:t>
            </w:r>
            <w:r w:rsidRPr="00114A33">
              <w:rPr>
                <w:rFonts w:eastAsia="Aptos" w:cs="Aptos"/>
                <w:color w:val="000000" w:themeColor="text1"/>
                <w:szCs w:val="22"/>
                <w:lang w:val="en-AU"/>
              </w:rPr>
              <w:t>.</w:t>
            </w:r>
          </w:p>
          <w:p w14:paraId="61442DF6" w14:textId="30BF3C54" w:rsidR="00800668" w:rsidRDefault="00DB7BF2" w:rsidP="00A51A99">
            <w:pPr>
              <w:pStyle w:val="ListParagraph"/>
              <w:numPr>
                <w:ilvl w:val="0"/>
                <w:numId w:val="18"/>
              </w:numPr>
              <w:spacing w:before="60" w:after="160" w:line="278" w:lineRule="auto"/>
              <w:ind w:left="567" w:hanging="567"/>
              <w:contextualSpacing w:val="0"/>
              <w:rPr>
                <w:rFonts w:eastAsia="Aptos" w:cs="Aptos"/>
                <w:color w:val="000000" w:themeColor="text1"/>
                <w:szCs w:val="22"/>
                <w:lang w:val="en-AU"/>
              </w:rPr>
            </w:pPr>
            <w:r w:rsidRPr="00DB7BF2">
              <w:rPr>
                <w:rFonts w:eastAsia="Aptos" w:cs="Aptos"/>
                <w:color w:val="000000" w:themeColor="text1"/>
                <w:szCs w:val="22"/>
                <w:lang w:val="en-AU"/>
              </w:rPr>
              <w:t>Commit to consistently applying 10 enhanced financial management rules, across</w:t>
            </w:r>
            <w:r w:rsidR="00AE5836">
              <w:rPr>
                <w:rFonts w:eastAsia="Aptos" w:cs="Aptos"/>
                <w:color w:val="000000" w:themeColor="text1"/>
                <w:szCs w:val="22"/>
                <w:lang w:val="en-AU"/>
              </w:rPr>
              <w:t> </w:t>
            </w:r>
            <w:r w:rsidRPr="00DB7BF2">
              <w:rPr>
                <w:rFonts w:eastAsia="Aptos" w:cs="Aptos"/>
                <w:color w:val="000000" w:themeColor="text1"/>
                <w:szCs w:val="22"/>
                <w:lang w:val="en-AU"/>
              </w:rPr>
              <w:t>4</w:t>
            </w:r>
            <w:r w:rsidR="00FB1FC7">
              <w:rPr>
                <w:rFonts w:eastAsia="Aptos" w:cs="Aptos"/>
                <w:color w:val="000000" w:themeColor="text1"/>
                <w:szCs w:val="22"/>
                <w:lang w:val="en-AU"/>
              </w:rPr>
              <w:t> </w:t>
            </w:r>
            <w:r w:rsidRPr="00DB7BF2">
              <w:rPr>
                <w:rFonts w:eastAsia="Aptos" w:cs="Aptos"/>
                <w:color w:val="000000" w:themeColor="text1"/>
                <w:szCs w:val="22"/>
                <w:lang w:val="en-AU"/>
              </w:rPr>
              <w:t>distinct phases each year, to deliver on the fiscal strategy:</w:t>
            </w:r>
          </w:p>
          <w:p w14:paraId="53EBA395" w14:textId="202FB444" w:rsidR="00077A28" w:rsidRPr="00AC06C7" w:rsidRDefault="00F37690" w:rsidP="00D207B3">
            <w:pPr>
              <w:pStyle w:val="ListParagraph"/>
              <w:numPr>
                <w:ilvl w:val="1"/>
                <w:numId w:val="19"/>
              </w:numPr>
              <w:spacing w:after="160" w:line="278" w:lineRule="auto"/>
              <w:ind w:left="1134" w:hanging="425"/>
              <w:contextualSpacing w:val="0"/>
              <w:rPr>
                <w:rFonts w:eastAsia="Aptos" w:cs="Aptos"/>
                <w:color w:val="000000" w:themeColor="text1"/>
                <w:szCs w:val="22"/>
                <w:lang w:val="en-AU"/>
              </w:rPr>
            </w:pPr>
            <w:r>
              <w:rPr>
                <w:rFonts w:eastAsia="Aptos" w:cs="Aptos"/>
                <w:color w:val="000000" w:themeColor="text1"/>
                <w:szCs w:val="22"/>
                <w:lang w:val="en-AU"/>
              </w:rPr>
              <w:t>Streng</w:t>
            </w:r>
            <w:r w:rsidR="00611460">
              <w:rPr>
                <w:rFonts w:eastAsia="Aptos" w:cs="Aptos"/>
                <w:color w:val="000000" w:themeColor="text1"/>
                <w:szCs w:val="22"/>
                <w:lang w:val="en-AU"/>
              </w:rPr>
              <w:t>then</w:t>
            </w:r>
            <w:r w:rsidR="00077A28" w:rsidRPr="00AC06C7">
              <w:rPr>
                <w:rFonts w:eastAsia="Aptos" w:cs="Aptos"/>
                <w:color w:val="000000" w:themeColor="text1"/>
                <w:szCs w:val="22"/>
                <w:lang w:val="en-AU"/>
              </w:rPr>
              <w:t xml:space="preserve"> and embed an annual budget plan that aligns with </w:t>
            </w:r>
            <w:r w:rsidR="00291C7A">
              <w:rPr>
                <w:rFonts w:eastAsia="Aptos" w:cs="Aptos"/>
                <w:color w:val="000000" w:themeColor="text1"/>
                <w:szCs w:val="22"/>
                <w:lang w:val="en-AU"/>
              </w:rPr>
              <w:br/>
            </w:r>
            <w:r w:rsidR="00077A28" w:rsidRPr="00AC06C7">
              <w:rPr>
                <w:rFonts w:eastAsia="Aptos" w:cs="Aptos"/>
                <w:color w:val="000000" w:themeColor="text1"/>
                <w:szCs w:val="22"/>
                <w:lang w:val="en-AU"/>
              </w:rPr>
              <w:t>longer-term planning at the start of the annual budget cycle.</w:t>
            </w:r>
          </w:p>
          <w:p w14:paraId="11EF64AC" w14:textId="7C712609" w:rsidR="00077A28" w:rsidRDefault="00077A28" w:rsidP="00D207B3">
            <w:pPr>
              <w:pStyle w:val="ListParagraph"/>
              <w:numPr>
                <w:ilvl w:val="1"/>
                <w:numId w:val="19"/>
              </w:numPr>
              <w:spacing w:after="160" w:line="278" w:lineRule="auto"/>
              <w:ind w:left="1134" w:hanging="425"/>
              <w:contextualSpacing w:val="0"/>
              <w:rPr>
                <w:rFonts w:eastAsia="Aptos" w:cs="Aptos"/>
                <w:color w:val="000000" w:themeColor="text1"/>
                <w:szCs w:val="22"/>
                <w:lang w:val="en-AU"/>
              </w:rPr>
            </w:pPr>
            <w:r w:rsidRPr="00AC06C7">
              <w:rPr>
                <w:rFonts w:eastAsia="Aptos" w:cs="Aptos"/>
                <w:color w:val="000000" w:themeColor="text1"/>
                <w:szCs w:val="22"/>
                <w:lang w:val="en-AU"/>
              </w:rPr>
              <w:t>Limit all new resource allocation decisions to the annual budget decision</w:t>
            </w:r>
            <w:r w:rsidR="00B544DE">
              <w:rPr>
                <w:rFonts w:eastAsia="Aptos" w:cs="Aptos"/>
                <w:color w:val="000000" w:themeColor="text1"/>
                <w:szCs w:val="22"/>
                <w:lang w:val="en-AU"/>
              </w:rPr>
              <w:t> </w:t>
            </w:r>
            <w:r w:rsidRPr="00AC06C7">
              <w:rPr>
                <w:rFonts w:eastAsia="Aptos" w:cs="Aptos"/>
                <w:color w:val="000000" w:themeColor="text1"/>
                <w:szCs w:val="22"/>
                <w:lang w:val="en-AU"/>
              </w:rPr>
              <w:t>window.</w:t>
            </w:r>
          </w:p>
          <w:p w14:paraId="27F5D049" w14:textId="47646BAF" w:rsidR="00077A28" w:rsidRPr="00AC06C7" w:rsidRDefault="00611460" w:rsidP="00D207B3">
            <w:pPr>
              <w:pStyle w:val="ListParagraph"/>
              <w:numPr>
                <w:ilvl w:val="1"/>
                <w:numId w:val="19"/>
              </w:numPr>
              <w:spacing w:after="160" w:line="278" w:lineRule="auto"/>
              <w:ind w:left="1134" w:hanging="425"/>
              <w:contextualSpacing w:val="0"/>
              <w:rPr>
                <w:rFonts w:eastAsia="Aptos" w:cs="Aptos"/>
                <w:color w:val="000000" w:themeColor="text1"/>
                <w:szCs w:val="22"/>
                <w:lang w:val="en-AU"/>
              </w:rPr>
            </w:pPr>
            <w:r>
              <w:rPr>
                <w:rFonts w:eastAsia="Aptos" w:cs="Aptos"/>
                <w:color w:val="000000" w:themeColor="text1"/>
                <w:szCs w:val="22"/>
                <w:lang w:val="en-AU"/>
              </w:rPr>
              <w:t xml:space="preserve">Reinforce </w:t>
            </w:r>
            <w:r w:rsidR="00A072A0">
              <w:rPr>
                <w:rFonts w:eastAsia="Aptos" w:cs="Aptos"/>
                <w:color w:val="000000" w:themeColor="text1"/>
                <w:szCs w:val="22"/>
                <w:lang w:val="en-AU"/>
              </w:rPr>
              <w:t>current practice that d</w:t>
            </w:r>
            <w:r w:rsidR="00077A28" w:rsidRPr="00AC06C7">
              <w:rPr>
                <w:rFonts w:eastAsia="Aptos" w:cs="Aptos"/>
                <w:color w:val="000000" w:themeColor="text1"/>
                <w:szCs w:val="22"/>
                <w:lang w:val="en-AU"/>
              </w:rPr>
              <w:t>ecisions on funding must be supported</w:t>
            </w:r>
            <w:r w:rsidR="00291C7A">
              <w:rPr>
                <w:rFonts w:eastAsia="Aptos" w:cs="Aptos"/>
                <w:color w:val="000000" w:themeColor="text1"/>
                <w:szCs w:val="22"/>
                <w:lang w:val="en-AU"/>
              </w:rPr>
              <w:t> </w:t>
            </w:r>
            <w:r w:rsidR="00077A28" w:rsidRPr="00AC06C7">
              <w:rPr>
                <w:rFonts w:eastAsia="Aptos" w:cs="Aptos"/>
                <w:color w:val="000000" w:themeColor="text1"/>
                <w:szCs w:val="22"/>
                <w:lang w:val="en-AU"/>
              </w:rPr>
              <w:t>by</w:t>
            </w:r>
            <w:r w:rsidR="00291C7A">
              <w:rPr>
                <w:rFonts w:eastAsia="Aptos" w:cs="Aptos"/>
                <w:color w:val="000000" w:themeColor="text1"/>
                <w:szCs w:val="22"/>
                <w:lang w:val="en-AU"/>
              </w:rPr>
              <w:t> </w:t>
            </w:r>
            <w:r w:rsidR="00077A28" w:rsidRPr="00AC06C7">
              <w:rPr>
                <w:rFonts w:eastAsia="Aptos" w:cs="Aptos"/>
                <w:color w:val="000000" w:themeColor="text1"/>
                <w:szCs w:val="22"/>
                <w:lang w:val="en-AU"/>
              </w:rPr>
              <w:t>robust information and business cases that meet DTF’s Investment</w:t>
            </w:r>
            <w:r w:rsidR="005B79B3">
              <w:rPr>
                <w:rFonts w:eastAsia="Aptos" w:cs="Aptos"/>
                <w:color w:val="000000" w:themeColor="text1"/>
                <w:szCs w:val="22"/>
                <w:lang w:val="en-AU"/>
              </w:rPr>
              <w:t> </w:t>
            </w:r>
            <w:r w:rsidR="00077A28" w:rsidRPr="00AC06C7">
              <w:rPr>
                <w:rFonts w:eastAsia="Aptos" w:cs="Aptos"/>
                <w:color w:val="000000" w:themeColor="text1"/>
                <w:szCs w:val="22"/>
                <w:lang w:val="en-AU"/>
              </w:rPr>
              <w:t>Life Cycle guidelines.</w:t>
            </w:r>
          </w:p>
          <w:p w14:paraId="1C444408" w14:textId="544F9A02" w:rsidR="00077A28" w:rsidRPr="00AC06C7" w:rsidRDefault="00077A28" w:rsidP="00D207B3">
            <w:pPr>
              <w:pStyle w:val="ListParagraph"/>
              <w:numPr>
                <w:ilvl w:val="1"/>
                <w:numId w:val="19"/>
              </w:numPr>
              <w:spacing w:after="160" w:line="278" w:lineRule="auto"/>
              <w:ind w:left="1134" w:hanging="425"/>
              <w:contextualSpacing w:val="0"/>
              <w:rPr>
                <w:rFonts w:eastAsia="Aptos" w:cs="Aptos"/>
                <w:color w:val="000000" w:themeColor="text1"/>
                <w:szCs w:val="22"/>
                <w:lang w:val="en-AU"/>
              </w:rPr>
            </w:pPr>
            <w:r w:rsidRPr="00AC06C7">
              <w:rPr>
                <w:rFonts w:eastAsia="Aptos" w:cs="Aptos"/>
                <w:color w:val="000000" w:themeColor="text1"/>
                <w:szCs w:val="22"/>
                <w:lang w:val="en-AU"/>
              </w:rPr>
              <w:t xml:space="preserve">Embed a planning and review </w:t>
            </w:r>
            <w:r>
              <w:rPr>
                <w:rFonts w:eastAsia="Aptos" w:cs="Aptos"/>
                <w:color w:val="000000" w:themeColor="text1"/>
                <w:szCs w:val="22"/>
                <w:lang w:val="en-AU"/>
              </w:rPr>
              <w:t>window</w:t>
            </w:r>
            <w:r w:rsidRPr="00AC06C7">
              <w:rPr>
                <w:rFonts w:eastAsia="Aptos" w:cs="Aptos"/>
                <w:color w:val="000000" w:themeColor="text1"/>
                <w:szCs w:val="22"/>
                <w:lang w:val="en-AU"/>
              </w:rPr>
              <w:t xml:space="preserve"> </w:t>
            </w:r>
            <w:r w:rsidR="00DE1326">
              <w:rPr>
                <w:rFonts w:eastAsia="Aptos" w:cs="Aptos"/>
                <w:color w:val="000000" w:themeColor="text1"/>
                <w:szCs w:val="22"/>
                <w:lang w:val="en-AU"/>
              </w:rPr>
              <w:t>in</w:t>
            </w:r>
            <w:r w:rsidRPr="00AC06C7">
              <w:rPr>
                <w:rFonts w:eastAsia="Aptos" w:cs="Aptos"/>
                <w:color w:val="000000" w:themeColor="text1"/>
                <w:szCs w:val="22"/>
                <w:lang w:val="en-AU"/>
              </w:rPr>
              <w:t xml:space="preserve"> the annual budget cycle.</w:t>
            </w:r>
          </w:p>
          <w:p w14:paraId="01F2B3A3" w14:textId="77777777" w:rsidR="00077A28" w:rsidRPr="00AC06C7" w:rsidRDefault="00077A28" w:rsidP="00D207B3">
            <w:pPr>
              <w:pStyle w:val="ListParagraph"/>
              <w:numPr>
                <w:ilvl w:val="1"/>
                <w:numId w:val="19"/>
              </w:numPr>
              <w:spacing w:after="160" w:line="278" w:lineRule="auto"/>
              <w:ind w:left="1134" w:hanging="425"/>
              <w:contextualSpacing w:val="0"/>
              <w:rPr>
                <w:rFonts w:eastAsia="Aptos" w:cs="Aptos"/>
                <w:color w:val="000000" w:themeColor="text1"/>
                <w:szCs w:val="22"/>
                <w:lang w:val="en-AU"/>
              </w:rPr>
            </w:pPr>
            <w:r w:rsidRPr="00AC06C7">
              <w:rPr>
                <w:rFonts w:eastAsia="Aptos" w:cs="Aptos"/>
                <w:color w:val="000000" w:themeColor="text1"/>
                <w:szCs w:val="22"/>
                <w:lang w:val="en-AU"/>
              </w:rPr>
              <w:t>Expand systematic expenditure evaluations in the annual budget cycle.</w:t>
            </w:r>
          </w:p>
          <w:p w14:paraId="56E227B1" w14:textId="1F1377A0" w:rsidR="00077A28" w:rsidRPr="00AC06C7" w:rsidRDefault="00077A28" w:rsidP="00D207B3">
            <w:pPr>
              <w:pStyle w:val="ListParagraph"/>
              <w:numPr>
                <w:ilvl w:val="1"/>
                <w:numId w:val="19"/>
              </w:numPr>
              <w:spacing w:after="160" w:line="278" w:lineRule="auto"/>
              <w:ind w:left="1134" w:hanging="425"/>
              <w:contextualSpacing w:val="0"/>
              <w:rPr>
                <w:rFonts w:eastAsia="Aptos" w:cs="Aptos"/>
                <w:color w:val="000000" w:themeColor="text1"/>
                <w:szCs w:val="22"/>
                <w:lang w:val="en-AU"/>
              </w:rPr>
            </w:pPr>
            <w:r>
              <w:rPr>
                <w:rFonts w:eastAsia="Aptos" w:cs="Aptos"/>
                <w:color w:val="000000" w:themeColor="text1"/>
                <w:szCs w:val="22"/>
                <w:lang w:val="en-AU"/>
              </w:rPr>
              <w:t>H</w:t>
            </w:r>
            <w:r w:rsidRPr="00AC06C7">
              <w:rPr>
                <w:rFonts w:eastAsia="Aptos" w:cs="Aptos"/>
                <w:color w:val="000000" w:themeColor="text1"/>
                <w:szCs w:val="22"/>
                <w:lang w:val="en-AU"/>
              </w:rPr>
              <w:t>old Secretaries and CEOs to account for their departmental and entity financial</w:t>
            </w:r>
            <w:r w:rsidR="002C2146">
              <w:rPr>
                <w:rFonts w:eastAsia="Aptos" w:cs="Aptos"/>
                <w:color w:val="000000" w:themeColor="text1"/>
                <w:szCs w:val="22"/>
                <w:lang w:val="en-AU"/>
              </w:rPr>
              <w:t> </w:t>
            </w:r>
            <w:r w:rsidRPr="00AC06C7">
              <w:rPr>
                <w:rFonts w:eastAsia="Aptos" w:cs="Aptos"/>
                <w:color w:val="000000" w:themeColor="text1"/>
                <w:szCs w:val="22"/>
                <w:lang w:val="en-AU"/>
              </w:rPr>
              <w:t>performance as part of the annual budget cycle.</w:t>
            </w:r>
          </w:p>
          <w:p w14:paraId="3D1982FA" w14:textId="3CA005AC" w:rsidR="00077A28" w:rsidRPr="00AC06C7" w:rsidRDefault="00077A28" w:rsidP="00D207B3">
            <w:pPr>
              <w:pStyle w:val="ListParagraph"/>
              <w:numPr>
                <w:ilvl w:val="1"/>
                <w:numId w:val="19"/>
              </w:numPr>
              <w:spacing w:after="160" w:line="278" w:lineRule="auto"/>
              <w:ind w:left="1134" w:hanging="425"/>
              <w:contextualSpacing w:val="0"/>
              <w:rPr>
                <w:rFonts w:eastAsia="Aptos" w:cs="Aptos"/>
                <w:color w:val="000000" w:themeColor="text1"/>
                <w:szCs w:val="22"/>
                <w:lang w:val="en-AU"/>
              </w:rPr>
            </w:pPr>
            <w:r w:rsidRPr="00AC06C7">
              <w:rPr>
                <w:rFonts w:eastAsia="Aptos" w:cs="Aptos"/>
                <w:color w:val="000000" w:themeColor="text1"/>
                <w:szCs w:val="22"/>
                <w:lang w:val="en-AU"/>
              </w:rPr>
              <w:t xml:space="preserve">Replace </w:t>
            </w:r>
            <w:r w:rsidR="00DE1326">
              <w:rPr>
                <w:rFonts w:eastAsia="Aptos" w:cs="Aptos"/>
                <w:color w:val="000000" w:themeColor="text1"/>
                <w:szCs w:val="22"/>
                <w:lang w:val="en-AU"/>
              </w:rPr>
              <w:t>the</w:t>
            </w:r>
            <w:r w:rsidRPr="00AC06C7">
              <w:rPr>
                <w:rFonts w:eastAsia="Aptos" w:cs="Aptos"/>
                <w:color w:val="000000" w:themeColor="text1"/>
                <w:szCs w:val="22"/>
                <w:lang w:val="en-AU"/>
              </w:rPr>
              <w:t xml:space="preserve"> </w:t>
            </w:r>
            <w:r>
              <w:rPr>
                <w:rFonts w:eastAsia="Aptos" w:cs="Aptos"/>
                <w:color w:val="000000" w:themeColor="text1"/>
                <w:szCs w:val="22"/>
                <w:lang w:val="en-AU"/>
              </w:rPr>
              <w:t>GED</w:t>
            </w:r>
            <w:r w:rsidRPr="00AC06C7">
              <w:rPr>
                <w:rFonts w:eastAsia="Aptos" w:cs="Aptos"/>
                <w:color w:val="000000" w:themeColor="text1"/>
                <w:szCs w:val="22"/>
                <w:lang w:val="en-AU"/>
              </w:rPr>
              <w:t xml:space="preserve"> in the savings framework by embedding more system</w:t>
            </w:r>
            <w:r w:rsidR="00A05623">
              <w:rPr>
                <w:rFonts w:eastAsia="Aptos" w:cs="Aptos"/>
                <w:color w:val="000000" w:themeColor="text1"/>
                <w:szCs w:val="22"/>
                <w:lang w:val="en-AU"/>
              </w:rPr>
              <w:t>at</w:t>
            </w:r>
            <w:r w:rsidRPr="00AC06C7">
              <w:rPr>
                <w:rFonts w:eastAsia="Aptos" w:cs="Aptos"/>
                <w:color w:val="000000" w:themeColor="text1"/>
                <w:szCs w:val="22"/>
                <w:lang w:val="en-AU"/>
              </w:rPr>
              <w:t>ic evaluation and discrete savings targets</w:t>
            </w:r>
            <w:r>
              <w:rPr>
                <w:rFonts w:eastAsia="Aptos" w:cs="Aptos"/>
                <w:color w:val="000000" w:themeColor="text1"/>
                <w:szCs w:val="22"/>
                <w:lang w:val="en-AU"/>
              </w:rPr>
              <w:t xml:space="preserve"> in each budget.</w:t>
            </w:r>
          </w:p>
          <w:p w14:paraId="16C27ADA" w14:textId="77777777" w:rsidR="00077A28" w:rsidRPr="00AC06C7" w:rsidRDefault="00077A28" w:rsidP="00D207B3">
            <w:pPr>
              <w:pStyle w:val="ListParagraph"/>
              <w:numPr>
                <w:ilvl w:val="1"/>
                <w:numId w:val="19"/>
              </w:numPr>
              <w:spacing w:after="160" w:line="278" w:lineRule="auto"/>
              <w:ind w:left="1134" w:hanging="425"/>
              <w:contextualSpacing w:val="0"/>
              <w:rPr>
                <w:rFonts w:eastAsia="Aptos" w:cs="Aptos"/>
                <w:color w:val="000000" w:themeColor="text1"/>
                <w:szCs w:val="22"/>
                <w:lang w:val="en-AU"/>
              </w:rPr>
            </w:pPr>
            <w:r w:rsidRPr="00AC06C7">
              <w:rPr>
                <w:rFonts w:eastAsia="Aptos" w:cs="Aptos"/>
                <w:color w:val="000000" w:themeColor="text1"/>
                <w:szCs w:val="22"/>
                <w:lang w:val="en-AU"/>
              </w:rPr>
              <w:t xml:space="preserve">Reduce the number of </w:t>
            </w:r>
            <w:proofErr w:type="gramStart"/>
            <w:r w:rsidRPr="00AC06C7">
              <w:rPr>
                <w:rFonts w:eastAsia="Aptos" w:cs="Aptos"/>
                <w:color w:val="000000" w:themeColor="text1"/>
                <w:szCs w:val="22"/>
                <w:lang w:val="en-AU"/>
              </w:rPr>
              <w:t>fixed-term</w:t>
            </w:r>
            <w:proofErr w:type="gramEnd"/>
            <w:r w:rsidRPr="00AC06C7">
              <w:rPr>
                <w:rFonts w:eastAsia="Aptos" w:cs="Aptos"/>
                <w:color w:val="000000" w:themeColor="text1"/>
                <w:szCs w:val="22"/>
                <w:lang w:val="en-AU"/>
              </w:rPr>
              <w:t xml:space="preserve"> funded programs</w:t>
            </w:r>
            <w:r>
              <w:rPr>
                <w:rFonts w:eastAsia="Aptos" w:cs="Aptos"/>
                <w:color w:val="000000" w:themeColor="text1"/>
                <w:szCs w:val="22"/>
                <w:lang w:val="en-AU"/>
              </w:rPr>
              <w:t>.</w:t>
            </w:r>
          </w:p>
          <w:p w14:paraId="3DEFC25B" w14:textId="77777777" w:rsidR="00077A28" w:rsidRPr="00AC06C7" w:rsidRDefault="00077A28" w:rsidP="00D207B3">
            <w:pPr>
              <w:pStyle w:val="ListParagraph"/>
              <w:numPr>
                <w:ilvl w:val="1"/>
                <w:numId w:val="19"/>
              </w:numPr>
              <w:spacing w:after="160" w:line="278" w:lineRule="auto"/>
              <w:ind w:left="1134" w:hanging="425"/>
              <w:contextualSpacing w:val="0"/>
              <w:rPr>
                <w:rFonts w:eastAsia="Aptos" w:cs="Aptos"/>
                <w:color w:val="000000" w:themeColor="text1"/>
                <w:szCs w:val="22"/>
                <w:lang w:val="en-AU"/>
              </w:rPr>
            </w:pPr>
            <w:r w:rsidRPr="00AC06C7">
              <w:rPr>
                <w:rFonts w:eastAsia="Aptos" w:cs="Aptos"/>
                <w:color w:val="000000" w:themeColor="text1"/>
                <w:szCs w:val="22"/>
                <w:lang w:val="en-AU"/>
              </w:rPr>
              <w:t>Mandate and deliver public sector financial training for executives</w:t>
            </w:r>
            <w:r>
              <w:rPr>
                <w:rFonts w:eastAsia="Aptos" w:cs="Aptos"/>
                <w:color w:val="000000" w:themeColor="text1"/>
                <w:szCs w:val="22"/>
                <w:lang w:val="en-AU"/>
              </w:rPr>
              <w:t>.</w:t>
            </w:r>
          </w:p>
          <w:p w14:paraId="31FFE9A3" w14:textId="01A9F1A5" w:rsidR="00077A28" w:rsidRPr="00DA13D6" w:rsidRDefault="00077A28" w:rsidP="00D207B3">
            <w:pPr>
              <w:pStyle w:val="ListParagraph"/>
              <w:numPr>
                <w:ilvl w:val="1"/>
                <w:numId w:val="19"/>
              </w:numPr>
              <w:spacing w:after="160" w:line="278" w:lineRule="auto"/>
              <w:ind w:left="1134" w:hanging="425"/>
              <w:contextualSpacing w:val="0"/>
              <w:rPr>
                <w:rFonts w:eastAsia="Aptos" w:cs="Aptos"/>
                <w:color w:val="000000" w:themeColor="text1"/>
                <w:szCs w:val="22"/>
                <w:lang w:val="en-AU"/>
              </w:rPr>
            </w:pPr>
            <w:r w:rsidRPr="00FF047F">
              <w:rPr>
                <w:rFonts w:eastAsia="Aptos" w:cs="Aptos"/>
                <w:color w:val="000000" w:themeColor="text1"/>
                <w:szCs w:val="22"/>
                <w:lang w:val="en-AU"/>
              </w:rPr>
              <w:t xml:space="preserve">Embed systematic job rotation for financial officers between DTF and </w:t>
            </w:r>
            <w:r w:rsidR="00376078">
              <w:rPr>
                <w:rFonts w:eastAsia="Aptos" w:cs="Aptos"/>
                <w:color w:val="000000" w:themeColor="text1"/>
                <w:szCs w:val="22"/>
                <w:lang w:val="en-AU"/>
              </w:rPr>
              <w:t>other</w:t>
            </w:r>
            <w:r w:rsidR="00AE5836">
              <w:rPr>
                <w:rFonts w:eastAsia="Aptos" w:cs="Aptos"/>
                <w:color w:val="000000" w:themeColor="text1"/>
                <w:szCs w:val="22"/>
                <w:lang w:val="en-AU"/>
              </w:rPr>
              <w:t> </w:t>
            </w:r>
            <w:r w:rsidRPr="00FF047F">
              <w:rPr>
                <w:rFonts w:eastAsia="Aptos" w:cs="Aptos"/>
                <w:color w:val="000000" w:themeColor="text1"/>
                <w:szCs w:val="22"/>
                <w:lang w:val="en-AU"/>
              </w:rPr>
              <w:t>departments.</w:t>
            </w:r>
          </w:p>
        </w:tc>
      </w:tr>
    </w:tbl>
    <w:p w14:paraId="4212128F" w14:textId="77777777" w:rsidR="003115A5" w:rsidRDefault="003115A5" w:rsidP="00280F04">
      <w:bookmarkStart w:id="40" w:name="_Toc202523972"/>
    </w:p>
    <w:p w14:paraId="3124B542" w14:textId="77777777" w:rsidR="003115A5" w:rsidRDefault="003115A5" w:rsidP="00280F04">
      <w:r>
        <w:br w:type="page"/>
      </w:r>
    </w:p>
    <w:p w14:paraId="1764B657" w14:textId="4A5EC7D3" w:rsidR="00540A28" w:rsidRPr="00426DFC" w:rsidRDefault="0068471A" w:rsidP="00540A28">
      <w:pPr>
        <w:pStyle w:val="Heading1"/>
      </w:pPr>
      <w:bookmarkStart w:id="41" w:name="_Toc214911992"/>
      <w:r>
        <w:lastRenderedPageBreak/>
        <w:t xml:space="preserve">Chapter 4:  </w:t>
      </w:r>
      <w:r w:rsidR="00540A28">
        <w:t>Commonwealth</w:t>
      </w:r>
      <w:r w:rsidR="000558BB">
        <w:t>-</w:t>
      </w:r>
      <w:r w:rsidR="00540A28">
        <w:t xml:space="preserve">State </w:t>
      </w:r>
      <w:r w:rsidR="000558BB">
        <w:t>r</w:t>
      </w:r>
      <w:r w:rsidR="00540A28">
        <w:t>elations</w:t>
      </w:r>
      <w:bookmarkEnd w:id="40"/>
      <w:bookmarkEnd w:id="41"/>
    </w:p>
    <w:p w14:paraId="0DB3F3E3" w14:textId="77777777" w:rsidR="00540A28" w:rsidRPr="002D5A05" w:rsidRDefault="00540A28" w:rsidP="002D5A05">
      <w:pPr>
        <w:spacing w:before="160" w:after="80"/>
        <w:rPr>
          <w:rFonts w:asciiTheme="majorHAnsi" w:hAnsiTheme="majorHAnsi"/>
          <w:b/>
          <w:color w:val="0F4761" w:themeColor="accent1" w:themeShade="BF"/>
          <w:sz w:val="32"/>
          <w:szCs w:val="32"/>
        </w:rPr>
      </w:pPr>
      <w:r w:rsidRPr="002D5A05">
        <w:rPr>
          <w:rFonts w:asciiTheme="majorHAnsi" w:hAnsiTheme="majorHAnsi"/>
          <w:b/>
          <w:color w:val="0F4761" w:themeColor="accent1" w:themeShade="BF"/>
          <w:sz w:val="32"/>
          <w:szCs w:val="32"/>
        </w:rPr>
        <w:t>Key points </w:t>
      </w:r>
    </w:p>
    <w:p w14:paraId="4B9FFB7E" w14:textId="40D1ABD1" w:rsidR="00540A28" w:rsidRPr="0029686A" w:rsidRDefault="00540A28" w:rsidP="00394132">
      <w:pPr>
        <w:pStyle w:val="ShadedBoxBullet"/>
      </w:pPr>
      <w:r w:rsidRPr="00A47A85">
        <w:t xml:space="preserve">Roles and responsibilities of the Commonwealth and </w:t>
      </w:r>
      <w:r>
        <w:t>s</w:t>
      </w:r>
      <w:r w:rsidRPr="00A47A85" w:rsidDel="00C220FE">
        <w:t>tate</w:t>
      </w:r>
      <w:r>
        <w:t xml:space="preserve"> and territory</w:t>
      </w:r>
      <w:r w:rsidRPr="00A47A85">
        <w:t xml:space="preserve"> </w:t>
      </w:r>
      <w:r>
        <w:t>g</w:t>
      </w:r>
      <w:r w:rsidRPr="00A47A85">
        <w:t>overnments</w:t>
      </w:r>
      <w:r w:rsidR="00AE6F32">
        <w:t> </w:t>
      </w:r>
      <w:r w:rsidRPr="00A47A85">
        <w:t>for funding services have become increasingly blurred.</w:t>
      </w:r>
    </w:p>
    <w:p w14:paraId="537FFB2C" w14:textId="58FDF2A0" w:rsidR="00540A28" w:rsidRPr="009A2474" w:rsidRDefault="00540A28" w:rsidP="00394132">
      <w:pPr>
        <w:pStyle w:val="ShadedBoxBullet"/>
      </w:pPr>
      <w:r w:rsidRPr="009A2474">
        <w:t xml:space="preserve">Victoria’s share of </w:t>
      </w:r>
      <w:r>
        <w:t>Commonwealth</w:t>
      </w:r>
      <w:r w:rsidRPr="009A2474">
        <w:t xml:space="preserve"> funding relative to its population share has been</w:t>
      </w:r>
      <w:r w:rsidR="00AE6F32">
        <w:t> </w:t>
      </w:r>
      <w:r w:rsidRPr="009A2474">
        <w:t xml:space="preserve">consistently below that of other large states. </w:t>
      </w:r>
      <w:r w:rsidRPr="00A3506A">
        <w:t>Victoria has received $9.4 billion less than its population share of infrastructure funding over the past 10 years.</w:t>
      </w:r>
    </w:p>
    <w:p w14:paraId="6FD39E20" w14:textId="77777777" w:rsidR="00540A28" w:rsidRPr="00A47A85" w:rsidRDefault="00540A28" w:rsidP="00394132">
      <w:pPr>
        <w:pStyle w:val="ShadedBoxBullet"/>
      </w:pPr>
      <w:r w:rsidRPr="00A47A85">
        <w:t>Victoria has increasingly stepped into fund</w:t>
      </w:r>
      <w:r>
        <w:t>ing</w:t>
      </w:r>
      <w:r w:rsidRPr="00A47A85">
        <w:t xml:space="preserve"> areas outside its core responsibilities and is delivering beyond national partnership agreement commitments.</w:t>
      </w:r>
      <w:r>
        <w:t xml:space="preserve">  </w:t>
      </w:r>
    </w:p>
    <w:p w14:paraId="246614FB" w14:textId="4CA43C51" w:rsidR="00540A28" w:rsidRPr="00A47A85" w:rsidRDefault="00540A28" w:rsidP="00394132">
      <w:pPr>
        <w:pStyle w:val="ShadedBoxBullet"/>
      </w:pPr>
      <w:r>
        <w:t>Rebalancing state service delivery away from areas of primary Commonwealth responsibility is necessary. An immediate opportunity is Victoria’s Urgent Care</w:t>
      </w:r>
      <w:r w:rsidR="00AE6F32">
        <w:t> </w:t>
      </w:r>
      <w:r>
        <w:t xml:space="preserve">Clinics.  </w:t>
      </w:r>
    </w:p>
    <w:p w14:paraId="7B3FB5A0" w14:textId="77777777" w:rsidR="00540A28" w:rsidRPr="00A47A85" w:rsidRDefault="00540A28" w:rsidP="00394132">
      <w:pPr>
        <w:pStyle w:val="ShadedBoxBullet"/>
      </w:pPr>
      <w:r>
        <w:t>Strategic engagement in</w:t>
      </w:r>
      <w:r w:rsidRPr="00A47A85">
        <w:t xml:space="preserve"> federal financial arrangements c</w:t>
      </w:r>
      <w:r>
        <w:t>an</w:t>
      </w:r>
      <w:r w:rsidRPr="00A47A85">
        <w:t xml:space="preserve"> unlock significant savings</w:t>
      </w:r>
      <w:r>
        <w:t xml:space="preserve"> and produce more effective partnerships, leading to a stronger Victorian fiscal and economic outlook</w:t>
      </w:r>
      <w:r w:rsidRPr="00A47A85">
        <w:t>.</w:t>
      </w:r>
      <w:r>
        <w:t xml:space="preserve"> It also supports national growth and reform.</w:t>
      </w:r>
      <w:r w:rsidRPr="00A47A85">
        <w:t xml:space="preserve"> </w:t>
      </w:r>
    </w:p>
    <w:p w14:paraId="3D3A49BA" w14:textId="77777777" w:rsidR="007D02A9" w:rsidRDefault="002D5A05" w:rsidP="00352A66">
      <w:pPr>
        <w:pStyle w:val="Heading2"/>
        <w:spacing w:before="360"/>
      </w:pPr>
      <w:bookmarkStart w:id="42" w:name="_Toc202523973"/>
      <w:bookmarkStart w:id="43" w:name="_Toc214911993"/>
      <w:r>
        <w:t xml:space="preserve">4.1   </w:t>
      </w:r>
      <w:r w:rsidR="00540A28">
        <w:t>Introduction</w:t>
      </w:r>
      <w:bookmarkEnd w:id="42"/>
      <w:bookmarkEnd w:id="43"/>
    </w:p>
    <w:p w14:paraId="5C876EBE" w14:textId="77777777" w:rsidR="00BD6D00" w:rsidRDefault="00BD6D00" w:rsidP="00540A28">
      <w:pPr>
        <w:sectPr w:rsidR="00BD6D00" w:rsidSect="00AE6104">
          <w:type w:val="continuous"/>
          <w:pgSz w:w="11906" w:h="16838"/>
          <w:pgMar w:top="1440" w:right="1440" w:bottom="1440" w:left="1440" w:header="708" w:footer="708" w:gutter="0"/>
          <w:cols w:space="708"/>
          <w:docGrid w:linePitch="360"/>
          <w15:footnoteColumns w:val="1"/>
        </w:sectPr>
      </w:pPr>
    </w:p>
    <w:p w14:paraId="4B9E0A9B" w14:textId="4AEBA2EC" w:rsidR="00540A28" w:rsidRDefault="00540A28" w:rsidP="00540A28">
      <w:r>
        <w:t xml:space="preserve">Strong Commonwealth-State relations are critically important to the state’s finances and operating budget capacity. Representing </w:t>
      </w:r>
      <w:r w:rsidR="00707144">
        <w:t>around</w:t>
      </w:r>
      <w:r>
        <w:t xml:space="preserve"> half of all government revenue, the size of Commonwealth funding and how it is delivered impacts Victoria’s budget and its ability to deliver high quality</w:t>
      </w:r>
      <w:r w:rsidR="009621F3">
        <w:t> </w:t>
      </w:r>
      <w:r>
        <w:t xml:space="preserve">services. </w:t>
      </w:r>
    </w:p>
    <w:p w14:paraId="0909C3DD" w14:textId="77777777" w:rsidR="00540A28" w:rsidRDefault="00540A28" w:rsidP="00540A28">
      <w:r>
        <w:t xml:space="preserve">Commonwealth funding in key areas has been below Victoria’s population share over </w:t>
      </w:r>
      <w:proofErr w:type="gramStart"/>
      <w:r>
        <w:t>a number of</w:t>
      </w:r>
      <w:proofErr w:type="gramEnd"/>
      <w:r>
        <w:t xml:space="preserve"> years, and uncertainty around future funding arrangements, such as hospital funding and the </w:t>
      </w:r>
      <w:r>
        <w:rPr>
          <w:bCs/>
          <w:szCs w:val="22"/>
        </w:rPr>
        <w:t>no-worse-off</w:t>
      </w:r>
      <w:r>
        <w:t xml:space="preserve"> GST guarantee, represent key fiscal risks to the state. </w:t>
      </w:r>
      <w:r w:rsidRPr="00F921F2">
        <w:t>Uncertainty directly impacts the state budget and the delivery of core services.</w:t>
      </w:r>
    </w:p>
    <w:p w14:paraId="56ABA9CF" w14:textId="12DC3314" w:rsidR="00540A28" w:rsidRDefault="00540A28" w:rsidP="00540A28">
      <w:r>
        <w:t xml:space="preserve">Roles and responsibilities between the Commonwealth and states and territories are also increasingly blurred, which </w:t>
      </w:r>
      <w:r w:rsidR="002B753B">
        <w:t>is</w:t>
      </w:r>
      <w:r>
        <w:t xml:space="preserve"> leading to duplication of effort. In some areas, Victoria has stepped in</w:t>
      </w:r>
      <w:r w:rsidR="00D67B77">
        <w:t xml:space="preserve"> </w:t>
      </w:r>
      <w:r>
        <w:t xml:space="preserve">to fund areas outside its core responsibilities </w:t>
      </w:r>
      <w:proofErr w:type="gramStart"/>
      <w:r>
        <w:t>in order to</w:t>
      </w:r>
      <w:proofErr w:type="gramEnd"/>
      <w:r>
        <w:t xml:space="preserve"> address Commonwealth gaps. Victoria needs to rebalance state service delivery away from areas that are primarily Commonwealth responsibility.  </w:t>
      </w:r>
    </w:p>
    <w:p w14:paraId="129E50B4" w14:textId="77777777" w:rsidR="00540A28" w:rsidRDefault="00540A28" w:rsidP="00540A28">
      <w:r>
        <w:t>T</w:t>
      </w:r>
      <w:r w:rsidRPr="00C05CF0">
        <w:t xml:space="preserve">he </w:t>
      </w:r>
      <w:r>
        <w:t>Review recommends</w:t>
      </w:r>
      <w:r w:rsidRPr="00C05CF0">
        <w:t xml:space="preserve"> a </w:t>
      </w:r>
      <w:r>
        <w:t>renewed focus on a</w:t>
      </w:r>
      <w:r w:rsidRPr="00C05CF0">
        <w:t xml:space="preserve"> strategic approach to Commonwealth-State relations</w:t>
      </w:r>
      <w:r>
        <w:t xml:space="preserve">, underpinned by strong central agency leadership. </w:t>
      </w:r>
    </w:p>
    <w:p w14:paraId="52B05B4B" w14:textId="77777777" w:rsidR="00BD6D00" w:rsidRDefault="00BD6D00" w:rsidP="0044284A">
      <w:pPr>
        <w:pStyle w:val="Heading2"/>
        <w:sectPr w:rsidR="00BD6D00" w:rsidSect="00BD6D00">
          <w:type w:val="continuous"/>
          <w:pgSz w:w="11906" w:h="16838"/>
          <w:pgMar w:top="1440" w:right="1440" w:bottom="1440" w:left="1440" w:header="708" w:footer="708" w:gutter="0"/>
          <w:cols w:num="2" w:space="708"/>
          <w:docGrid w:linePitch="360"/>
          <w15:footnoteColumns w:val="1"/>
        </w:sectPr>
      </w:pPr>
      <w:bookmarkStart w:id="44" w:name="_Toc202523974"/>
    </w:p>
    <w:p w14:paraId="32EF0A17" w14:textId="77777777" w:rsidR="0031242E" w:rsidRDefault="0031242E" w:rsidP="0044284A">
      <w:pPr>
        <w:pStyle w:val="Heading2"/>
      </w:pPr>
      <w:r>
        <w:br w:type="page"/>
      </w:r>
    </w:p>
    <w:p w14:paraId="2A826487" w14:textId="77777777" w:rsidR="00F11EC0" w:rsidRDefault="0044284A" w:rsidP="007D02A9">
      <w:pPr>
        <w:pStyle w:val="Heading2"/>
      </w:pPr>
      <w:bookmarkStart w:id="45" w:name="_Toc214911994"/>
      <w:r>
        <w:lastRenderedPageBreak/>
        <w:t xml:space="preserve">4.2   </w:t>
      </w:r>
      <w:r w:rsidR="00540A28" w:rsidRPr="00A2380E">
        <w:t>Importance of Commonwealth funding to state revenue</w:t>
      </w:r>
      <w:bookmarkEnd w:id="44"/>
      <w:bookmarkEnd w:id="45"/>
    </w:p>
    <w:p w14:paraId="420761CC" w14:textId="77777777" w:rsidR="00BD6D00" w:rsidRDefault="00BD6D00" w:rsidP="00540A28">
      <w:pPr>
        <w:sectPr w:rsidR="00BD6D00" w:rsidSect="00AE6104">
          <w:type w:val="continuous"/>
          <w:pgSz w:w="11906" w:h="16838"/>
          <w:pgMar w:top="1440" w:right="1440" w:bottom="1440" w:left="1440" w:header="708" w:footer="708" w:gutter="0"/>
          <w:cols w:space="708"/>
          <w:docGrid w:linePitch="360"/>
          <w15:footnoteColumns w:val="1"/>
        </w:sectPr>
      </w:pPr>
    </w:p>
    <w:p w14:paraId="0E454240" w14:textId="4E263314" w:rsidR="00540A28" w:rsidRDefault="00540A28" w:rsidP="00540A28">
      <w:r w:rsidRPr="009139F5">
        <w:t xml:space="preserve">Australia’s federation is marked by Vertical Fiscal Imbalance (VFI): the Commonwealth raises over 80 per cent of national tax revenue. States like Victoria rely on Commonwealth transfers to fund service delivery, with about half of Victoria’s revenue coming from the Commonwealth – primarily through </w:t>
      </w:r>
      <w:r w:rsidR="00547146">
        <w:t xml:space="preserve">the </w:t>
      </w:r>
      <w:r w:rsidRPr="009139F5">
        <w:t>GST (22 per cent in 2023–24)</w:t>
      </w:r>
      <w:r w:rsidRPr="009139F5" w:rsidDel="00F11B97">
        <w:t xml:space="preserve"> </w:t>
      </w:r>
      <w:r w:rsidRPr="009139F5">
        <w:t>and tied grants (23 per cent) that carry specific requirements.</w:t>
      </w:r>
    </w:p>
    <w:p w14:paraId="2254B770" w14:textId="270DFC43" w:rsidR="00F11EC0" w:rsidRDefault="00F11EC0" w:rsidP="00540A28">
      <w:r w:rsidRPr="009139F5">
        <w:t>Horizontal Fiscal Equalisation (HFE) seeks to address the other major imbalance present in federal financial relations</w:t>
      </w:r>
      <w:r>
        <w:t xml:space="preserve"> –</w:t>
      </w:r>
      <w:r w:rsidRPr="009139F5">
        <w:t xml:space="preserve"> differences in revenue-raising capacities </w:t>
      </w:r>
      <w:r w:rsidRPr="009139F5">
        <w:t xml:space="preserve">and expense requirements across states and territories. The principle of HFE seeks to enable each state and territory provide a similar standard of services and infrastructure to its residents, if each made a similar effort to raise revenue. In its current form, this objective is pursued through the distribution of GST across states and territories, informed by advice from the CGC.  Some features of the current GST system see Victoria (and other states and territories) miss out on important untied revenue to deliver essential services </w:t>
      </w:r>
      <w:r>
        <w:t xml:space="preserve">that </w:t>
      </w:r>
      <w:r w:rsidRPr="009139F5">
        <w:t xml:space="preserve">communities need (see Box </w:t>
      </w:r>
      <w:r>
        <w:t>4</w:t>
      </w:r>
      <w:r w:rsidRPr="009139F5">
        <w:t>.1).</w:t>
      </w:r>
    </w:p>
    <w:p w14:paraId="303FAAE6" w14:textId="77777777" w:rsidR="00BD6D00" w:rsidRDefault="00BD6D00" w:rsidP="00540A28">
      <w:pPr>
        <w:sectPr w:rsidR="00BD6D00" w:rsidSect="00BD6D00">
          <w:type w:val="continuous"/>
          <w:pgSz w:w="11906" w:h="16838"/>
          <w:pgMar w:top="1440" w:right="1440" w:bottom="1440" w:left="1440" w:header="708" w:footer="708" w:gutter="0"/>
          <w:cols w:num="2" w:space="708"/>
          <w:docGrid w:linePitch="360"/>
          <w15:footnoteColumns w:val="1"/>
        </w:sectPr>
      </w:pPr>
    </w:p>
    <w:p w14:paraId="0D95AC80" w14:textId="77777777" w:rsidR="00BD6D00" w:rsidRPr="009139F5" w:rsidRDefault="00BD6D00" w:rsidP="00540A28"/>
    <w:tbl>
      <w:tblPr>
        <w:tblStyle w:val="TableGrid"/>
        <w:tblW w:w="0" w:type="auto"/>
        <w:shd w:val="clear" w:color="auto" w:fill="E7E6E6"/>
        <w:tblLook w:val="04A0" w:firstRow="1" w:lastRow="0" w:firstColumn="1" w:lastColumn="0" w:noHBand="0" w:noVBand="1"/>
      </w:tblPr>
      <w:tblGrid>
        <w:gridCol w:w="9016"/>
      </w:tblGrid>
      <w:tr w:rsidR="00540A28" w14:paraId="245FB56B" w14:textId="77777777" w:rsidTr="00F65D9B">
        <w:tc>
          <w:tcPr>
            <w:tcW w:w="9016" w:type="dxa"/>
            <w:tcBorders>
              <w:top w:val="nil"/>
              <w:left w:val="nil"/>
              <w:bottom w:val="nil"/>
              <w:right w:val="nil"/>
            </w:tcBorders>
            <w:shd w:val="clear" w:color="auto" w:fill="E7E6E6"/>
          </w:tcPr>
          <w:p w14:paraId="57580E39" w14:textId="0A0E2B96" w:rsidR="00540A28" w:rsidRPr="00F31C45" w:rsidRDefault="00540A28" w:rsidP="00542A69">
            <w:pPr>
              <w:spacing w:before="120" w:after="160" w:line="278" w:lineRule="auto"/>
              <w:rPr>
                <w:b/>
              </w:rPr>
            </w:pPr>
            <w:r w:rsidRPr="00F31C45">
              <w:rPr>
                <w:b/>
              </w:rPr>
              <w:t xml:space="preserve">Box 4.1: Goods and Services Tax </w:t>
            </w:r>
          </w:p>
          <w:p w14:paraId="68267573" w14:textId="459799D1" w:rsidR="00540A28" w:rsidRPr="00F31C45" w:rsidRDefault="00540A28" w:rsidP="00352512">
            <w:pPr>
              <w:spacing w:after="160" w:line="278" w:lineRule="auto"/>
            </w:pPr>
            <w:r w:rsidRPr="00F31C45">
              <w:t>The introduction of the GST</w:t>
            </w:r>
            <w:r w:rsidRPr="00F31C45">
              <w:rPr>
                <w:bCs/>
              </w:rPr>
              <w:t xml:space="preserve"> in 2000 </w:t>
            </w:r>
            <w:r w:rsidRPr="00F31C45">
              <w:t>was one of the most significant tax reforms since federation</w:t>
            </w:r>
            <w:r w:rsidRPr="00F31C45">
              <w:rPr>
                <w:bCs/>
              </w:rPr>
              <w:t>.</w:t>
            </w:r>
            <w:r w:rsidRPr="00F31C45">
              <w:t xml:space="preserve"> Replacing various financial assistance grants and inefficient state taxes, the </w:t>
            </w:r>
            <w:r w:rsidR="00C62489">
              <w:t xml:space="preserve">introduction of the </w:t>
            </w:r>
            <w:r w:rsidRPr="00F31C45">
              <w:t>GST provided greater autonomy to state governments to deliver services and supported economic growth.</w:t>
            </w:r>
            <w:r w:rsidRPr="00F31C45">
              <w:rPr>
                <w:bCs/>
              </w:rPr>
              <w:t xml:space="preserve"> </w:t>
            </w:r>
            <w:r w:rsidRPr="00F31C45">
              <w:t>GST is divided between the states and territories by the Commonwealth based on advice provided by the CGC</w:t>
            </w:r>
            <w:r w:rsidRPr="00F31C45">
              <w:rPr>
                <w:bCs/>
              </w:rPr>
              <w:t>.</w:t>
            </w:r>
          </w:p>
          <w:p w14:paraId="2674A754" w14:textId="77777777" w:rsidR="00540A28" w:rsidRPr="00F31C45" w:rsidRDefault="00540A28" w:rsidP="00352512">
            <w:pPr>
              <w:spacing w:after="160" w:line="278" w:lineRule="auto"/>
              <w:rPr>
                <w:bCs/>
              </w:rPr>
            </w:pPr>
            <w:r w:rsidRPr="00F31C45">
              <w:rPr>
                <w:bCs/>
              </w:rPr>
              <w:t>Victoria has received $281 billion in GST revenue since its inception to 2023–24, around a quarter of all government revenue over this period. This is $31 billion less than if Victoria had received its population share.</w:t>
            </w:r>
            <w:r w:rsidRPr="00F31C45">
              <w:rPr>
                <w:bCs/>
                <w:vertAlign w:val="superscript"/>
              </w:rPr>
              <w:footnoteReference w:id="9"/>
            </w:r>
            <w:r w:rsidRPr="00F31C45">
              <w:rPr>
                <w:bCs/>
              </w:rPr>
              <w:t xml:space="preserve"> While this is not inconsistent with the principle of HFE, </w:t>
            </w:r>
            <w:r w:rsidRPr="00F31C45">
              <w:t>it demonstrates Victoria has been a</w:t>
            </w:r>
            <w:r>
              <w:t xml:space="preserve"> significant</w:t>
            </w:r>
            <w:r w:rsidRPr="00F31C45">
              <w:t xml:space="preserve"> donor to other states and territories.</w:t>
            </w:r>
          </w:p>
          <w:p w14:paraId="6444003B" w14:textId="30743CEA" w:rsidR="00540A28" w:rsidRPr="00F31C45" w:rsidRDefault="00540A28" w:rsidP="00352512">
            <w:pPr>
              <w:spacing w:after="160" w:line="278" w:lineRule="auto"/>
              <w:rPr>
                <w:bCs/>
              </w:rPr>
            </w:pPr>
            <w:r w:rsidRPr="00F31C45">
              <w:rPr>
                <w:bCs/>
              </w:rPr>
              <w:t>The growth in total GST revenue has not kept pace with economic growth as originally intended. Promoted as a growth tax,</w:t>
            </w:r>
            <w:r w:rsidR="00E84005">
              <w:rPr>
                <w:bCs/>
              </w:rPr>
              <w:t xml:space="preserve"> the</w:t>
            </w:r>
            <w:r w:rsidRPr="00F31C45">
              <w:rPr>
                <w:bCs/>
              </w:rPr>
              <w:t xml:space="preserve"> GST was to provide states and territories a reliable source of revenue that grew with the size of the economy – like income and corporate tax revenue. This has not occurred, and GST revenue growth has lagged economic growth since its inception. </w:t>
            </w:r>
            <w:r w:rsidRPr="00F31C45">
              <w:t>This intensifies VFI in Australia.</w:t>
            </w:r>
          </w:p>
          <w:p w14:paraId="1FC9B28C" w14:textId="28C1E6D7" w:rsidR="00540A28" w:rsidRPr="00F31C45" w:rsidRDefault="00540A28" w:rsidP="008F5BBE">
            <w:pPr>
              <w:spacing w:after="160" w:line="278" w:lineRule="auto"/>
              <w:rPr>
                <w:bCs/>
              </w:rPr>
            </w:pPr>
            <w:r w:rsidRPr="00F31C45">
              <w:t xml:space="preserve">Despite all GST revenue going to the states and territories, the Commonwealth has significant discretion over how the GST is distributed. Most recently, this has had large impacts on Victoria and </w:t>
            </w:r>
            <w:r w:rsidR="005035EB">
              <w:t>NSW</w:t>
            </w:r>
            <w:r w:rsidRPr="00F31C45">
              <w:rPr>
                <w:bCs/>
              </w:rPr>
              <w:t xml:space="preserve"> when the Commonwealth did not allow the CGC flexibility to </w:t>
            </w:r>
            <w:proofErr w:type="spellStart"/>
            <w:r w:rsidRPr="00F31C45">
              <w:rPr>
                <w:bCs/>
              </w:rPr>
              <w:t>recognise</w:t>
            </w:r>
            <w:proofErr w:type="spellEnd"/>
            <w:r w:rsidRPr="00F31C45">
              <w:rPr>
                <w:bCs/>
              </w:rPr>
              <w:t xml:space="preserve"> COVID-19 related spending by Victoria (and </w:t>
            </w:r>
            <w:r w:rsidR="00A90424">
              <w:t>NSW</w:t>
            </w:r>
            <w:r w:rsidRPr="00F31C45">
              <w:rPr>
                <w:bCs/>
              </w:rPr>
              <w:t xml:space="preserve">) when determining GST allocations. This unavoidable expenditure was </w:t>
            </w:r>
            <w:r w:rsidR="00CD2716" w:rsidRPr="00F921F2">
              <w:t>finally</w:t>
            </w:r>
            <w:r w:rsidRPr="00F31C45">
              <w:rPr>
                <w:bCs/>
              </w:rPr>
              <w:t xml:space="preserve"> able to be </w:t>
            </w:r>
            <w:proofErr w:type="spellStart"/>
            <w:r w:rsidRPr="00F31C45">
              <w:rPr>
                <w:bCs/>
              </w:rPr>
              <w:t>recognised</w:t>
            </w:r>
            <w:proofErr w:type="spellEnd"/>
            <w:r w:rsidRPr="00F31C45">
              <w:rPr>
                <w:bCs/>
              </w:rPr>
              <w:t xml:space="preserve"> for the first time this year through the </w:t>
            </w:r>
            <w:r w:rsidR="00CC5101" w:rsidRPr="00F921F2">
              <w:t>2025</w:t>
            </w:r>
            <w:r w:rsidR="00CC5101">
              <w:rPr>
                <w:bCs/>
              </w:rPr>
              <w:t xml:space="preserve"> </w:t>
            </w:r>
            <w:r w:rsidRPr="00F31C45">
              <w:rPr>
                <w:bCs/>
              </w:rPr>
              <w:t xml:space="preserve">CGC’s 5-yearly method review, contributing to </w:t>
            </w:r>
            <w:r w:rsidR="00491DB6">
              <w:rPr>
                <w:bCs/>
              </w:rPr>
              <w:t xml:space="preserve">the </w:t>
            </w:r>
            <w:r w:rsidRPr="00F31C45">
              <w:rPr>
                <w:bCs/>
              </w:rPr>
              <w:t xml:space="preserve">CGC’s </w:t>
            </w:r>
            <w:r w:rsidRPr="00F31C45">
              <w:rPr>
                <w:bCs/>
              </w:rPr>
              <w:lastRenderedPageBreak/>
              <w:t xml:space="preserve">recommendation to increase Victoria’s GST revenue above its population share for the </w:t>
            </w:r>
            <w:r w:rsidR="006C6308" w:rsidRPr="00873979">
              <w:t>first</w:t>
            </w:r>
            <w:r w:rsidRPr="00F31C45">
              <w:rPr>
                <w:bCs/>
              </w:rPr>
              <w:t xml:space="preserve"> time. </w:t>
            </w:r>
            <w:r w:rsidRPr="00AB1D07">
              <w:t>This was almost too late</w:t>
            </w:r>
            <w:r>
              <w:rPr>
                <w:bCs/>
              </w:rPr>
              <w:t xml:space="preserve">. </w:t>
            </w:r>
            <w:r w:rsidRPr="00F31C45">
              <w:rPr>
                <w:bCs/>
              </w:rPr>
              <w:t xml:space="preserve">The previous exclusion of these costs in calculating GST shares lowered Victoria’s revenue by around $879 million in 2023–24 alone. The delay in </w:t>
            </w:r>
            <w:proofErr w:type="spellStart"/>
            <w:r w:rsidRPr="00F31C45">
              <w:rPr>
                <w:bCs/>
              </w:rPr>
              <w:t>recognising</w:t>
            </w:r>
            <w:proofErr w:type="spellEnd"/>
            <w:r w:rsidRPr="00F31C45">
              <w:rPr>
                <w:bCs/>
              </w:rPr>
              <w:t xml:space="preserve"> this spending means that COVID-19 expenditures from 2019–20 and 2020–21 will</w:t>
            </w:r>
            <w:r w:rsidR="008E3C1B">
              <w:rPr>
                <w:bCs/>
              </w:rPr>
              <w:t> </w:t>
            </w:r>
            <w:r w:rsidRPr="00F31C45">
              <w:rPr>
                <w:bCs/>
              </w:rPr>
              <w:t xml:space="preserve">never be assessed accurately. </w:t>
            </w:r>
          </w:p>
          <w:p w14:paraId="17D379E8" w14:textId="349016B0" w:rsidR="00540A28" w:rsidRPr="00F31C45" w:rsidRDefault="00540A28" w:rsidP="00CC24D2">
            <w:pPr>
              <w:spacing w:before="240" w:after="160" w:line="278" w:lineRule="auto"/>
              <w:rPr>
                <w:bCs/>
              </w:rPr>
            </w:pPr>
            <w:r w:rsidRPr="00F31C45">
              <w:t xml:space="preserve">Significant Commonwealth changes to the GST system introduced in 2018, </w:t>
            </w:r>
            <w:r w:rsidRPr="00F31C45">
              <w:rPr>
                <w:bCs/>
              </w:rPr>
              <w:t xml:space="preserve">including a GST floor and a new standard of </w:t>
            </w:r>
            <w:proofErr w:type="spellStart"/>
            <w:r w:rsidRPr="00F31C45">
              <w:rPr>
                <w:bCs/>
              </w:rPr>
              <w:t>equalisation</w:t>
            </w:r>
            <w:proofErr w:type="spellEnd"/>
            <w:r w:rsidRPr="00F31C45">
              <w:rPr>
                <w:bCs/>
              </w:rPr>
              <w:t>, which guarantee</w:t>
            </w:r>
            <w:r w:rsidR="00B7668E">
              <w:rPr>
                <w:bCs/>
              </w:rPr>
              <w:t>s</w:t>
            </w:r>
            <w:r w:rsidRPr="00F31C45">
              <w:rPr>
                <w:bCs/>
              </w:rPr>
              <w:t xml:space="preserve"> Western Australia a minimum share of GST, eroded the principle of HFE. In response to concerns from remaining states, a temporary no-worse-off guarantee was introduced to provide top</w:t>
            </w:r>
            <w:r w:rsidR="006F2742">
              <w:rPr>
                <w:bCs/>
              </w:rPr>
              <w:t>-</w:t>
            </w:r>
            <w:r w:rsidRPr="00F31C45">
              <w:rPr>
                <w:bCs/>
              </w:rPr>
              <w:t xml:space="preserve">up payments to states and territories to ensure none are disadvantaged by the new GST arrangements. This effectively extends pre-2018 GST funding arrangements to all states and territories bar Western Australia, who now receive additional Commonwealth funding. The </w:t>
            </w:r>
            <w:r w:rsidR="006F2742" w:rsidRPr="00F31C45">
              <w:rPr>
                <w:bCs/>
              </w:rPr>
              <w:t>no-worse-off guarantee</w:t>
            </w:r>
            <w:r w:rsidRPr="00F31C45">
              <w:rPr>
                <w:bCs/>
              </w:rPr>
              <w:t xml:space="preserve"> has been extended to 2029-30, however it remains a </w:t>
            </w:r>
            <w:r w:rsidR="00201D03" w:rsidRPr="00F921F2">
              <w:t>major</w:t>
            </w:r>
            <w:r w:rsidR="00201D03">
              <w:rPr>
                <w:bCs/>
              </w:rPr>
              <w:t xml:space="preserve"> </w:t>
            </w:r>
            <w:r>
              <w:rPr>
                <w:bCs/>
              </w:rPr>
              <w:t xml:space="preserve">fiscal </w:t>
            </w:r>
            <w:r w:rsidRPr="00F31C45">
              <w:rPr>
                <w:bCs/>
              </w:rPr>
              <w:t>risk for Victoria beyond that time. At the time of its introduction in 2018</w:t>
            </w:r>
            <w:r w:rsidR="00D42B93">
              <w:rPr>
                <w:bCs/>
              </w:rPr>
              <w:t>,</w:t>
            </w:r>
            <w:r w:rsidRPr="00F31C45">
              <w:rPr>
                <w:bCs/>
              </w:rPr>
              <w:t xml:space="preserve"> the Commonwealth forecast all states and territories would benefit from the changes to the system, and no additional assistance would be required. This has not been the case and Victoria has received more than $9.2 billion in </w:t>
            </w:r>
            <w:r w:rsidR="00B23C5F" w:rsidRPr="00F31C45">
              <w:rPr>
                <w:bCs/>
              </w:rPr>
              <w:t>no-worse-off guarantee</w:t>
            </w:r>
            <w:r w:rsidRPr="00F31C45">
              <w:rPr>
                <w:bCs/>
              </w:rPr>
              <w:t xml:space="preserve"> payments between 2021</w:t>
            </w:r>
            <w:r w:rsidR="001751B7">
              <w:t>–</w:t>
            </w:r>
            <w:r w:rsidRPr="00F31C45">
              <w:rPr>
                <w:bCs/>
              </w:rPr>
              <w:t>22 and 2023</w:t>
            </w:r>
            <w:r w:rsidR="001751B7">
              <w:t>–</w:t>
            </w:r>
            <w:r w:rsidRPr="00F31C45">
              <w:rPr>
                <w:bCs/>
              </w:rPr>
              <w:t xml:space="preserve">24. The Commonwealth estimates that Victoria will receive a further $9.7 billion in </w:t>
            </w:r>
            <w:r w:rsidR="006F2742" w:rsidRPr="00F31C45">
              <w:rPr>
                <w:bCs/>
              </w:rPr>
              <w:t>no-worse-off guarantee</w:t>
            </w:r>
            <w:r w:rsidRPr="00F31C45">
              <w:rPr>
                <w:bCs/>
              </w:rPr>
              <w:t xml:space="preserve"> payments between 2024</w:t>
            </w:r>
            <w:r w:rsidR="001751B7">
              <w:t>–</w:t>
            </w:r>
            <w:r w:rsidRPr="00F31C45">
              <w:rPr>
                <w:bCs/>
              </w:rPr>
              <w:t>25 and 2028</w:t>
            </w:r>
            <w:r w:rsidR="001751B7">
              <w:t>–</w:t>
            </w:r>
            <w:r w:rsidRPr="00F31C45">
              <w:rPr>
                <w:bCs/>
              </w:rPr>
              <w:t xml:space="preserve">29. </w:t>
            </w:r>
          </w:p>
          <w:p w14:paraId="26F872FA" w14:textId="6ABD0B73" w:rsidR="00540A28" w:rsidRDefault="00540A28" w:rsidP="00352512">
            <w:pPr>
              <w:spacing w:after="160" w:line="278" w:lineRule="auto"/>
            </w:pPr>
            <w:r w:rsidRPr="00F31C45">
              <w:rPr>
                <w:bCs/>
              </w:rPr>
              <w:t>The importance of GST to the state</w:t>
            </w:r>
            <w:r w:rsidR="00194EFB">
              <w:rPr>
                <w:bCs/>
              </w:rPr>
              <w:t>’</w:t>
            </w:r>
            <w:r w:rsidRPr="00F31C45">
              <w:rPr>
                <w:bCs/>
              </w:rPr>
              <w:t>s revenue base demonstrates the criticality of proactive and strategic engagement with the Commonwealth. It also reinforces the need for the Productivity Commission’s upcoming review to comprehensively examine the impact of the Commonwealth’s 2018 changes to the GST system.</w:t>
            </w:r>
          </w:p>
        </w:tc>
      </w:tr>
    </w:tbl>
    <w:p w14:paraId="26609B2B" w14:textId="77777777" w:rsidR="003B27D2" w:rsidRDefault="003B27D2" w:rsidP="008C1711"/>
    <w:p w14:paraId="632D9810" w14:textId="77777777" w:rsidR="003B27D2" w:rsidRDefault="003B27D2" w:rsidP="008C1711">
      <w:pPr>
        <w:sectPr w:rsidR="003B27D2" w:rsidSect="00AE6104">
          <w:type w:val="continuous"/>
          <w:pgSz w:w="11906" w:h="16838"/>
          <w:pgMar w:top="1440" w:right="1440" w:bottom="1440" w:left="1440" w:header="708" w:footer="708" w:gutter="0"/>
          <w:cols w:space="708"/>
          <w:docGrid w:linePitch="360"/>
          <w15:footnoteColumns w:val="1"/>
        </w:sectPr>
      </w:pPr>
    </w:p>
    <w:p w14:paraId="7BA2EC37" w14:textId="5F7F0145" w:rsidR="00540A28" w:rsidRPr="00CC7B84" w:rsidRDefault="00540A28" w:rsidP="008C1711">
      <w:r w:rsidRPr="00CC7B84">
        <w:t>In addition to GST revenue, the Commonwealth provides payments for specific purposes through more than 30 active partnerships, including six national partnership agreements. The Commonwealth has allocated more than $110 billion in funding between 2024</w:t>
      </w:r>
      <w:r>
        <w:t>–</w:t>
      </w:r>
      <w:r w:rsidRPr="00CC7B84">
        <w:t>25 and 2028</w:t>
      </w:r>
      <w:r>
        <w:t>–</w:t>
      </w:r>
      <w:r w:rsidRPr="00CC7B84">
        <w:t xml:space="preserve">29 to Victoria through these agreements at the most recent federal budget. The main partnerships are the </w:t>
      </w:r>
      <w:r w:rsidRPr="00CC7B84">
        <w:rPr>
          <w:i/>
        </w:rPr>
        <w:t xml:space="preserve">Better and Fairer Schools Agreement </w:t>
      </w:r>
      <w:r w:rsidRPr="00CC7B84">
        <w:t>($42</w:t>
      </w:r>
      <w:r w:rsidR="005637A3">
        <w:t>.1</w:t>
      </w:r>
      <w:r w:rsidR="00C955F4">
        <w:t> </w:t>
      </w:r>
      <w:r w:rsidRPr="00CC7B84">
        <w:t xml:space="preserve">billion over </w:t>
      </w:r>
      <w:r>
        <w:t>5</w:t>
      </w:r>
      <w:r w:rsidRPr="00CC7B84">
        <w:t xml:space="preserve"> years, expires in 2034), the </w:t>
      </w:r>
      <w:r w:rsidRPr="00CC7B84">
        <w:rPr>
          <w:i/>
        </w:rPr>
        <w:t>National Health Reform Agreement</w:t>
      </w:r>
      <w:r w:rsidRPr="00CC7B84">
        <w:t xml:space="preserve"> ($41.5 billion over </w:t>
      </w:r>
      <w:r>
        <w:t xml:space="preserve">5 </w:t>
      </w:r>
      <w:r w:rsidRPr="00CC7B84">
        <w:t xml:space="preserve">years, being renegotiated now) and the </w:t>
      </w:r>
      <w:r w:rsidRPr="00CC7B84">
        <w:rPr>
          <w:i/>
        </w:rPr>
        <w:t xml:space="preserve">National Skills Agreement </w:t>
      </w:r>
      <w:r w:rsidRPr="00CC7B84">
        <w:t xml:space="preserve">($3.1 billion over </w:t>
      </w:r>
      <w:r>
        <w:t>5</w:t>
      </w:r>
      <w:r w:rsidRPr="00CC7B84">
        <w:t xml:space="preserve"> years, expiring in 2028).</w:t>
      </w:r>
    </w:p>
    <w:p w14:paraId="344CFAB5" w14:textId="14060BAD" w:rsidR="00540A28" w:rsidRDefault="00540A28" w:rsidP="00540A28">
      <w:r w:rsidRPr="00BE6FAE">
        <w:t>Funding provided through these partnerships is substantial, although there</w:t>
      </w:r>
      <w:r w:rsidR="00A93126">
        <w:t> </w:t>
      </w:r>
      <w:r w:rsidRPr="00BE6FAE">
        <w:t xml:space="preserve">are areas where </w:t>
      </w:r>
      <w:r>
        <w:t xml:space="preserve">Victoria </w:t>
      </w:r>
      <w:r w:rsidRPr="00BE6FAE">
        <w:t>receiv</w:t>
      </w:r>
      <w:r>
        <w:t>es</w:t>
      </w:r>
      <w:r w:rsidRPr="00BE6FAE">
        <w:t xml:space="preserve"> a</w:t>
      </w:r>
      <w:r w:rsidR="00A93126">
        <w:t> </w:t>
      </w:r>
      <w:r w:rsidRPr="00BE6FAE">
        <w:t xml:space="preserve">disproportionately low share of </w:t>
      </w:r>
      <w:r>
        <w:t>Commonwealth</w:t>
      </w:r>
      <w:r w:rsidRPr="00BE6FAE">
        <w:t xml:space="preserve"> funding relative to its</w:t>
      </w:r>
      <w:r w:rsidR="00A93126">
        <w:t> </w:t>
      </w:r>
      <w:r w:rsidRPr="00BE6FAE">
        <w:t>population.</w:t>
      </w:r>
    </w:p>
    <w:p w14:paraId="083ACDFF" w14:textId="53C3C043" w:rsidR="00540A28" w:rsidRDefault="00540A28" w:rsidP="00540A28">
      <w:r>
        <w:t xml:space="preserve">A notable example is health. </w:t>
      </w:r>
      <w:r w:rsidRPr="00D334F2">
        <w:t xml:space="preserve">Victoria is </w:t>
      </w:r>
      <w:r w:rsidRPr="00CC7B84">
        <w:t xml:space="preserve">set to </w:t>
      </w:r>
      <w:r w:rsidRPr="00D334F2">
        <w:t>receive 2</w:t>
      </w:r>
      <w:r w:rsidR="006B4685">
        <w:t>3.9</w:t>
      </w:r>
      <w:r w:rsidRPr="00CC7B84">
        <w:t xml:space="preserve"> per cent of Commonwealth </w:t>
      </w:r>
      <w:r w:rsidRPr="00D334F2">
        <w:t>health</w:t>
      </w:r>
      <w:r w:rsidRPr="00CC7B84">
        <w:t xml:space="preserve"> funding over the next </w:t>
      </w:r>
      <w:r>
        <w:t>five years according to</w:t>
      </w:r>
      <w:r w:rsidRPr="00CC7B84">
        <w:t xml:space="preserve"> the most recent Commonwealth budget, lower than its population share of 25.8</w:t>
      </w:r>
      <w:r>
        <w:t> </w:t>
      </w:r>
      <w:r w:rsidRPr="00CC7B84">
        <w:t>per cent.</w:t>
      </w:r>
      <w:r>
        <w:t xml:space="preserve"> </w:t>
      </w:r>
      <w:r w:rsidRPr="00D334F2">
        <w:t>Funding equivalent to</w:t>
      </w:r>
      <w:r w:rsidRPr="00CC7B84">
        <w:t xml:space="preserve"> Victoria’s population share would see the state receive </w:t>
      </w:r>
      <w:r w:rsidRPr="00D334F2">
        <w:t>a further</w:t>
      </w:r>
      <w:r w:rsidRPr="00CC7B84">
        <w:t xml:space="preserve"> $3.</w:t>
      </w:r>
      <w:r w:rsidRPr="00D334F2">
        <w:t>4</w:t>
      </w:r>
      <w:r w:rsidR="00C955F4">
        <w:t> </w:t>
      </w:r>
      <w:r w:rsidRPr="00CC7B84">
        <w:t xml:space="preserve">billion over </w:t>
      </w:r>
      <w:r>
        <w:t xml:space="preserve">5 </w:t>
      </w:r>
      <w:r w:rsidRPr="00CC7B84">
        <w:t>years</w:t>
      </w:r>
      <w:r>
        <w:t xml:space="preserve">. </w:t>
      </w:r>
      <w:r w:rsidRPr="00D334F2">
        <w:t xml:space="preserve">Over time, this structural disadvantage </w:t>
      </w:r>
      <w:r>
        <w:t xml:space="preserve">means that Victoria </w:t>
      </w:r>
      <w:r w:rsidR="00267B34">
        <w:br w:type="column"/>
      </w:r>
      <w:r>
        <w:lastRenderedPageBreak/>
        <w:t xml:space="preserve">is not getting the level of </w:t>
      </w:r>
      <w:r w:rsidR="00BB23AC" w:rsidRPr="00F921F2">
        <w:t>Commonwealth</w:t>
      </w:r>
      <w:r w:rsidRPr="00F921F2">
        <w:t xml:space="preserve"> support </w:t>
      </w:r>
      <w:r w:rsidR="00BB23AC" w:rsidRPr="00F921F2">
        <w:t>it needs to respond to growing public hospital demand</w:t>
      </w:r>
      <w:r w:rsidR="000B7245" w:rsidRPr="00F921F2">
        <w:t>.</w:t>
      </w:r>
      <w:r w:rsidRPr="00F921F2">
        <w:t xml:space="preserve"> </w:t>
      </w:r>
      <w:r w:rsidR="00C76FC9" w:rsidRPr="00F921F2">
        <w:t xml:space="preserve">This places additional </w:t>
      </w:r>
      <w:r w:rsidR="00D9656D" w:rsidRPr="00F921F2">
        <w:t>pressures on the state’s operating budget.</w:t>
      </w:r>
    </w:p>
    <w:p w14:paraId="52FD53C0" w14:textId="77777777" w:rsidR="00540A28" w:rsidRDefault="00540A28" w:rsidP="00540A28">
      <w:r>
        <w:t xml:space="preserve">The National Health Reform Agreement (NHRA) is the largest component of Commonwealth health funding to the state. </w:t>
      </w:r>
      <w:r w:rsidRPr="00F70673">
        <w:t xml:space="preserve">Under the </w:t>
      </w:r>
      <w:r>
        <w:t xml:space="preserve">NHRA, </w:t>
      </w:r>
      <w:r w:rsidRPr="00F70673">
        <w:t>the Commonwealth funds 45</w:t>
      </w:r>
      <w:r>
        <w:t xml:space="preserve"> per cent </w:t>
      </w:r>
      <w:r w:rsidRPr="00F70673">
        <w:t>of efficient hospital activity growth, capped at 6.5</w:t>
      </w:r>
      <w:r>
        <w:t xml:space="preserve"> per cent</w:t>
      </w:r>
      <w:r w:rsidRPr="00F70673">
        <w:t xml:space="preserve"> annually. When demand exceeds this cap or </w:t>
      </w:r>
      <w:r>
        <w:t xml:space="preserve">funding </w:t>
      </w:r>
      <w:r w:rsidRPr="00F70673">
        <w:t>lags, states must cover the gap.</w:t>
      </w:r>
    </w:p>
    <w:p w14:paraId="5B82DBB8" w14:textId="2E162E49" w:rsidR="00540A28" w:rsidRDefault="00540A28" w:rsidP="00540A28">
      <w:r>
        <w:t>The Commonwealth provided $7.3 billion to Victoria through the NHRA in 2024</w:t>
      </w:r>
      <w:r w:rsidR="001A522E">
        <w:t>–</w:t>
      </w:r>
      <w:r>
        <w:t>25 alongside a Victorian funding contribution of $11.9 billion. Renegotiation of the NHRA is critical given structural issues of the agreement have resulted in inequitable health funding and have restricted state and territories’ ability to plan accurately for long-term health needs due to the operation of the current funding model.</w:t>
      </w:r>
    </w:p>
    <w:p w14:paraId="4633FC0F" w14:textId="64779CF0" w:rsidR="00540A28" w:rsidRDefault="00540A28" w:rsidP="00540A28">
      <w:r w:rsidRPr="00084CAA">
        <w:t xml:space="preserve">Funding for infrastructure is another critical area where Victoria receives less than its population share. </w:t>
      </w:r>
      <w:r w:rsidRPr="00CC7B84">
        <w:t>Victoria received $</w:t>
      </w:r>
      <w:r>
        <w:t>11.1</w:t>
      </w:r>
      <w:r w:rsidR="009E19FA">
        <w:t> </w:t>
      </w:r>
      <w:r>
        <w:t>billion in</w:t>
      </w:r>
      <w:r w:rsidRPr="00CC7B84">
        <w:t xml:space="preserve"> Commonwealth infrastructure funding over the past 10</w:t>
      </w:r>
      <w:r w:rsidR="009E19FA">
        <w:t> </w:t>
      </w:r>
      <w:r w:rsidRPr="00CC7B84">
        <w:t>years</w:t>
      </w:r>
      <w:r>
        <w:t>, contributing to important road and</w:t>
      </w:r>
      <w:r w:rsidR="00056A38">
        <w:t> </w:t>
      </w:r>
      <w:r>
        <w:t>rail projects. However, this funding is around $</w:t>
      </w:r>
      <w:r w:rsidRPr="00084CAA">
        <w:t xml:space="preserve">9.4 billion less than </w:t>
      </w:r>
      <w:r w:rsidR="00FE275D">
        <w:t>Victoria’s</w:t>
      </w:r>
      <w:r w:rsidRPr="00084CAA">
        <w:t xml:space="preserve"> </w:t>
      </w:r>
      <w:r w:rsidRPr="00084CAA">
        <w:t xml:space="preserve">population share </w:t>
      </w:r>
      <w:r w:rsidRPr="00CC7B84">
        <w:t xml:space="preserve">(Figure </w:t>
      </w:r>
      <w:r>
        <w:t>4</w:t>
      </w:r>
      <w:r w:rsidRPr="00CC7B84">
        <w:t>.1).</w:t>
      </w:r>
      <w:r>
        <w:rPr>
          <w:rStyle w:val="FootnoteReference"/>
        </w:rPr>
        <w:footnoteReference w:id="10"/>
      </w:r>
      <w:r>
        <w:t xml:space="preserve"> This shortfall is evident across current major</w:t>
      </w:r>
      <w:r w:rsidR="00F2068F">
        <w:t>,</w:t>
      </w:r>
      <w:r>
        <w:t xml:space="preserve"> </w:t>
      </w:r>
      <w:r w:rsidR="0057574A" w:rsidRPr="00F921F2">
        <w:t>priority</w:t>
      </w:r>
      <w:r>
        <w:t xml:space="preserve"> infrastructure projects in Victoria, namely:</w:t>
      </w:r>
    </w:p>
    <w:p w14:paraId="53599999" w14:textId="71FF9E2F" w:rsidR="00540A28" w:rsidRDefault="00540A28" w:rsidP="00D207B3">
      <w:pPr>
        <w:pStyle w:val="ListParagraph"/>
        <w:numPr>
          <w:ilvl w:val="0"/>
          <w:numId w:val="21"/>
        </w:numPr>
        <w:contextualSpacing w:val="0"/>
      </w:pPr>
      <w:proofErr w:type="gramStart"/>
      <w:r w:rsidRPr="00785DB8">
        <w:rPr>
          <w:i/>
          <w:iCs/>
        </w:rPr>
        <w:t>North East</w:t>
      </w:r>
      <w:proofErr w:type="gramEnd"/>
      <w:r w:rsidRPr="00785DB8">
        <w:rPr>
          <w:i/>
          <w:iCs/>
        </w:rPr>
        <w:t xml:space="preserve"> Link </w:t>
      </w:r>
      <w:r w:rsidR="007962F4">
        <w:t>–</w:t>
      </w:r>
      <w:r>
        <w:t xml:space="preserve"> $2</w:t>
      </w:r>
      <w:r w:rsidR="00F40682">
        <w:t>1</w:t>
      </w:r>
      <w:r>
        <w:t xml:space="preserve"> billion Victorian Government investment; $5 billion Commonwealth funding</w:t>
      </w:r>
    </w:p>
    <w:p w14:paraId="2F666DBB" w14:textId="27AA133B" w:rsidR="00540A28" w:rsidRDefault="00540A28" w:rsidP="00D207B3">
      <w:pPr>
        <w:pStyle w:val="ListParagraph"/>
        <w:numPr>
          <w:ilvl w:val="0"/>
          <w:numId w:val="21"/>
        </w:numPr>
        <w:contextualSpacing w:val="0"/>
      </w:pPr>
      <w:r>
        <w:rPr>
          <w:i/>
          <w:iCs/>
        </w:rPr>
        <w:t xml:space="preserve">Level Crossing Removal Project </w:t>
      </w:r>
      <w:r w:rsidR="007962F4">
        <w:t>–</w:t>
      </w:r>
      <w:r>
        <w:t xml:space="preserve"> $15</w:t>
      </w:r>
      <w:r w:rsidR="007962F4">
        <w:t> </w:t>
      </w:r>
      <w:r>
        <w:t>billion Victorian Government investment; no Commonwealth funding</w:t>
      </w:r>
    </w:p>
    <w:p w14:paraId="078C6F09" w14:textId="2DFC19D8" w:rsidR="00540A28" w:rsidRDefault="00540A28" w:rsidP="00D207B3">
      <w:pPr>
        <w:pStyle w:val="ListParagraph"/>
        <w:numPr>
          <w:ilvl w:val="0"/>
          <w:numId w:val="21"/>
        </w:numPr>
        <w:contextualSpacing w:val="0"/>
      </w:pPr>
      <w:r w:rsidRPr="00785DB8">
        <w:rPr>
          <w:i/>
          <w:iCs/>
        </w:rPr>
        <w:t>Metro Tunnel</w:t>
      </w:r>
      <w:r>
        <w:t xml:space="preserve"> </w:t>
      </w:r>
      <w:r w:rsidR="007962F4">
        <w:t>–</w:t>
      </w:r>
      <w:r>
        <w:t xml:space="preserve"> $13.5 billion Victorian Government investment; no Commonwealth funding</w:t>
      </w:r>
    </w:p>
    <w:p w14:paraId="318C666A" w14:textId="76646882" w:rsidR="00540A28" w:rsidRDefault="00540A28" w:rsidP="00D207B3">
      <w:pPr>
        <w:pStyle w:val="ListParagraph"/>
        <w:numPr>
          <w:ilvl w:val="0"/>
          <w:numId w:val="21"/>
        </w:numPr>
        <w:contextualSpacing w:val="0"/>
      </w:pPr>
      <w:r w:rsidRPr="00785DB8">
        <w:rPr>
          <w:i/>
          <w:iCs/>
        </w:rPr>
        <w:t>West Gate Tunnel</w:t>
      </w:r>
      <w:r>
        <w:t xml:space="preserve"> </w:t>
      </w:r>
      <w:r w:rsidR="007962F4">
        <w:t>–</w:t>
      </w:r>
      <w:r>
        <w:t xml:space="preserve"> $10 billion Victorian Government investment</w:t>
      </w:r>
      <w:r w:rsidR="00F40682">
        <w:rPr>
          <w:rStyle w:val="FootnoteReference"/>
        </w:rPr>
        <w:footnoteReference w:id="11"/>
      </w:r>
      <w:r>
        <w:t>; no Commonwealth funding.</w:t>
      </w:r>
    </w:p>
    <w:p w14:paraId="35CF329A" w14:textId="607D9817" w:rsidR="00970CA6" w:rsidRDefault="00540A28" w:rsidP="00540A28">
      <w:r w:rsidRPr="00CC7B84">
        <w:t xml:space="preserve">This shortfall is set to persist, with Victoria allocated 21.4 per cent of total Commonwealth infrastructure funding over the next 5 years in the most recent Commonwealth budget. Infrastructure funding commensurate with Victoria’s population share would see the state receive an additional $3.5 billion over </w:t>
      </w:r>
      <w:r>
        <w:t>5</w:t>
      </w:r>
      <w:r w:rsidR="00C54249">
        <w:t> </w:t>
      </w:r>
      <w:r w:rsidRPr="00CC7B84">
        <w:t>years</w:t>
      </w:r>
      <w:r>
        <w:t xml:space="preserve">. </w:t>
      </w:r>
      <w:r w:rsidR="00ED61C4" w:rsidRPr="00ED61C4">
        <w:t xml:space="preserve">The sequence of future Commonwealth funding </w:t>
      </w:r>
      <w:r w:rsidR="00187078">
        <w:t xml:space="preserve">also </w:t>
      </w:r>
      <w:r w:rsidR="00ED61C4" w:rsidRPr="00ED61C4">
        <w:t xml:space="preserve">does not necessarily align </w:t>
      </w:r>
      <w:r w:rsidR="003D66A7">
        <w:t>well</w:t>
      </w:r>
      <w:r w:rsidR="00ED61C4" w:rsidRPr="00ED61C4">
        <w:t xml:space="preserve"> with state priorities, for example</w:t>
      </w:r>
      <w:r w:rsidR="00E00DDE">
        <w:t>,</w:t>
      </w:r>
      <w:r w:rsidR="00ED61C4" w:rsidRPr="00ED61C4">
        <w:t xml:space="preserve"> directing investment to the Beveridge Intermodal Freight Terminal ahead of the Western Interstate Freight</w:t>
      </w:r>
      <w:r w:rsidR="00267B34">
        <w:t> </w:t>
      </w:r>
      <w:r w:rsidR="00ED61C4" w:rsidRPr="00ED61C4">
        <w:t>Terminal.</w:t>
      </w:r>
    </w:p>
    <w:p w14:paraId="672F76AD" w14:textId="77777777" w:rsidR="003B27D2" w:rsidRDefault="003B27D2">
      <w:pPr>
        <w:sectPr w:rsidR="003B27D2" w:rsidSect="003B27D2">
          <w:type w:val="continuous"/>
          <w:pgSz w:w="11906" w:h="16838"/>
          <w:pgMar w:top="1440" w:right="1440" w:bottom="1440" w:left="1440" w:header="708" w:footer="708" w:gutter="0"/>
          <w:cols w:num="2" w:space="708"/>
          <w:docGrid w:linePitch="360"/>
          <w15:footnoteColumns w:val="1"/>
        </w:sectPr>
      </w:pPr>
    </w:p>
    <w:p w14:paraId="6EA3BF80" w14:textId="77777777" w:rsidR="00504B31" w:rsidRDefault="00504B31">
      <w:r>
        <w:br w:type="page"/>
      </w:r>
    </w:p>
    <w:p w14:paraId="7D5DABA3" w14:textId="1C411215" w:rsidR="00D52F02" w:rsidRPr="00DB3723" w:rsidRDefault="00D52F02" w:rsidP="00D52F02">
      <w:pPr>
        <w:pStyle w:val="Figureheading"/>
      </w:pPr>
      <w:bookmarkStart w:id="46" w:name="_Toc202523975"/>
      <w:r w:rsidRPr="00DB3723">
        <w:lastRenderedPageBreak/>
        <w:t xml:space="preserve">Figure </w:t>
      </w:r>
      <w:r>
        <w:t>4</w:t>
      </w:r>
      <w:r w:rsidRPr="00DB3723">
        <w:t>.</w:t>
      </w:r>
      <w:r>
        <w:fldChar w:fldCharType="begin"/>
      </w:r>
      <w:r>
        <w:instrText xml:space="preserve"> SEQ Figure \* ARABIC \s 1 </w:instrText>
      </w:r>
      <w:r>
        <w:fldChar w:fldCharType="separate"/>
      </w:r>
      <w:r w:rsidR="009D1283">
        <w:rPr>
          <w:noProof/>
        </w:rPr>
        <w:t>1</w:t>
      </w:r>
      <w:r>
        <w:rPr>
          <w:noProof/>
        </w:rPr>
        <w:fldChar w:fldCharType="end"/>
      </w:r>
      <w:r w:rsidRPr="00DB3723">
        <w:t>:</w:t>
      </w:r>
      <w:r>
        <w:t xml:space="preserve"> Commonwealth infrastructure spending</w:t>
      </w:r>
    </w:p>
    <w:p w14:paraId="0D8E8A3F" w14:textId="77777777" w:rsidR="00D52F02" w:rsidRDefault="00D52F02" w:rsidP="00D52F02">
      <w:r>
        <w:rPr>
          <w:noProof/>
        </w:rPr>
        <mc:AlternateContent>
          <mc:Choice Requires="wps">
            <w:drawing>
              <wp:anchor distT="0" distB="0" distL="114300" distR="114300" simplePos="0" relativeHeight="251658293" behindDoc="0" locked="0" layoutInCell="1" allowOverlap="1" wp14:anchorId="1D7439C3" wp14:editId="0ED8A285">
                <wp:simplePos x="0" y="0"/>
                <wp:positionH relativeFrom="column">
                  <wp:posOffset>3978784</wp:posOffset>
                </wp:positionH>
                <wp:positionV relativeFrom="paragraph">
                  <wp:posOffset>638766</wp:posOffset>
                </wp:positionV>
                <wp:extent cx="690245" cy="430530"/>
                <wp:effectExtent l="0" t="0" r="0" b="0"/>
                <wp:wrapNone/>
                <wp:docPr id="9" name="TextBox 8">
                  <a:extLst xmlns:a="http://schemas.openxmlformats.org/drawingml/2006/main">
                    <a:ext uri="{FF2B5EF4-FFF2-40B4-BE49-F238E27FC236}">
                      <a16:creationId xmlns:a16="http://schemas.microsoft.com/office/drawing/2014/main" id="{67E8BA77-E169-4B32-A813-F4FC5A074366}"/>
                    </a:ext>
                  </a:extLst>
                </wp:docPr>
                <wp:cNvGraphicFramePr/>
                <a:graphic xmlns:a="http://schemas.openxmlformats.org/drawingml/2006/main">
                  <a:graphicData uri="http://schemas.microsoft.com/office/word/2010/wordprocessingShape">
                    <wps:wsp>
                      <wps:cNvSpPr txBox="1"/>
                      <wps:spPr>
                        <a:xfrm>
                          <a:off x="0" y="0"/>
                          <a:ext cx="690245" cy="4305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CD6518D" w14:textId="77777777" w:rsidR="00D52F02" w:rsidRPr="007062E6" w:rsidRDefault="00D52F02" w:rsidP="00D52F02">
                            <w:pPr>
                              <w:rPr>
                                <w:rFonts w:ascii="Aptos" w:hAnsi="Aptos"/>
                                <w:color w:val="800080"/>
                                <w:kern w:val="0"/>
                                <w:szCs w:val="22"/>
                                <w14:ligatures w14:val="none"/>
                              </w:rPr>
                            </w:pPr>
                            <w:r w:rsidRPr="007062E6">
                              <w:rPr>
                                <w:rFonts w:ascii="Aptos" w:hAnsi="Aptos"/>
                                <w:color w:val="800080"/>
                                <w:szCs w:val="22"/>
                              </w:rPr>
                              <w:t>Qld</w:t>
                            </w:r>
                          </w:p>
                        </w:txbxContent>
                      </wps:txbx>
                      <wps:bodyPr vertOverflow="clip" horzOverflow="clip" wrap="square" rtlCol="0" anchor="t"/>
                    </wps:wsp>
                  </a:graphicData>
                </a:graphic>
              </wp:anchor>
            </w:drawing>
          </mc:Choice>
          <mc:Fallback>
            <w:pict>
              <v:shape w14:anchorId="1D7439C3" id="_x0000_s1050" type="#_x0000_t202" style="position:absolute;margin-left:313.3pt;margin-top:50.3pt;width:54.35pt;height:33.9pt;z-index:2516582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" filled="f" stroked="f">
                <v:textbox>
                  <w:txbxContent>
                    <w:p w14:paraId="4CD6518D" w14:textId="77777777" w:rsidR="00D52F02" w:rsidRPr="007062E6" w:rsidRDefault="00D52F02" w:rsidP="00D52F02">
                      <w:pPr>
                        <w:rPr>
                          <w:rFonts w:ascii="Aptos" w:hAnsi="Aptos"/>
                          <w:color w:val="800080"/>
                          <w:kern w:val="0"/>
                          <w:szCs w:val="22"/>
                          <w14:ligatures w14:val="none"/>
                        </w:rPr>
                      </w:pPr>
                      <w:r w:rsidRPr="007062E6">
                        <w:rPr>
                          <w:rFonts w:ascii="Aptos" w:hAnsi="Aptos"/>
                          <w:color w:val="800080"/>
                          <w:szCs w:val="22"/>
                        </w:rPr>
                        <w:t>Qld</w:t>
                      </w:r>
                    </w:p>
                  </w:txbxContent>
                </v:textbox>
              </v:shape>
            </w:pict>
          </mc:Fallback>
        </mc:AlternateContent>
      </w:r>
      <w:r>
        <w:rPr>
          <w:noProof/>
        </w:rPr>
        <mc:AlternateContent>
          <mc:Choice Requires="wps">
            <w:drawing>
              <wp:anchor distT="0" distB="0" distL="114300" distR="114300" simplePos="0" relativeHeight="251658292" behindDoc="0" locked="0" layoutInCell="1" allowOverlap="1" wp14:anchorId="27DF7008" wp14:editId="41D9A0B9">
                <wp:simplePos x="0" y="0"/>
                <wp:positionH relativeFrom="column">
                  <wp:posOffset>4659422</wp:posOffset>
                </wp:positionH>
                <wp:positionV relativeFrom="paragraph">
                  <wp:posOffset>764804</wp:posOffset>
                </wp:positionV>
                <wp:extent cx="685503" cy="432343"/>
                <wp:effectExtent l="0" t="0" r="0" b="6350"/>
                <wp:wrapNone/>
                <wp:docPr id="992374623" name="TextBox 7"/>
                <wp:cNvGraphicFramePr/>
                <a:graphic xmlns:a="http://schemas.openxmlformats.org/drawingml/2006/main">
                  <a:graphicData uri="http://schemas.microsoft.com/office/word/2010/wordprocessingShape">
                    <wps:wsp>
                      <wps:cNvSpPr txBox="1"/>
                      <wps:spPr>
                        <a:xfrm>
                          <a:off x="0" y="0"/>
                          <a:ext cx="685503" cy="43234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5035F85" w14:textId="77777777" w:rsidR="00D52F02" w:rsidRPr="00CF6389" w:rsidRDefault="00D52F02" w:rsidP="00D52F02">
                            <w:pPr>
                              <w:rPr>
                                <w:rFonts w:ascii="Aptos" w:hAnsi="Aptos"/>
                                <w:color w:val="E97132" w:themeColor="accent2"/>
                                <w:kern w:val="0"/>
                                <w:szCs w:val="22"/>
                                <w14:ligatures w14:val="none"/>
                              </w:rPr>
                            </w:pPr>
                            <w:r w:rsidRPr="00CF6389">
                              <w:rPr>
                                <w:rFonts w:ascii="Aptos" w:hAnsi="Aptos"/>
                                <w:color w:val="E97132" w:themeColor="accent2"/>
                                <w:szCs w:val="22"/>
                              </w:rPr>
                              <w:t>NSW</w:t>
                            </w:r>
                          </w:p>
                        </w:txbxContent>
                      </wps:txbx>
                      <wps:bodyPr vertOverflow="clip" horzOverflow="clip" wrap="square" rtlCol="0" anchor="t"/>
                    </wps:wsp>
                  </a:graphicData>
                </a:graphic>
              </wp:anchor>
            </w:drawing>
          </mc:Choice>
          <mc:Fallback>
            <w:pict>
              <v:shape w14:anchorId="27DF7008" id="_x0000_s1051" type="#_x0000_t202" style="position:absolute;margin-left:366.9pt;margin-top:60.2pt;width:54pt;height:34.05pt;z-index:2516582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" filled="f" stroked="f">
                <v:textbox>
                  <w:txbxContent>
                    <w:p w14:paraId="55035F85" w14:textId="77777777" w:rsidR="00D52F02" w:rsidRPr="00CF6389" w:rsidRDefault="00D52F02" w:rsidP="00D52F02">
                      <w:pPr>
                        <w:rPr>
                          <w:rFonts w:ascii="Aptos" w:hAnsi="Aptos"/>
                          <w:color w:val="E97132" w:themeColor="accent2"/>
                          <w:kern w:val="0"/>
                          <w:szCs w:val="22"/>
                          <w14:ligatures w14:val="none"/>
                        </w:rPr>
                      </w:pPr>
                      <w:r w:rsidRPr="00CF6389">
                        <w:rPr>
                          <w:rFonts w:ascii="Aptos" w:hAnsi="Aptos"/>
                          <w:color w:val="E97132" w:themeColor="accent2"/>
                          <w:szCs w:val="22"/>
                        </w:rPr>
                        <w:t>NSW</w:t>
                      </w:r>
                    </w:p>
                  </w:txbxContent>
                </v:textbox>
              </v:shape>
            </w:pict>
          </mc:Fallback>
        </mc:AlternateContent>
      </w:r>
      <w:r>
        <w:rPr>
          <w:noProof/>
        </w:rPr>
        <mc:AlternateContent>
          <mc:Choice Requires="wps">
            <w:drawing>
              <wp:anchor distT="0" distB="0" distL="114300" distR="114300" simplePos="0" relativeHeight="251658294" behindDoc="0" locked="0" layoutInCell="1" allowOverlap="1" wp14:anchorId="54F7AD6D" wp14:editId="3CC50EBB">
                <wp:simplePos x="0" y="0"/>
                <wp:positionH relativeFrom="column">
                  <wp:posOffset>4418399</wp:posOffset>
                </wp:positionH>
                <wp:positionV relativeFrom="paragraph">
                  <wp:posOffset>1901454</wp:posOffset>
                </wp:positionV>
                <wp:extent cx="681990" cy="422275"/>
                <wp:effectExtent l="0" t="0" r="0" b="0"/>
                <wp:wrapNone/>
                <wp:docPr id="797231688" name="TextBox 9"/>
                <wp:cNvGraphicFramePr/>
                <a:graphic xmlns:a="http://schemas.openxmlformats.org/drawingml/2006/main">
                  <a:graphicData uri="http://schemas.microsoft.com/office/word/2010/wordprocessingShape">
                    <wps:wsp>
                      <wps:cNvSpPr txBox="1"/>
                      <wps:spPr>
                        <a:xfrm>
                          <a:off x="0" y="0"/>
                          <a:ext cx="681990" cy="4222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1E9E9E6" w14:textId="77777777" w:rsidR="00D52F02" w:rsidRPr="007062E6" w:rsidRDefault="00D52F02" w:rsidP="00D52F02">
                            <w:pPr>
                              <w:rPr>
                                <w:rFonts w:ascii="Aptos" w:hAnsi="Aptos"/>
                                <w:color w:val="1CADE4"/>
                                <w:kern w:val="0"/>
                                <w:szCs w:val="22"/>
                                <w14:ligatures w14:val="none"/>
                              </w:rPr>
                            </w:pPr>
                            <w:r w:rsidRPr="007062E6">
                              <w:rPr>
                                <w:rFonts w:ascii="Aptos" w:hAnsi="Aptos"/>
                                <w:color w:val="1CADE4"/>
                                <w:szCs w:val="22"/>
                              </w:rPr>
                              <w:t>Vic</w:t>
                            </w:r>
                          </w:p>
                        </w:txbxContent>
                      </wps:txbx>
                      <wps:bodyPr vertOverflow="clip" horzOverflow="clip" wrap="square" rtlCol="0" anchor="t"/>
                    </wps:wsp>
                  </a:graphicData>
                </a:graphic>
              </wp:anchor>
            </w:drawing>
          </mc:Choice>
          <mc:Fallback>
            <w:pict>
              <v:shape w14:anchorId="54F7AD6D" id="_x0000_s1052" type="#_x0000_t202" style="position:absolute;margin-left:347.9pt;margin-top:149.7pt;width:53.7pt;height:33.25pt;z-index:2516582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" filled="f" stroked="f">
                <v:textbox>
                  <w:txbxContent>
                    <w:p w14:paraId="71E9E9E6" w14:textId="77777777" w:rsidR="00D52F02" w:rsidRPr="007062E6" w:rsidRDefault="00D52F02" w:rsidP="00D52F02">
                      <w:pPr>
                        <w:rPr>
                          <w:rFonts w:ascii="Aptos" w:hAnsi="Aptos"/>
                          <w:color w:val="1CADE4"/>
                          <w:kern w:val="0"/>
                          <w:szCs w:val="22"/>
                          <w14:ligatures w14:val="none"/>
                        </w:rPr>
                      </w:pPr>
                      <w:r w:rsidRPr="007062E6">
                        <w:rPr>
                          <w:rFonts w:ascii="Aptos" w:hAnsi="Aptos"/>
                          <w:color w:val="1CADE4"/>
                          <w:szCs w:val="22"/>
                        </w:rPr>
                        <w:t>Vic</w:t>
                      </w:r>
                    </w:p>
                  </w:txbxContent>
                </v:textbox>
              </v:shape>
            </w:pict>
          </mc:Fallback>
        </mc:AlternateContent>
      </w:r>
      <w:r w:rsidRPr="00001C1C">
        <w:rPr>
          <w:noProof/>
        </w:rPr>
        <w:drawing>
          <wp:inline distT="0" distB="0" distL="0" distR="0" wp14:anchorId="6ED2F77E" wp14:editId="6E3EA4AF">
            <wp:extent cx="5731510" cy="3317240"/>
            <wp:effectExtent l="0" t="0" r="2540" b="0"/>
            <wp:docPr id="2008772147" name="Chart 1" descr="A chart on Commonwealth infrastructure spending by jurisdiction. The chart includes three lines that present the cumulative difference between actual Commonwealth infrastructure funding received by a state and what it would receive if funding was allocated based on population share over the period 2014-15 and 2023-24, measured in millions of dollars. The first line shows this difference for Victoria, which decreases from around zero in 2014-15 to around negative $10,000 million in 2023-24. The second line shows this difference for Queensland which increases from around zero in 2014-15 to around $2,000 million in 2023-24. The third line shows this difference for New South Wales, which increases from zero to around $3,000 million in 2023-24.">
              <a:extLst xmlns:a="http://schemas.openxmlformats.org/drawingml/2006/main">
                <a:ext uri="{FF2B5EF4-FFF2-40B4-BE49-F238E27FC236}">
                  <a16:creationId xmlns:a16="http://schemas.microsoft.com/office/drawing/2014/main" id="{A709BF2E-0CFB-4F97-B09C-71C8FBCD2C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2EEEEAA" w14:textId="77777777" w:rsidR="00311632" w:rsidRDefault="00311632" w:rsidP="00311632">
      <w:r>
        <w:rPr>
          <w:noProof/>
        </w:rPr>
        <mc:AlternateContent>
          <mc:Choice Requires="wps">
            <w:drawing>
              <wp:anchor distT="0" distB="0" distL="114300" distR="114300" simplePos="0" relativeHeight="251658298" behindDoc="0" locked="0" layoutInCell="1" allowOverlap="1" wp14:anchorId="2CCDAE79" wp14:editId="69AB1DA3">
                <wp:simplePos x="0" y="0"/>
                <wp:positionH relativeFrom="column">
                  <wp:posOffset>1302341</wp:posOffset>
                </wp:positionH>
                <wp:positionV relativeFrom="paragraph">
                  <wp:posOffset>1890546</wp:posOffset>
                </wp:positionV>
                <wp:extent cx="1275464" cy="426006"/>
                <wp:effectExtent l="0" t="0" r="0" b="0"/>
                <wp:wrapNone/>
                <wp:docPr id="798769457" name="TextBox 13"/>
                <wp:cNvGraphicFramePr/>
                <a:graphic xmlns:a="http://schemas.openxmlformats.org/drawingml/2006/main">
                  <a:graphicData uri="http://schemas.microsoft.com/office/word/2010/wordprocessingShape">
                    <wps:wsp>
                      <wps:cNvSpPr txBox="1"/>
                      <wps:spPr>
                        <a:xfrm>
                          <a:off x="0" y="0"/>
                          <a:ext cx="1275464" cy="42600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A8BF663" w14:textId="77777777" w:rsidR="00311632" w:rsidRPr="007062E6" w:rsidRDefault="00311632" w:rsidP="00311632">
                            <w:pPr>
                              <w:rPr>
                                <w:rFonts w:ascii="Aptos" w:hAnsi="Aptos"/>
                                <w:color w:val="000000"/>
                                <w:kern w:val="0"/>
                                <w:szCs w:val="22"/>
                                <w14:ligatures w14:val="none"/>
                              </w:rPr>
                            </w:pPr>
                            <w:r w:rsidRPr="007062E6">
                              <w:rPr>
                                <w:rFonts w:ascii="Aptos" w:hAnsi="Aptos"/>
                                <w:color w:val="000000"/>
                                <w:szCs w:val="22"/>
                              </w:rPr>
                              <w:t>National</w:t>
                            </w:r>
                          </w:p>
                        </w:txbxContent>
                      </wps:txbx>
                      <wps:bodyPr vertOverflow="clip" horzOverflow="clip" wrap="square" rtlCol="0" anchor="t"/>
                    </wps:wsp>
                  </a:graphicData>
                </a:graphic>
              </wp:anchor>
            </w:drawing>
          </mc:Choice>
          <mc:Fallback>
            <w:pict>
              <v:shape w14:anchorId="2CCDAE79" id="_x0000_s1053" type="#_x0000_t202" style="position:absolute;margin-left:102.55pt;margin-top:148.85pt;width:100.45pt;height:33.55pt;z-index:2516582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" filled="f" stroked="f">
                <v:textbox>
                  <w:txbxContent>
                    <w:p w14:paraId="4A8BF663" w14:textId="77777777" w:rsidR="00311632" w:rsidRPr="007062E6" w:rsidRDefault="00311632" w:rsidP="00311632">
                      <w:pPr>
                        <w:rPr>
                          <w:rFonts w:ascii="Aptos" w:hAnsi="Aptos"/>
                          <w:color w:val="000000"/>
                          <w:kern w:val="0"/>
                          <w:szCs w:val="22"/>
                          <w14:ligatures w14:val="none"/>
                        </w:rPr>
                      </w:pPr>
                      <w:r w:rsidRPr="007062E6">
                        <w:rPr>
                          <w:rFonts w:ascii="Aptos" w:hAnsi="Aptos"/>
                          <w:color w:val="000000"/>
                          <w:szCs w:val="22"/>
                        </w:rPr>
                        <w:t>National</w:t>
                      </w:r>
                    </w:p>
                  </w:txbxContent>
                </v:textbox>
              </v:shape>
            </w:pict>
          </mc:Fallback>
        </mc:AlternateContent>
      </w:r>
      <w:r>
        <w:rPr>
          <w:noProof/>
        </w:rPr>
        <mc:AlternateContent>
          <mc:Choice Requires="wps">
            <w:drawing>
              <wp:anchor distT="0" distB="0" distL="114300" distR="114300" simplePos="0" relativeHeight="251658297" behindDoc="0" locked="0" layoutInCell="1" allowOverlap="1" wp14:anchorId="649CF391" wp14:editId="7438FD74">
                <wp:simplePos x="0" y="0"/>
                <wp:positionH relativeFrom="column">
                  <wp:posOffset>4576061</wp:posOffset>
                </wp:positionH>
                <wp:positionV relativeFrom="paragraph">
                  <wp:posOffset>2030686</wp:posOffset>
                </wp:positionV>
                <wp:extent cx="684935" cy="432551"/>
                <wp:effectExtent l="0" t="0" r="0" b="5715"/>
                <wp:wrapNone/>
                <wp:docPr id="920124602" name="TextBox 12"/>
                <wp:cNvGraphicFramePr/>
                <a:graphic xmlns:a="http://schemas.openxmlformats.org/drawingml/2006/main">
                  <a:graphicData uri="http://schemas.microsoft.com/office/word/2010/wordprocessingShape">
                    <wps:wsp>
                      <wps:cNvSpPr txBox="1"/>
                      <wps:spPr>
                        <a:xfrm>
                          <a:off x="0" y="0"/>
                          <a:ext cx="684935" cy="43255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99EE802" w14:textId="77777777" w:rsidR="00311632" w:rsidRPr="007062E6" w:rsidRDefault="00311632" w:rsidP="00311632">
                            <w:pPr>
                              <w:rPr>
                                <w:rFonts w:ascii="Aptos" w:hAnsi="Aptos"/>
                                <w:color w:val="1CADE4"/>
                                <w:kern w:val="0"/>
                                <w:szCs w:val="22"/>
                                <w14:ligatures w14:val="none"/>
                              </w:rPr>
                            </w:pPr>
                            <w:r w:rsidRPr="007062E6">
                              <w:rPr>
                                <w:rFonts w:ascii="Aptos" w:hAnsi="Aptos"/>
                                <w:color w:val="1CADE4"/>
                                <w:szCs w:val="22"/>
                              </w:rPr>
                              <w:t>Vic</w:t>
                            </w:r>
                          </w:p>
                        </w:txbxContent>
                      </wps:txbx>
                      <wps:bodyPr vertOverflow="clip" horzOverflow="clip" wrap="square" rtlCol="0" anchor="t"/>
                    </wps:wsp>
                  </a:graphicData>
                </a:graphic>
              </wp:anchor>
            </w:drawing>
          </mc:Choice>
          <mc:Fallback>
            <w:pict>
              <v:shape w14:anchorId="649CF391" id="_x0000_s1054" type="#_x0000_t202" style="position:absolute;margin-left:360.3pt;margin-top:159.9pt;width:53.95pt;height:34.05pt;z-index:2516582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" filled="f" stroked="f">
                <v:textbox>
                  <w:txbxContent>
                    <w:p w14:paraId="799EE802" w14:textId="77777777" w:rsidR="00311632" w:rsidRPr="007062E6" w:rsidRDefault="00311632" w:rsidP="00311632">
                      <w:pPr>
                        <w:rPr>
                          <w:rFonts w:ascii="Aptos" w:hAnsi="Aptos"/>
                          <w:color w:val="1CADE4"/>
                          <w:kern w:val="0"/>
                          <w:szCs w:val="22"/>
                          <w14:ligatures w14:val="none"/>
                        </w:rPr>
                      </w:pPr>
                      <w:r w:rsidRPr="007062E6">
                        <w:rPr>
                          <w:rFonts w:ascii="Aptos" w:hAnsi="Aptos"/>
                          <w:color w:val="1CADE4"/>
                          <w:szCs w:val="22"/>
                        </w:rPr>
                        <w:t>Vic</w:t>
                      </w:r>
                    </w:p>
                  </w:txbxContent>
                </v:textbox>
              </v:shape>
            </w:pict>
          </mc:Fallback>
        </mc:AlternateContent>
      </w:r>
      <w:r>
        <w:rPr>
          <w:noProof/>
        </w:rPr>
        <mc:AlternateContent>
          <mc:Choice Requires="wps">
            <w:drawing>
              <wp:anchor distT="0" distB="0" distL="114300" distR="114300" simplePos="0" relativeHeight="251658296" behindDoc="0" locked="0" layoutInCell="1" allowOverlap="1" wp14:anchorId="49604E0A" wp14:editId="0E9EBC10">
                <wp:simplePos x="0" y="0"/>
                <wp:positionH relativeFrom="column">
                  <wp:posOffset>3653356</wp:posOffset>
                </wp:positionH>
                <wp:positionV relativeFrom="paragraph">
                  <wp:posOffset>639168</wp:posOffset>
                </wp:positionV>
                <wp:extent cx="697554" cy="430768"/>
                <wp:effectExtent l="0" t="0" r="0" b="0"/>
                <wp:wrapNone/>
                <wp:docPr id="1923289537" name="TextBox 11"/>
                <wp:cNvGraphicFramePr/>
                <a:graphic xmlns:a="http://schemas.openxmlformats.org/drawingml/2006/main">
                  <a:graphicData uri="http://schemas.microsoft.com/office/word/2010/wordprocessingShape">
                    <wps:wsp>
                      <wps:cNvSpPr txBox="1"/>
                      <wps:spPr>
                        <a:xfrm>
                          <a:off x="0" y="0"/>
                          <a:ext cx="697554" cy="43076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0507516" w14:textId="77777777" w:rsidR="00311632" w:rsidRPr="007062E6" w:rsidRDefault="00311632" w:rsidP="00311632">
                            <w:pPr>
                              <w:rPr>
                                <w:rFonts w:ascii="Aptos" w:hAnsi="Aptos"/>
                                <w:color w:val="800080"/>
                                <w:kern w:val="0"/>
                                <w:szCs w:val="22"/>
                                <w14:ligatures w14:val="none"/>
                              </w:rPr>
                            </w:pPr>
                            <w:r w:rsidRPr="007062E6">
                              <w:rPr>
                                <w:rFonts w:ascii="Aptos" w:hAnsi="Aptos"/>
                                <w:color w:val="800080"/>
                                <w:szCs w:val="22"/>
                              </w:rPr>
                              <w:t>Qld</w:t>
                            </w:r>
                          </w:p>
                        </w:txbxContent>
                      </wps:txbx>
                      <wps:bodyPr vertOverflow="clip" horzOverflow="clip" wrap="square" rtlCol="0" anchor="t"/>
                    </wps:wsp>
                  </a:graphicData>
                </a:graphic>
              </wp:anchor>
            </w:drawing>
          </mc:Choice>
          <mc:Fallback>
            <w:pict>
              <v:shape w14:anchorId="49604E0A" id="_x0000_s1055" type="#_x0000_t202" style="position:absolute;margin-left:287.65pt;margin-top:50.35pt;width:54.95pt;height:33.9pt;z-index:251658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" filled="f" stroked="f">
                <v:textbox>
                  <w:txbxContent>
                    <w:p w14:paraId="50507516" w14:textId="77777777" w:rsidR="00311632" w:rsidRPr="007062E6" w:rsidRDefault="00311632" w:rsidP="00311632">
                      <w:pPr>
                        <w:rPr>
                          <w:rFonts w:ascii="Aptos" w:hAnsi="Aptos"/>
                          <w:color w:val="800080"/>
                          <w:kern w:val="0"/>
                          <w:szCs w:val="22"/>
                          <w14:ligatures w14:val="none"/>
                        </w:rPr>
                      </w:pPr>
                      <w:r w:rsidRPr="007062E6">
                        <w:rPr>
                          <w:rFonts w:ascii="Aptos" w:hAnsi="Aptos"/>
                          <w:color w:val="800080"/>
                          <w:szCs w:val="22"/>
                        </w:rPr>
                        <w:t>Qld</w:t>
                      </w:r>
                    </w:p>
                  </w:txbxContent>
                </v:textbox>
              </v:shape>
            </w:pict>
          </mc:Fallback>
        </mc:AlternateContent>
      </w:r>
      <w:r>
        <w:rPr>
          <w:noProof/>
        </w:rPr>
        <mc:AlternateContent>
          <mc:Choice Requires="wps">
            <w:drawing>
              <wp:anchor distT="0" distB="0" distL="114300" distR="114300" simplePos="0" relativeHeight="251658295" behindDoc="0" locked="0" layoutInCell="1" allowOverlap="1" wp14:anchorId="7AA170E6" wp14:editId="1E752583">
                <wp:simplePos x="0" y="0"/>
                <wp:positionH relativeFrom="column">
                  <wp:posOffset>1679418</wp:posOffset>
                </wp:positionH>
                <wp:positionV relativeFrom="paragraph">
                  <wp:posOffset>766539</wp:posOffset>
                </wp:positionV>
                <wp:extent cx="689698" cy="437507"/>
                <wp:effectExtent l="0" t="0" r="0" b="1270"/>
                <wp:wrapNone/>
                <wp:docPr id="515019800" name="TextBox 10"/>
                <wp:cNvGraphicFramePr/>
                <a:graphic xmlns:a="http://schemas.openxmlformats.org/drawingml/2006/main">
                  <a:graphicData uri="http://schemas.microsoft.com/office/word/2010/wordprocessingShape">
                    <wps:wsp>
                      <wps:cNvSpPr txBox="1"/>
                      <wps:spPr>
                        <a:xfrm>
                          <a:off x="0" y="0"/>
                          <a:ext cx="689698" cy="43750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5B06F94" w14:textId="77777777" w:rsidR="00311632" w:rsidRPr="00EE0037" w:rsidRDefault="00311632" w:rsidP="00311632">
                            <w:pPr>
                              <w:rPr>
                                <w:rFonts w:ascii="Aptos" w:hAnsi="Aptos"/>
                                <w:color w:val="E97132" w:themeColor="accent2"/>
                                <w:kern w:val="0"/>
                                <w:szCs w:val="22"/>
                                <w14:ligatures w14:val="none"/>
                              </w:rPr>
                            </w:pPr>
                            <w:r w:rsidRPr="00EE0037">
                              <w:rPr>
                                <w:rFonts w:ascii="Aptos" w:hAnsi="Aptos"/>
                                <w:color w:val="E97132" w:themeColor="accent2"/>
                                <w:szCs w:val="22"/>
                              </w:rPr>
                              <w:t>NSW</w:t>
                            </w:r>
                          </w:p>
                        </w:txbxContent>
                      </wps:txbx>
                      <wps:bodyPr vertOverflow="clip" horzOverflow="clip" wrap="square" rtlCol="0" anchor="t"/>
                    </wps:wsp>
                  </a:graphicData>
                </a:graphic>
              </wp:anchor>
            </w:drawing>
          </mc:Choice>
          <mc:Fallback>
            <w:pict>
              <v:shape w14:anchorId="7AA170E6" id="_x0000_s1056" type="#_x0000_t202" style="position:absolute;margin-left:132.25pt;margin-top:60.35pt;width:54.3pt;height:34.45pt;z-index:2516582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" filled="f" stroked="f">
                <v:textbox>
                  <w:txbxContent>
                    <w:p w14:paraId="15B06F94" w14:textId="77777777" w:rsidR="00311632" w:rsidRPr="00EE0037" w:rsidRDefault="00311632" w:rsidP="00311632">
                      <w:pPr>
                        <w:rPr>
                          <w:rFonts w:ascii="Aptos" w:hAnsi="Aptos"/>
                          <w:color w:val="E97132" w:themeColor="accent2"/>
                          <w:kern w:val="0"/>
                          <w:szCs w:val="22"/>
                          <w14:ligatures w14:val="none"/>
                        </w:rPr>
                      </w:pPr>
                      <w:r w:rsidRPr="00EE0037">
                        <w:rPr>
                          <w:rFonts w:ascii="Aptos" w:hAnsi="Aptos"/>
                          <w:color w:val="E97132" w:themeColor="accent2"/>
                          <w:szCs w:val="22"/>
                        </w:rPr>
                        <w:t>NSW</w:t>
                      </w:r>
                    </w:p>
                  </w:txbxContent>
                </v:textbox>
              </v:shape>
            </w:pict>
          </mc:Fallback>
        </mc:AlternateContent>
      </w:r>
      <w:r>
        <w:rPr>
          <w:noProof/>
        </w:rPr>
        <w:drawing>
          <wp:inline distT="0" distB="0" distL="0" distR="0" wp14:anchorId="0F2CD31B" wp14:editId="1760EACC">
            <wp:extent cx="5731510" cy="3176930"/>
            <wp:effectExtent l="0" t="0" r="2540" b="4445"/>
            <wp:docPr id="1131717701" name="Chart 1" descr="A chart on Commonwealth infrastructure spending by jurisdiction. The chart includes four lines that display trends in Commonwealth infrastructure funding per capita by jurisdiction over the period 2014-15 to 2023 24, measured in dollars. The first line shows Commonwealth funding received by Victoria, which increases from around $100 per person to around $300 per person over the period. The second line shows Commonwealth funding received by New South Wales, which increases from around $200 per person to around $500 per person over the period. The third line shows Commonwealth funding received by Queensland, which increase from around $200 per person to around $500 per person over the period. The fourth line shows the national average, which increases from around $200 per person to around $500 per person over the period.">
              <a:extLst xmlns:a="http://schemas.openxmlformats.org/drawingml/2006/main">
                <a:ext uri="{FF2B5EF4-FFF2-40B4-BE49-F238E27FC236}">
                  <a16:creationId xmlns:a16="http://schemas.microsoft.com/office/drawing/2014/main" id="{181D8313-4849-40F5-90B2-0EC8AFD684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54C8CCD" w14:textId="77777777" w:rsidR="00D52F02" w:rsidRPr="003813B3" w:rsidRDefault="00D52F02" w:rsidP="00F278A1">
      <w:pPr>
        <w:pStyle w:val="Caption"/>
        <w:spacing w:before="240" w:after="120"/>
      </w:pPr>
      <w:r w:rsidRPr="003813B3">
        <w:t xml:space="preserve">Source: Commonwealth Treasury, DTF </w:t>
      </w:r>
    </w:p>
    <w:p w14:paraId="66290E65" w14:textId="1D6E9D8E" w:rsidR="00D52F02" w:rsidRDefault="00D52F02" w:rsidP="0010539B">
      <w:pPr>
        <w:pStyle w:val="Caption"/>
      </w:pPr>
      <w:r w:rsidRPr="003813B3">
        <w:t>Note: Consistent with DTF these estimates include estimated equity contributions for Western Sydney Airport and Melbourne Intermodal Terminal Package</w:t>
      </w:r>
    </w:p>
    <w:p w14:paraId="7BB9B815" w14:textId="77777777" w:rsidR="00BE3130" w:rsidRDefault="00BE3130">
      <w:pPr>
        <w:rPr>
          <w:rFonts w:asciiTheme="majorHAnsi" w:eastAsiaTheme="majorEastAsia" w:hAnsiTheme="majorHAnsi" w:cstheme="majorBidi"/>
          <w:b/>
          <w:color w:val="0F4761" w:themeColor="accent1" w:themeShade="BF"/>
          <w:sz w:val="32"/>
          <w:szCs w:val="32"/>
        </w:rPr>
      </w:pPr>
      <w:r>
        <w:br w:type="page"/>
      </w:r>
    </w:p>
    <w:p w14:paraId="5F94340A" w14:textId="77777777" w:rsidR="007D02A9" w:rsidRDefault="00D9230B" w:rsidP="007D02A9">
      <w:pPr>
        <w:pStyle w:val="Heading2"/>
      </w:pPr>
      <w:bookmarkStart w:id="47" w:name="_Toc214911995"/>
      <w:r>
        <w:lastRenderedPageBreak/>
        <w:t xml:space="preserve">4.3   </w:t>
      </w:r>
      <w:r w:rsidR="00540A28" w:rsidRPr="00C442ED">
        <w:t>Overlapping responsibilities and duplication</w:t>
      </w:r>
      <w:bookmarkEnd w:id="46"/>
      <w:bookmarkEnd w:id="47"/>
    </w:p>
    <w:p w14:paraId="4D409295" w14:textId="77777777" w:rsidR="00267B34" w:rsidRDefault="00267B34" w:rsidP="00540A28">
      <w:pPr>
        <w:sectPr w:rsidR="00267B34" w:rsidSect="00AE6104">
          <w:type w:val="continuous"/>
          <w:pgSz w:w="11906" w:h="16838"/>
          <w:pgMar w:top="1440" w:right="1440" w:bottom="1440" w:left="1440" w:header="708" w:footer="708" w:gutter="0"/>
          <w:cols w:space="708"/>
          <w:docGrid w:linePitch="360"/>
          <w15:footnoteColumns w:val="1"/>
        </w:sectPr>
      </w:pPr>
    </w:p>
    <w:p w14:paraId="77DE7DD3" w14:textId="7A27AFE7" w:rsidR="00540A28" w:rsidRPr="00487562" w:rsidRDefault="00540A28" w:rsidP="00540A28">
      <w:r>
        <w:t>The Australian Constitution sets out the division of powers between the Commonwealth and states (Figure 4.2</w:t>
      </w:r>
      <w:r w:rsidR="00C240D7">
        <w:t xml:space="preserve"> </w:t>
      </w:r>
      <w:r w:rsidR="00C240D7" w:rsidRPr="00F907B1">
        <w:t>– see end of chapter</w:t>
      </w:r>
      <w:r>
        <w:t xml:space="preserve">). In practice, service delivery responsibilities are increasingly shared – and blurred – across the Commonwealth and states. Layering and duplication have grown over time due to changing community expectations, overlapping program areas, and changes in governments’ priorities. </w:t>
      </w:r>
    </w:p>
    <w:p w14:paraId="2D8E1289" w14:textId="2454408B" w:rsidR="00540A28" w:rsidRDefault="00540A28" w:rsidP="00540A28">
      <w:r>
        <w:t xml:space="preserve">Victoria has increasingly expanded its role and invested in areas that fall within the Commonwealth’s responsibility, including in health, early childhood education, aged care, and energy, to fill gaps and protect community outcomes. At times, the duplication has been negotiated through </w:t>
      </w:r>
      <w:r w:rsidR="00F31243">
        <w:t>n</w:t>
      </w:r>
      <w:r>
        <w:t xml:space="preserve">ational </w:t>
      </w:r>
      <w:r w:rsidR="00F31243">
        <w:t>p</w:t>
      </w:r>
      <w:r>
        <w:t xml:space="preserve">artnership </w:t>
      </w:r>
      <w:r w:rsidR="00F31243">
        <w:t>a</w:t>
      </w:r>
      <w:r>
        <w:t xml:space="preserve">greements. Victoria has also elected to go beyond Commonwealth-State funding agreements to fund primarily Commonwealth responsibilities in Victoria. </w:t>
      </w:r>
    </w:p>
    <w:p w14:paraId="3E69CBD7" w14:textId="1125461C" w:rsidR="00540A28" w:rsidRDefault="00540A28" w:rsidP="00540A28">
      <w:r>
        <w:t xml:space="preserve">Victoria has made these decisions to address short-term service gaps left by the Commonwealth and to respond to critical community needs. Victoria has also at times identified an opportunity to improve services in an area of Commonwealth responsibility. Such early mover actions have not routinely been recognised and supported through future funding arrangements. The pattern of taking on Commonwealth responsibilities has long-term implications for Victoria’s fiscal sustainability and governance clarity.  </w:t>
      </w:r>
    </w:p>
    <w:p w14:paraId="7BBDC82D" w14:textId="77777777" w:rsidR="00540A28" w:rsidRDefault="00540A28" w:rsidP="00540A28">
      <w:r w:rsidRPr="00444D91">
        <w:t xml:space="preserve">National partnerships help the Commonwealth and states to work effectively together. However, funding outside these partnerships </w:t>
      </w:r>
      <w:r>
        <w:t xml:space="preserve">contributes to </w:t>
      </w:r>
      <w:r>
        <w:t>confused responsibilities between governments. This undermines service delivery and stymies reform.</w:t>
      </w:r>
    </w:p>
    <w:p w14:paraId="3AB554B8" w14:textId="6D113D57" w:rsidR="00540A28" w:rsidRDefault="00540A28" w:rsidP="00540A28">
      <w:r>
        <w:t>Again, health is a prim</w:t>
      </w:r>
      <w:r w:rsidR="001A522E">
        <w:t>e</w:t>
      </w:r>
      <w:r>
        <w:t xml:space="preserve"> example. Public hospital funding is governed by the NHRA and there are important changes needed to be sure Victoria receives appropriate funding for its population size and to operate quality services. </w:t>
      </w:r>
    </w:p>
    <w:p w14:paraId="597FDFBF" w14:textId="5B490AD3" w:rsidR="00540A28" w:rsidRDefault="00540A28" w:rsidP="00540A28">
      <w:r>
        <w:t xml:space="preserve">In addition, funding and service gaps in areas of Commonwealth responsibility increase pressure on state hospital services. Hospital demand is linked to primary healthcare – a Commonwealth responsibility. </w:t>
      </w:r>
      <w:r w:rsidRPr="00895DF2">
        <w:t xml:space="preserve">Bulk billing rates have declined, and the share of Victorians avoiding </w:t>
      </w:r>
      <w:r w:rsidR="00666205">
        <w:t>general practitioner (</w:t>
      </w:r>
      <w:r w:rsidRPr="00895DF2">
        <w:t>GP</w:t>
      </w:r>
      <w:r w:rsidR="00666205">
        <w:t>)</w:t>
      </w:r>
      <w:r w:rsidRPr="00895DF2">
        <w:t xml:space="preserve"> visits due</w:t>
      </w:r>
      <w:r w:rsidR="00D17CF6">
        <w:t> </w:t>
      </w:r>
      <w:r w:rsidRPr="00895DF2">
        <w:t>to cost has risen from 2.</w:t>
      </w:r>
      <w:r w:rsidR="00EF0F54">
        <w:t>2</w:t>
      </w:r>
      <w:r>
        <w:t> </w:t>
      </w:r>
      <w:r w:rsidRPr="00895DF2">
        <w:t>per cent in 2020–21 to</w:t>
      </w:r>
      <w:r w:rsidR="00D01C5F">
        <w:t xml:space="preserve"> </w:t>
      </w:r>
      <w:r w:rsidR="00EF0F54">
        <w:t>7</w:t>
      </w:r>
      <w:r w:rsidRPr="00895DF2">
        <w:t>.</w:t>
      </w:r>
      <w:r w:rsidR="00EF0F54">
        <w:t>3</w:t>
      </w:r>
      <w:r w:rsidRPr="00895DF2">
        <w:t xml:space="preserve"> per cent in 2023–24. This</w:t>
      </w:r>
      <w:r w:rsidRPr="00895DF2" w:rsidDel="000912EA">
        <w:t xml:space="preserve"> </w:t>
      </w:r>
      <w:r w:rsidRPr="00895DF2">
        <w:t>puts pressure on the state’s public hospital</w:t>
      </w:r>
      <w:r w:rsidR="001133A2">
        <w:t> </w:t>
      </w:r>
      <w:r w:rsidRPr="00895DF2">
        <w:t xml:space="preserve">system. </w:t>
      </w:r>
      <w:r w:rsidRPr="00785DB8">
        <w:t>The Commonwealth recently announced measures to increase</w:t>
      </w:r>
      <w:r w:rsidR="001133A2">
        <w:t> </w:t>
      </w:r>
      <w:r w:rsidRPr="00785DB8">
        <w:t>bulk billing rates, but these are yet</w:t>
      </w:r>
      <w:r w:rsidR="001133A2">
        <w:t> </w:t>
      </w:r>
      <w:r w:rsidRPr="00785DB8">
        <w:t>to be implemented.</w:t>
      </w:r>
    </w:p>
    <w:p w14:paraId="19B7987A" w14:textId="09E2D8E4" w:rsidR="00540A28" w:rsidRDefault="00540A28" w:rsidP="00540A28">
      <w:r>
        <w:t xml:space="preserve">The other large area of </w:t>
      </w:r>
      <w:r w:rsidRPr="002C2921">
        <w:t>joint responsibility is disability</w:t>
      </w:r>
      <w:r>
        <w:t xml:space="preserve"> services. States are now spending far more in real terms on disability services than before the introduction of the National Disability Insurance Scheme (NDIS).  Further reform is required, including an agreement around foundational supports which does not penalise states and territories </w:t>
      </w:r>
      <w:r w:rsidRPr="002C20F8">
        <w:t>by not recognising</w:t>
      </w:r>
      <w:r>
        <w:t xml:space="preserve"> the additional investments they are already making in disability support. </w:t>
      </w:r>
    </w:p>
    <w:p w14:paraId="33613DFD" w14:textId="06290783" w:rsidR="00540A28" w:rsidRDefault="00540A28" w:rsidP="00540A28">
      <w:r w:rsidRPr="00FE3A29">
        <w:t xml:space="preserve">Ongoing funding arrangements to meet increasing NDIS costs also need to be agreed. Commonwealth payments to the states and territories from </w:t>
      </w:r>
      <w:r w:rsidR="001A522E">
        <w:t xml:space="preserve">the </w:t>
      </w:r>
      <w:proofErr w:type="spellStart"/>
      <w:r w:rsidR="001A522E">
        <w:t>DisabilityCare</w:t>
      </w:r>
      <w:proofErr w:type="spellEnd"/>
      <w:r w:rsidR="001A522E">
        <w:t xml:space="preserve"> Australia Fund (</w:t>
      </w:r>
      <w:r w:rsidRPr="00FE3A29">
        <w:t>DCAF</w:t>
      </w:r>
      <w:r w:rsidR="001A522E">
        <w:t>)</w:t>
      </w:r>
      <w:r>
        <w:t xml:space="preserve"> </w:t>
      </w:r>
      <w:r>
        <w:lastRenderedPageBreak/>
        <w:t>ceased in 2024 with the expiry of the</w:t>
      </w:r>
      <w:r w:rsidRPr="00FE3A29">
        <w:t xml:space="preserve"> </w:t>
      </w:r>
      <w:r w:rsidRPr="00FE3A29">
        <w:rPr>
          <w:i/>
        </w:rPr>
        <w:t xml:space="preserve">National Partnership on </w:t>
      </w:r>
      <w:proofErr w:type="spellStart"/>
      <w:r w:rsidRPr="00722586">
        <w:rPr>
          <w:i/>
        </w:rPr>
        <w:t>DisabilityCare</w:t>
      </w:r>
      <w:proofErr w:type="spellEnd"/>
      <w:r w:rsidRPr="00FE3A29">
        <w:rPr>
          <w:i/>
        </w:rPr>
        <w:t xml:space="preserve"> Australia Fund Payments</w:t>
      </w:r>
      <w:r>
        <w:t xml:space="preserve">. </w:t>
      </w:r>
      <w:r w:rsidRPr="00FE3A29">
        <w:t>Established</w:t>
      </w:r>
      <w:r>
        <w:t xml:space="preserve"> in 2014</w:t>
      </w:r>
      <w:r w:rsidRPr="00FE3A29">
        <w:t xml:space="preserve"> to </w:t>
      </w:r>
      <w:r>
        <w:t>reimburse all governments for NDIS expenditure, credits to the DCAF are funded from the ongoing Commonwealth Medicare Levy increase.</w:t>
      </w:r>
      <w:r w:rsidRPr="00FE3A29">
        <w:t xml:space="preserve"> </w:t>
      </w:r>
      <w:r>
        <w:t>A new</w:t>
      </w:r>
      <w:r>
        <w:rPr>
          <w:i/>
          <w:iCs/>
        </w:rPr>
        <w:t xml:space="preserve"> </w:t>
      </w:r>
      <w:r>
        <w:t xml:space="preserve">National Partnership on </w:t>
      </w:r>
      <w:proofErr w:type="spellStart"/>
      <w:r>
        <w:t>DisabilityCare</w:t>
      </w:r>
      <w:proofErr w:type="spellEnd"/>
      <w:r>
        <w:t xml:space="preserve"> Australia should be established and states and territories should continue to receive funding from the</w:t>
      </w:r>
      <w:r w:rsidR="00267B34">
        <w:t> </w:t>
      </w:r>
      <w:r>
        <w:t>DCAF.</w:t>
      </w:r>
    </w:p>
    <w:p w14:paraId="3493D932" w14:textId="4D41DE46" w:rsidR="00540A28" w:rsidRDefault="00540A28" w:rsidP="00540A28">
      <w:r>
        <w:t>In other policy areas, the Commonwealth Government has tied funding to detail in agreements which reach into service delivery and add to reporting and administrative burden.</w:t>
      </w:r>
      <w:r w:rsidRPr="00C6234D">
        <w:rPr>
          <w:rFonts w:eastAsia="Times New Roman"/>
          <w:szCs w:val="22"/>
        </w:rPr>
        <w:t xml:space="preserve"> </w:t>
      </w:r>
      <w:r w:rsidR="00C6234D" w:rsidRPr="00E72D4A">
        <w:t>The National School Reform</w:t>
      </w:r>
      <w:r w:rsidRPr="00E72D4A">
        <w:t xml:space="preserve"> Agreement </w:t>
      </w:r>
      <w:r w:rsidR="00E72D4A" w:rsidRPr="00E72D4A">
        <w:t>(</w:t>
      </w:r>
      <w:r w:rsidR="00C97917" w:rsidRPr="00E72D4A">
        <w:t>2018-2024</w:t>
      </w:r>
      <w:r w:rsidR="00E72D4A" w:rsidRPr="00E72D4A">
        <w:t xml:space="preserve">) </w:t>
      </w:r>
      <w:r w:rsidRPr="00E72D4A">
        <w:t xml:space="preserve">is an </w:t>
      </w:r>
      <w:r w:rsidRPr="00E72D4A">
        <w:t xml:space="preserve">example of this: areas such as teacher </w:t>
      </w:r>
      <w:r w:rsidR="00C6234D" w:rsidRPr="00E72D4A">
        <w:t>practice and professional development</w:t>
      </w:r>
      <w:r w:rsidRPr="00E72D4A">
        <w:t xml:space="preserve"> that are the responsibility of the states and territories are </w:t>
      </w:r>
      <w:r w:rsidR="00C6234D" w:rsidRPr="00E72D4A">
        <w:t xml:space="preserve">included </w:t>
      </w:r>
      <w:r w:rsidRPr="00E72D4A">
        <w:t>in the agreement.</w:t>
      </w:r>
      <w:r>
        <w:t xml:space="preserve"> These types of requirements not only add delivery costs to the agreements but are not focused on what really matters:</w:t>
      </w:r>
      <w:r w:rsidDel="004D28FD">
        <w:t xml:space="preserve"> </w:t>
      </w:r>
      <w:r>
        <w:t xml:space="preserve">outcomes. The key question should be whether schools </w:t>
      </w:r>
      <w:r w:rsidR="00722586">
        <w:t xml:space="preserve">and students </w:t>
      </w:r>
      <w:r>
        <w:t>are performing better.</w:t>
      </w:r>
      <w:r w:rsidR="00902E3E">
        <w:t> </w:t>
      </w:r>
      <w:r>
        <w:t>Commonwealth efforts to micromanage funding and reach into service delivery are</w:t>
      </w:r>
      <w:r w:rsidR="006172D4">
        <w:t> </w:t>
      </w:r>
      <w:r>
        <w:t>antithetical to good Commonwealth</w:t>
      </w:r>
      <w:r w:rsidR="006172D4">
        <w:noBreakHyphen/>
      </w:r>
      <w:r w:rsidR="00200CC7">
        <w:t>S</w:t>
      </w:r>
      <w:r>
        <w:t>tate</w:t>
      </w:r>
      <w:r w:rsidR="006172D4">
        <w:t> </w:t>
      </w:r>
      <w:r>
        <w:t xml:space="preserve">policy. </w:t>
      </w:r>
    </w:p>
    <w:p w14:paraId="2700152E" w14:textId="77777777" w:rsidR="00540A28" w:rsidRDefault="00540A28" w:rsidP="00540A28">
      <w:r>
        <w:t>Negotiations over these agreements and others are an opportunity to address duplication and administrative burden, improve coordination and pursue reform.</w:t>
      </w:r>
    </w:p>
    <w:p w14:paraId="41442B01" w14:textId="77777777" w:rsidR="00267B34" w:rsidRDefault="00267B34" w:rsidP="007D02A9">
      <w:pPr>
        <w:pStyle w:val="Heading2"/>
        <w:sectPr w:rsidR="00267B34" w:rsidSect="00267B34">
          <w:type w:val="continuous"/>
          <w:pgSz w:w="11906" w:h="16838"/>
          <w:pgMar w:top="1440" w:right="1440" w:bottom="1440" w:left="1440" w:header="708" w:footer="708" w:gutter="0"/>
          <w:cols w:num="2" w:space="708"/>
          <w:docGrid w:linePitch="360"/>
          <w15:footnoteColumns w:val="1"/>
        </w:sectPr>
      </w:pPr>
      <w:bookmarkStart w:id="48" w:name="_Toc202523976"/>
    </w:p>
    <w:p w14:paraId="2C4CDEBD" w14:textId="77777777" w:rsidR="007D02A9" w:rsidRDefault="00DF7663" w:rsidP="007D02A9">
      <w:pPr>
        <w:pStyle w:val="Heading2"/>
      </w:pPr>
      <w:bookmarkStart w:id="49" w:name="_Toc214911996"/>
      <w:r>
        <w:t xml:space="preserve">4.4   </w:t>
      </w:r>
      <w:r w:rsidR="00540A28">
        <w:t>Reform of Commonwealth-State settings</w:t>
      </w:r>
      <w:bookmarkEnd w:id="48"/>
      <w:bookmarkEnd w:id="49"/>
    </w:p>
    <w:p w14:paraId="24F71381" w14:textId="77777777" w:rsidR="00AB6832" w:rsidRDefault="00AB6832" w:rsidP="00CC6610">
      <w:pPr>
        <w:pStyle w:val="Heading3"/>
        <w:spacing w:before="0"/>
        <w:rPr>
          <w:szCs w:val="26"/>
        </w:rPr>
        <w:sectPr w:rsidR="00AB6832" w:rsidSect="00AE6104">
          <w:type w:val="continuous"/>
          <w:pgSz w:w="11906" w:h="16838"/>
          <w:pgMar w:top="1440" w:right="1440" w:bottom="1440" w:left="1440" w:header="708" w:footer="708" w:gutter="0"/>
          <w:cols w:space="708"/>
          <w:docGrid w:linePitch="360"/>
          <w15:footnoteColumns w:val="1"/>
        </w:sectPr>
      </w:pPr>
    </w:p>
    <w:p w14:paraId="4AF0E7CD" w14:textId="15EC7B8F" w:rsidR="00CC6610" w:rsidRPr="00CC6610" w:rsidRDefault="00540A28" w:rsidP="00CC6610">
      <w:pPr>
        <w:pStyle w:val="Heading3"/>
        <w:spacing w:before="0"/>
      </w:pPr>
      <w:r w:rsidRPr="00CC6610">
        <w:rPr>
          <w:szCs w:val="26"/>
        </w:rPr>
        <w:t>Identifying and transitioning out of overlapping programs</w:t>
      </w:r>
    </w:p>
    <w:p w14:paraId="475E4424" w14:textId="0B580628" w:rsidR="00540A28" w:rsidRPr="002B4263" w:rsidRDefault="00540A28" w:rsidP="00CC6610">
      <w:r>
        <w:t>It is prudent for Victoria to</w:t>
      </w:r>
      <w:r w:rsidRPr="00830680">
        <w:t xml:space="preserve"> identify its current funded </w:t>
      </w:r>
      <w:r w:rsidRPr="00CC6610">
        <w:rPr>
          <w:lang w:val="en-GB"/>
        </w:rPr>
        <w:t xml:space="preserve">programs that overlap with Commonwealth responsibilities and develop options to withdraw or divest from these programs. This is timely as the Commonwealth Government has made recent commitments to </w:t>
      </w:r>
      <w:r w:rsidR="00815B2C" w:rsidRPr="00CC6610">
        <w:rPr>
          <w:lang w:val="en-GB"/>
        </w:rPr>
        <w:t xml:space="preserve">increase </w:t>
      </w:r>
      <w:r w:rsidRPr="00CC6610">
        <w:rPr>
          <w:lang w:val="en-GB"/>
        </w:rPr>
        <w:t>invest</w:t>
      </w:r>
      <w:r w:rsidR="002A6779" w:rsidRPr="00CC6610">
        <w:rPr>
          <w:lang w:val="en-GB"/>
        </w:rPr>
        <w:t>ment</w:t>
      </w:r>
      <w:r w:rsidRPr="00CC6610">
        <w:rPr>
          <w:lang w:val="en-GB"/>
        </w:rPr>
        <w:t xml:space="preserve"> in some areas for which it is responsible. </w:t>
      </w:r>
      <w:r w:rsidRPr="002B4263">
        <w:t>Examples of</w:t>
      </w:r>
      <w:r w:rsidRPr="002B4263" w:rsidDel="00033CE4">
        <w:t xml:space="preserve"> </w:t>
      </w:r>
      <w:r w:rsidRPr="002B4263">
        <w:t>Victoria expanding into Commonwealth responsibilities include:</w:t>
      </w:r>
    </w:p>
    <w:p w14:paraId="0668EC2D" w14:textId="6DEC30B6" w:rsidR="00540A28" w:rsidRPr="002B4263" w:rsidRDefault="00540A28" w:rsidP="00D207B3">
      <w:pPr>
        <w:pStyle w:val="ListParagraph"/>
        <w:numPr>
          <w:ilvl w:val="0"/>
          <w:numId w:val="22"/>
        </w:numPr>
        <w:contextualSpacing w:val="0"/>
      </w:pPr>
      <w:r w:rsidRPr="002B4263">
        <w:t xml:space="preserve">funding Urgent Care Clinics </w:t>
      </w:r>
      <w:r w:rsidR="0044469E">
        <w:t>(UCCs)</w:t>
      </w:r>
      <w:r w:rsidRPr="002B4263">
        <w:t xml:space="preserve"> to alleviate pressure on hospital emergency departments and delivering a Doctors in Secondary </w:t>
      </w:r>
      <w:r w:rsidRPr="002B4263">
        <w:t>Schools program in areas with high</w:t>
      </w:r>
      <w:r w:rsidR="001E69D9">
        <w:t> </w:t>
      </w:r>
      <w:r w:rsidRPr="002B4263">
        <w:t>levels of disadvantage and low</w:t>
      </w:r>
      <w:r w:rsidR="0023028D">
        <w:t> </w:t>
      </w:r>
      <w:r w:rsidRPr="002B4263">
        <w:t xml:space="preserve">GP access </w:t>
      </w:r>
    </w:p>
    <w:p w14:paraId="02393EB0" w14:textId="77777777" w:rsidR="00540A28" w:rsidRPr="002B4263" w:rsidRDefault="00540A28" w:rsidP="00D207B3">
      <w:pPr>
        <w:pStyle w:val="ListParagraph"/>
        <w:numPr>
          <w:ilvl w:val="0"/>
          <w:numId w:val="22"/>
        </w:numPr>
        <w:contextualSpacing w:val="0"/>
      </w:pPr>
      <w:r w:rsidRPr="002B4263">
        <w:t xml:space="preserve">building and operating early learning and childcare centres </w:t>
      </w:r>
    </w:p>
    <w:p w14:paraId="69268C39" w14:textId="2B30AA0E" w:rsidR="00540A28" w:rsidRPr="002B4263" w:rsidRDefault="00540A28" w:rsidP="00D207B3">
      <w:pPr>
        <w:pStyle w:val="ListParagraph"/>
        <w:numPr>
          <w:ilvl w:val="0"/>
          <w:numId w:val="22"/>
        </w:numPr>
        <w:contextualSpacing w:val="0"/>
      </w:pPr>
      <w:r w:rsidRPr="002B4263">
        <w:t xml:space="preserve">establishing </w:t>
      </w:r>
      <w:proofErr w:type="spellStart"/>
      <w:r w:rsidRPr="002B4263">
        <w:t>VicGrid</w:t>
      </w:r>
      <w:proofErr w:type="spellEnd"/>
      <w:r w:rsidRPr="002B4263">
        <w:t xml:space="preserve"> to take over transmission planning from </w:t>
      </w:r>
      <w:r w:rsidR="008D59AC">
        <w:t xml:space="preserve">the </w:t>
      </w:r>
      <w:r w:rsidR="002F6054">
        <w:t>Australian Energy Market Operator</w:t>
      </w:r>
      <w:r w:rsidRPr="002B4263">
        <w:t xml:space="preserve"> for faster, locally focused development of Renewable Energy</w:t>
      </w:r>
      <w:r w:rsidR="003233D7">
        <w:t> </w:t>
      </w:r>
      <w:r w:rsidRPr="002B4263">
        <w:t>Zones</w:t>
      </w:r>
    </w:p>
    <w:p w14:paraId="69A42F1E" w14:textId="0D1AECC5" w:rsidR="003813B3" w:rsidRPr="00C84968" w:rsidRDefault="00540A28" w:rsidP="00540A28">
      <w:pPr>
        <w:pStyle w:val="ListParagraph"/>
        <w:numPr>
          <w:ilvl w:val="0"/>
          <w:numId w:val="22"/>
        </w:numPr>
        <w:contextualSpacing w:val="0"/>
      </w:pPr>
      <w:r w:rsidRPr="002B4263">
        <w:t>funding aged care residential beds.</w:t>
      </w:r>
    </w:p>
    <w:p w14:paraId="35225F48" w14:textId="286476A1" w:rsidR="00540A28" w:rsidRDefault="00540A28" w:rsidP="00540A28">
      <w:r w:rsidRPr="00830680">
        <w:rPr>
          <w:rFonts w:eastAsia="Aptos" w:cs="Aptos"/>
          <w:lang w:val="en-GB"/>
        </w:rPr>
        <w:t xml:space="preserve">Box </w:t>
      </w:r>
      <w:r>
        <w:rPr>
          <w:rFonts w:eastAsia="Aptos" w:cs="Aptos"/>
          <w:lang w:val="en-GB"/>
        </w:rPr>
        <w:t>4</w:t>
      </w:r>
      <w:r w:rsidRPr="00830680">
        <w:rPr>
          <w:rFonts w:eastAsia="Aptos" w:cs="Aptos"/>
          <w:lang w:val="en-GB"/>
        </w:rPr>
        <w:t>.</w:t>
      </w:r>
      <w:r w:rsidR="00E703E2">
        <w:rPr>
          <w:rFonts w:eastAsia="Aptos" w:cs="Aptos"/>
          <w:lang w:val="en-GB"/>
        </w:rPr>
        <w:t>2</w:t>
      </w:r>
      <w:r w:rsidRPr="00830680">
        <w:rPr>
          <w:rFonts w:eastAsia="Aptos" w:cs="Aptos"/>
          <w:lang w:val="en-GB"/>
        </w:rPr>
        <w:t xml:space="preserve"> provides an example of the opportunity to </w:t>
      </w:r>
      <w:r>
        <w:rPr>
          <w:rFonts w:eastAsia="Aptos" w:cs="Aptos"/>
          <w:lang w:val="en-GB"/>
        </w:rPr>
        <w:t>transition</w:t>
      </w:r>
      <w:r w:rsidRPr="00830680">
        <w:rPr>
          <w:rFonts w:eastAsia="Aptos" w:cs="Aptos"/>
          <w:lang w:val="en-GB"/>
        </w:rPr>
        <w:t xml:space="preserve"> out of </w:t>
      </w:r>
      <w:r>
        <w:rPr>
          <w:rFonts w:eastAsia="Aptos" w:cs="Aptos"/>
          <w:lang w:val="en-GB"/>
        </w:rPr>
        <w:t>a</w:t>
      </w:r>
      <w:r w:rsidRPr="00830680">
        <w:rPr>
          <w:rFonts w:eastAsia="Aptos" w:cs="Aptos"/>
          <w:lang w:val="en-GB"/>
        </w:rPr>
        <w:t xml:space="preserve"> primary care program</w:t>
      </w:r>
      <w:r w:rsidRPr="00830680">
        <w:t>.</w:t>
      </w:r>
    </w:p>
    <w:p w14:paraId="35B41195" w14:textId="77777777" w:rsidR="00AB6832" w:rsidRDefault="00AB6832">
      <w:pPr>
        <w:sectPr w:rsidR="00AB6832" w:rsidSect="00AB6832">
          <w:type w:val="continuous"/>
          <w:pgSz w:w="11906" w:h="16838"/>
          <w:pgMar w:top="1440" w:right="1440" w:bottom="1440" w:left="1440" w:header="708" w:footer="708" w:gutter="0"/>
          <w:cols w:num="2" w:space="708"/>
          <w:docGrid w:linePitch="360"/>
          <w15:footnoteColumns w:val="1"/>
        </w:sectPr>
      </w:pPr>
    </w:p>
    <w:p w14:paraId="06640670" w14:textId="77777777" w:rsidR="003233D7" w:rsidRDefault="003233D7">
      <w:r>
        <w:br w:type="page"/>
      </w:r>
    </w:p>
    <w:tbl>
      <w:tblPr>
        <w:tblStyle w:val="TableGrid"/>
        <w:tblW w:w="0" w:type="auto"/>
        <w:shd w:val="clear" w:color="auto" w:fill="E7E6E6"/>
        <w:tblLook w:val="04A0" w:firstRow="1" w:lastRow="0" w:firstColumn="1" w:lastColumn="0" w:noHBand="0" w:noVBand="1"/>
      </w:tblPr>
      <w:tblGrid>
        <w:gridCol w:w="9016"/>
      </w:tblGrid>
      <w:tr w:rsidR="00540A28" w14:paraId="3B835F7B" w14:textId="77777777" w:rsidTr="00F65D9B">
        <w:tc>
          <w:tcPr>
            <w:tcW w:w="9016" w:type="dxa"/>
            <w:tcBorders>
              <w:top w:val="nil"/>
              <w:left w:val="nil"/>
              <w:bottom w:val="nil"/>
              <w:right w:val="nil"/>
            </w:tcBorders>
            <w:shd w:val="clear" w:color="auto" w:fill="E7E6E6"/>
          </w:tcPr>
          <w:p w14:paraId="02AE1FBB" w14:textId="209248AA" w:rsidR="00540A28" w:rsidRDefault="00540A28" w:rsidP="008F5BBE">
            <w:pPr>
              <w:spacing w:before="120" w:after="160" w:line="278" w:lineRule="auto"/>
              <w:rPr>
                <w:b/>
                <w:bCs/>
              </w:rPr>
            </w:pPr>
            <w:r w:rsidRPr="005678DE">
              <w:rPr>
                <w:rFonts w:eastAsia="Aptos" w:cs="Aptos"/>
                <w:b/>
                <w:bCs/>
                <w:lang w:val="en-GB"/>
              </w:rPr>
              <w:lastRenderedPageBreak/>
              <w:t xml:space="preserve">Box </w:t>
            </w:r>
            <w:r>
              <w:rPr>
                <w:rFonts w:eastAsia="Aptos" w:cs="Aptos"/>
                <w:b/>
                <w:bCs/>
                <w:lang w:val="en-GB"/>
              </w:rPr>
              <w:t>4</w:t>
            </w:r>
            <w:r w:rsidRPr="005678DE">
              <w:rPr>
                <w:rFonts w:eastAsia="Aptos" w:cs="Aptos"/>
                <w:b/>
                <w:bCs/>
                <w:lang w:val="en-GB"/>
              </w:rPr>
              <w:t>.</w:t>
            </w:r>
            <w:r w:rsidR="00E703E2">
              <w:rPr>
                <w:rFonts w:eastAsia="Aptos" w:cs="Aptos"/>
                <w:b/>
                <w:bCs/>
                <w:lang w:val="en-GB"/>
              </w:rPr>
              <w:t>2</w:t>
            </w:r>
            <w:r w:rsidRPr="005678DE">
              <w:rPr>
                <w:rFonts w:eastAsia="Aptos" w:cs="Aptos"/>
                <w:b/>
                <w:bCs/>
                <w:lang w:val="en-GB"/>
              </w:rPr>
              <w:t xml:space="preserve">: </w:t>
            </w:r>
            <w:r>
              <w:rPr>
                <w:rFonts w:eastAsia="Aptos" w:cs="Aptos"/>
                <w:b/>
                <w:bCs/>
                <w:lang w:val="en-GB"/>
              </w:rPr>
              <w:t>Transitioning out of primary health care – Urgent Care Clinics</w:t>
            </w:r>
          </w:p>
          <w:p w14:paraId="6D0402DA" w14:textId="5B27A830" w:rsidR="00540A28" w:rsidRPr="002D2B38" w:rsidRDefault="00540A28" w:rsidP="00352512">
            <w:pPr>
              <w:spacing w:after="160" w:line="278" w:lineRule="auto"/>
              <w:rPr>
                <w:rFonts w:ascii="Aptos" w:eastAsia="Aptos" w:hAnsi="Aptos" w:cs="Aptos"/>
              </w:rPr>
            </w:pPr>
            <w:r>
              <w:rPr>
                <w:rFonts w:ascii="Aptos" w:eastAsia="Aptos" w:hAnsi="Aptos" w:cs="Aptos"/>
                <w:color w:val="000000" w:themeColor="text1"/>
              </w:rPr>
              <w:t xml:space="preserve">The </w:t>
            </w:r>
            <w:r w:rsidRPr="79E46560">
              <w:rPr>
                <w:rFonts w:ascii="Aptos" w:eastAsia="Aptos" w:hAnsi="Aptos" w:cs="Aptos"/>
                <w:color w:val="000000" w:themeColor="text1"/>
              </w:rPr>
              <w:t>Victoria</w:t>
            </w:r>
            <w:r>
              <w:rPr>
                <w:rFonts w:ascii="Aptos" w:eastAsia="Aptos" w:hAnsi="Aptos" w:cs="Aptos"/>
                <w:color w:val="000000" w:themeColor="text1"/>
              </w:rPr>
              <w:t xml:space="preserve">n Government has established 29 </w:t>
            </w:r>
            <w:r w:rsidRPr="79E46560">
              <w:rPr>
                <w:rFonts w:ascii="Aptos" w:eastAsia="Aptos" w:hAnsi="Aptos" w:cs="Aptos"/>
                <w:color w:val="000000" w:themeColor="text1"/>
              </w:rPr>
              <w:t>UCC</w:t>
            </w:r>
            <w:r>
              <w:rPr>
                <w:rFonts w:ascii="Aptos" w:eastAsia="Aptos" w:hAnsi="Aptos" w:cs="Aptos"/>
                <w:color w:val="000000" w:themeColor="text1"/>
              </w:rPr>
              <w:t>s across the state. UCC</w:t>
            </w:r>
            <w:r w:rsidRPr="003C2331">
              <w:rPr>
                <w:rFonts w:ascii="Aptos" w:eastAsia="Aptos" w:hAnsi="Aptos" w:cs="Aptos"/>
                <w:color w:val="000000" w:themeColor="text1"/>
              </w:rPr>
              <w:t xml:space="preserve">s </w:t>
            </w:r>
            <w:r>
              <w:rPr>
                <w:rFonts w:ascii="Aptos" w:eastAsia="Aptos" w:hAnsi="Aptos" w:cs="Aptos"/>
                <w:color w:val="000000" w:themeColor="text1"/>
              </w:rPr>
              <w:t>are a primary</w:t>
            </w:r>
            <w:r w:rsidR="0023028D">
              <w:rPr>
                <w:rFonts w:ascii="Aptos" w:eastAsia="Aptos" w:hAnsi="Aptos" w:cs="Aptos"/>
                <w:color w:val="000000" w:themeColor="text1"/>
              </w:rPr>
              <w:t> </w:t>
            </w:r>
            <w:r>
              <w:rPr>
                <w:rFonts w:ascii="Aptos" w:eastAsia="Aptos" w:hAnsi="Aptos" w:cs="Aptos"/>
                <w:color w:val="000000" w:themeColor="text1"/>
              </w:rPr>
              <w:t xml:space="preserve">health care service, </w:t>
            </w:r>
            <w:r w:rsidRPr="003C2331">
              <w:rPr>
                <w:rFonts w:ascii="Aptos" w:eastAsia="Aptos" w:hAnsi="Aptos" w:cs="Aptos"/>
                <w:color w:val="000000" w:themeColor="text1"/>
              </w:rPr>
              <w:t>provid</w:t>
            </w:r>
            <w:r>
              <w:rPr>
                <w:rFonts w:ascii="Aptos" w:eastAsia="Aptos" w:hAnsi="Aptos" w:cs="Aptos"/>
                <w:color w:val="000000" w:themeColor="text1"/>
              </w:rPr>
              <w:t>ing</w:t>
            </w:r>
            <w:r w:rsidRPr="003C2331">
              <w:rPr>
                <w:rFonts w:ascii="Aptos" w:eastAsia="Aptos" w:hAnsi="Aptos" w:cs="Aptos"/>
                <w:color w:val="000000" w:themeColor="text1"/>
              </w:rPr>
              <w:t xml:space="preserve"> GP-led care to people who need urgent care but not</w:t>
            </w:r>
            <w:r w:rsidR="0023028D">
              <w:rPr>
                <w:rFonts w:ascii="Aptos" w:eastAsia="Aptos" w:hAnsi="Aptos" w:cs="Aptos"/>
                <w:color w:val="000000" w:themeColor="text1"/>
              </w:rPr>
              <w:t> </w:t>
            </w:r>
            <w:r w:rsidRPr="003C2331">
              <w:rPr>
                <w:rFonts w:ascii="Aptos" w:eastAsia="Aptos" w:hAnsi="Aptos" w:cs="Aptos"/>
                <w:color w:val="000000" w:themeColor="text1"/>
              </w:rPr>
              <w:t>an</w:t>
            </w:r>
            <w:r w:rsidR="0023028D">
              <w:rPr>
                <w:rFonts w:ascii="Aptos" w:eastAsia="Aptos" w:hAnsi="Aptos" w:cs="Aptos"/>
                <w:color w:val="000000" w:themeColor="text1"/>
              </w:rPr>
              <w:t> </w:t>
            </w:r>
            <w:r w:rsidRPr="003C2331">
              <w:rPr>
                <w:rFonts w:ascii="Aptos" w:eastAsia="Aptos" w:hAnsi="Aptos" w:cs="Aptos"/>
                <w:color w:val="000000" w:themeColor="text1"/>
              </w:rPr>
              <w:t xml:space="preserve">emergency response. They are run through Priority Primary Care </w:t>
            </w:r>
            <w:proofErr w:type="spellStart"/>
            <w:r w:rsidRPr="003C2331">
              <w:rPr>
                <w:rFonts w:ascii="Aptos" w:eastAsia="Aptos" w:hAnsi="Aptos" w:cs="Aptos"/>
                <w:color w:val="000000" w:themeColor="text1"/>
              </w:rPr>
              <w:t>Centres</w:t>
            </w:r>
            <w:proofErr w:type="spellEnd"/>
            <w:r w:rsidRPr="003C2331">
              <w:rPr>
                <w:rFonts w:ascii="Aptos" w:eastAsia="Aptos" w:hAnsi="Aptos" w:cs="Aptos"/>
                <w:color w:val="000000" w:themeColor="text1"/>
              </w:rPr>
              <w:t xml:space="preserve"> and Medicare Urgent Care Clinics.</w:t>
            </w:r>
            <w:r>
              <w:rPr>
                <w:rFonts w:ascii="Aptos" w:eastAsia="Aptos" w:hAnsi="Aptos" w:cs="Aptos"/>
                <w:color w:val="000000" w:themeColor="text1"/>
              </w:rPr>
              <w:t xml:space="preserve"> The Victorian Government funds 12 UCCs and the Commonwealth funds 17. NSW</w:t>
            </w:r>
            <w:r w:rsidDel="00924E52">
              <w:rPr>
                <w:rFonts w:ascii="Aptos" w:eastAsia="Aptos" w:hAnsi="Aptos" w:cs="Aptos"/>
                <w:color w:val="000000" w:themeColor="text1"/>
              </w:rPr>
              <w:t xml:space="preserve"> </w:t>
            </w:r>
            <w:r>
              <w:rPr>
                <w:rFonts w:ascii="Aptos" w:eastAsia="Aptos" w:hAnsi="Aptos" w:cs="Aptos"/>
                <w:color w:val="000000" w:themeColor="text1"/>
              </w:rPr>
              <w:t>also funds and operates urgent care services, with some Commonwealth funding.</w:t>
            </w:r>
            <w:r w:rsidRPr="002D2B38">
              <w:rPr>
                <w:rFonts w:ascii="Aptos" w:eastAsia="Aptos" w:hAnsi="Aptos" w:cs="Aptos"/>
              </w:rPr>
              <w:t xml:space="preserve"> </w:t>
            </w:r>
          </w:p>
          <w:p w14:paraId="4DEE4EB2" w14:textId="77777777" w:rsidR="00540A28" w:rsidRDefault="00540A28" w:rsidP="00352512">
            <w:pPr>
              <w:spacing w:after="160" w:line="278" w:lineRule="auto"/>
              <w:rPr>
                <w:rFonts w:ascii="Aptos" w:eastAsia="Aptos" w:hAnsi="Aptos" w:cs="Aptos"/>
                <w:color w:val="000000" w:themeColor="text1"/>
              </w:rPr>
            </w:pPr>
            <w:r>
              <w:rPr>
                <w:rFonts w:ascii="Aptos" w:eastAsia="Aptos" w:hAnsi="Aptos" w:cs="Aptos"/>
                <w:color w:val="000000" w:themeColor="text1"/>
              </w:rPr>
              <w:t xml:space="preserve">The Victorian Government has been supporting Victoria’s UCCs since 2021–22. </w:t>
            </w:r>
            <w:r w:rsidRPr="79E46560">
              <w:rPr>
                <w:rFonts w:ascii="Aptos" w:eastAsia="Aptos" w:hAnsi="Aptos" w:cs="Aptos"/>
                <w:color w:val="000000" w:themeColor="text1"/>
              </w:rPr>
              <w:t>The 2025</w:t>
            </w:r>
            <w:r>
              <w:rPr>
                <w:rFonts w:ascii="Aptos" w:eastAsia="Aptos" w:hAnsi="Aptos" w:cs="Aptos"/>
                <w:color w:val="000000" w:themeColor="text1"/>
              </w:rPr>
              <w:t>/</w:t>
            </w:r>
            <w:r w:rsidRPr="79E46560">
              <w:rPr>
                <w:rFonts w:ascii="Aptos" w:eastAsia="Aptos" w:hAnsi="Aptos" w:cs="Aptos"/>
                <w:color w:val="000000" w:themeColor="text1"/>
              </w:rPr>
              <w:t xml:space="preserve">26 </w:t>
            </w:r>
            <w:r>
              <w:rPr>
                <w:rFonts w:ascii="Aptos" w:eastAsia="Aptos" w:hAnsi="Aptos" w:cs="Aptos"/>
                <w:color w:val="000000" w:themeColor="text1"/>
              </w:rPr>
              <w:t xml:space="preserve">Victorian </w:t>
            </w:r>
            <w:r w:rsidRPr="79E46560">
              <w:rPr>
                <w:rFonts w:ascii="Aptos" w:eastAsia="Aptos" w:hAnsi="Aptos" w:cs="Aptos"/>
                <w:color w:val="000000" w:themeColor="text1"/>
              </w:rPr>
              <w:t>Budget announced funding of $27.6 million to operate the 12 state-funded UCCs in 2025–26</w:t>
            </w:r>
            <w:r>
              <w:rPr>
                <w:rFonts w:ascii="Aptos" w:eastAsia="Aptos" w:hAnsi="Aptos" w:cs="Aptos"/>
                <w:color w:val="000000" w:themeColor="text1"/>
              </w:rPr>
              <w:t xml:space="preserve"> (one year only)</w:t>
            </w:r>
            <w:r w:rsidRPr="79E46560">
              <w:rPr>
                <w:rFonts w:ascii="Aptos" w:eastAsia="Aptos" w:hAnsi="Aptos" w:cs="Aptos"/>
                <w:color w:val="000000" w:themeColor="text1"/>
              </w:rPr>
              <w:t>.</w:t>
            </w:r>
          </w:p>
          <w:p w14:paraId="4A4DE9FD" w14:textId="2A9EE31F" w:rsidR="00540A28" w:rsidRDefault="00540A28" w:rsidP="00352512">
            <w:pPr>
              <w:spacing w:after="160" w:line="278" w:lineRule="auto"/>
              <w:rPr>
                <w:rFonts w:ascii="Aptos" w:eastAsia="Aptos" w:hAnsi="Aptos" w:cs="Aptos"/>
                <w:color w:val="000000" w:themeColor="text1"/>
              </w:rPr>
            </w:pPr>
            <w:r>
              <w:rPr>
                <w:rFonts w:ascii="Aptos" w:eastAsia="Aptos" w:hAnsi="Aptos" w:cs="Aptos"/>
                <w:color w:val="000000" w:themeColor="text1"/>
              </w:rPr>
              <w:t>Victoria introduced UCCs (</w:t>
            </w:r>
            <w:proofErr w:type="gramStart"/>
            <w:r>
              <w:rPr>
                <w:rFonts w:ascii="Aptos" w:eastAsia="Aptos" w:hAnsi="Aptos" w:cs="Aptos"/>
                <w:color w:val="000000" w:themeColor="text1"/>
              </w:rPr>
              <w:t>initially as</w:t>
            </w:r>
            <w:proofErr w:type="gramEnd"/>
            <w:r>
              <w:rPr>
                <w:rFonts w:ascii="Aptos" w:eastAsia="Aptos" w:hAnsi="Aptos" w:cs="Aptos"/>
                <w:color w:val="000000" w:themeColor="text1"/>
              </w:rPr>
              <w:t xml:space="preserve"> Priority Primary Care </w:t>
            </w:r>
            <w:proofErr w:type="spellStart"/>
            <w:r>
              <w:rPr>
                <w:rFonts w:ascii="Aptos" w:eastAsia="Aptos" w:hAnsi="Aptos" w:cs="Aptos"/>
                <w:color w:val="000000" w:themeColor="text1"/>
              </w:rPr>
              <w:t>Centres</w:t>
            </w:r>
            <w:proofErr w:type="spellEnd"/>
            <w:r>
              <w:rPr>
                <w:rFonts w:ascii="Aptos" w:eastAsia="Aptos" w:hAnsi="Aptos" w:cs="Aptos"/>
                <w:color w:val="000000" w:themeColor="text1"/>
              </w:rPr>
              <w:t>) in 2022 in the wake of the pandemic</w:t>
            </w:r>
            <w:r w:rsidR="00721EA2">
              <w:rPr>
                <w:rFonts w:ascii="Aptos" w:eastAsia="Aptos" w:hAnsi="Aptos" w:cs="Aptos"/>
                <w:color w:val="000000" w:themeColor="text1"/>
              </w:rPr>
              <w:t>,</w:t>
            </w:r>
            <w:r>
              <w:rPr>
                <w:rFonts w:ascii="Aptos" w:eastAsia="Aptos" w:hAnsi="Aptos" w:cs="Aptos"/>
                <w:color w:val="000000" w:themeColor="text1"/>
              </w:rPr>
              <w:t xml:space="preserve"> designed to reduce pressure on hospital emergency departments. Victoria’s UCCs receive </w:t>
            </w:r>
            <w:r w:rsidRPr="005D046A">
              <w:rPr>
                <w:rFonts w:ascii="Aptos" w:eastAsia="Aptos" w:hAnsi="Aptos" w:cs="Aptos"/>
                <w:color w:val="000000" w:themeColor="text1"/>
              </w:rPr>
              <w:t>an average of 7,000</w:t>
            </w:r>
            <w:r>
              <w:rPr>
                <w:rFonts w:ascii="Aptos" w:eastAsia="Aptos" w:hAnsi="Aptos" w:cs="Aptos"/>
                <w:color w:val="000000" w:themeColor="text1"/>
              </w:rPr>
              <w:t xml:space="preserve"> patient visits per week, and patient surveys indicate around 50 per cent of patients would have attended an emergency department if the UCCs were not available.</w:t>
            </w:r>
            <w:r>
              <w:rPr>
                <w:rStyle w:val="CommentReference"/>
                <w:rFonts w:ascii="Aptos" w:eastAsia="Aptos" w:hAnsi="Aptos" w:cs="Aptos"/>
                <w:color w:val="000000" w:themeColor="text1"/>
              </w:rPr>
              <w:t xml:space="preserve"> </w:t>
            </w:r>
          </w:p>
          <w:p w14:paraId="2A167B42" w14:textId="2A6DCC0B" w:rsidR="00540A28" w:rsidRPr="0007477D" w:rsidRDefault="00540A28" w:rsidP="00352512">
            <w:pPr>
              <w:spacing w:after="160" w:line="278" w:lineRule="auto"/>
              <w:rPr>
                <w:szCs w:val="22"/>
              </w:rPr>
            </w:pPr>
            <w:r>
              <w:rPr>
                <w:rFonts w:ascii="Aptos" w:eastAsia="Aptos" w:hAnsi="Aptos" w:cs="Aptos"/>
                <w:color w:val="000000" w:themeColor="text1"/>
              </w:rPr>
              <w:t>Victoria should advocate to the Commonwealth to take</w:t>
            </w:r>
            <w:r w:rsidRPr="0A2B11EF">
              <w:rPr>
                <w:rFonts w:ascii="Aptos" w:eastAsia="Aptos" w:hAnsi="Aptos" w:cs="Aptos"/>
                <w:color w:val="000000" w:themeColor="text1"/>
              </w:rPr>
              <w:t xml:space="preserve"> over funding</w:t>
            </w:r>
            <w:r>
              <w:rPr>
                <w:rFonts w:ascii="Aptos" w:eastAsia="Aptos" w:hAnsi="Aptos" w:cs="Aptos"/>
                <w:color w:val="000000" w:themeColor="text1"/>
              </w:rPr>
              <w:t xml:space="preserve"> responsibility</w:t>
            </w:r>
            <w:r w:rsidRPr="0A2B11EF">
              <w:rPr>
                <w:rFonts w:ascii="Aptos" w:eastAsia="Aptos" w:hAnsi="Aptos" w:cs="Aptos"/>
                <w:color w:val="000000" w:themeColor="text1"/>
              </w:rPr>
              <w:t xml:space="preserve"> </w:t>
            </w:r>
            <w:r>
              <w:rPr>
                <w:rFonts w:ascii="Aptos" w:eastAsia="Aptos" w:hAnsi="Aptos" w:cs="Aptos"/>
                <w:color w:val="000000" w:themeColor="text1"/>
              </w:rPr>
              <w:t xml:space="preserve">for its </w:t>
            </w:r>
            <w:r w:rsidRPr="0A2B11EF">
              <w:rPr>
                <w:rFonts w:ascii="Aptos" w:eastAsia="Aptos" w:hAnsi="Aptos" w:cs="Aptos"/>
                <w:color w:val="000000" w:themeColor="text1"/>
              </w:rPr>
              <w:t>12</w:t>
            </w:r>
            <w:r w:rsidR="00224238">
              <w:rPr>
                <w:rFonts w:ascii="Aptos" w:eastAsia="Aptos" w:hAnsi="Aptos" w:cs="Aptos"/>
                <w:color w:val="000000" w:themeColor="text1"/>
              </w:rPr>
              <w:t> </w:t>
            </w:r>
            <w:r w:rsidRPr="0A2B11EF">
              <w:rPr>
                <w:rFonts w:ascii="Aptos" w:eastAsia="Aptos" w:hAnsi="Aptos" w:cs="Aptos"/>
                <w:color w:val="000000" w:themeColor="text1"/>
              </w:rPr>
              <w:t>UCCs</w:t>
            </w:r>
            <w:r>
              <w:rPr>
                <w:rFonts w:ascii="Aptos" w:eastAsia="Aptos" w:hAnsi="Aptos" w:cs="Aptos"/>
                <w:color w:val="000000" w:themeColor="text1"/>
              </w:rPr>
              <w:t>.</w:t>
            </w:r>
            <w:r w:rsidDel="00E802DD">
              <w:rPr>
                <w:rStyle w:val="FootnoteReference"/>
                <w:rFonts w:ascii="Aptos" w:eastAsia="Aptos" w:hAnsi="Aptos" w:cs="Aptos"/>
                <w:color w:val="000000" w:themeColor="text1"/>
              </w:rPr>
              <w:t xml:space="preserve"> </w:t>
            </w:r>
            <w:r>
              <w:t>If</w:t>
            </w:r>
            <w:r w:rsidRPr="001F06A9">
              <w:t xml:space="preserve"> the Commonwealth does not fully fund Victoria’s UCCs, </w:t>
            </w:r>
            <w:r>
              <w:t xml:space="preserve">the </w:t>
            </w:r>
            <w:r w:rsidRPr="001F06A9">
              <w:t xml:space="preserve">government should seek </w:t>
            </w:r>
            <w:r w:rsidR="00721EA2">
              <w:t xml:space="preserve">an </w:t>
            </w:r>
            <w:r>
              <w:t xml:space="preserve">additional </w:t>
            </w:r>
            <w:r w:rsidRPr="001F06A9">
              <w:t xml:space="preserve">Commonwealth contribution to Victoria’s </w:t>
            </w:r>
            <w:r>
              <w:t>health services</w:t>
            </w:r>
            <w:r w:rsidRPr="001F06A9">
              <w:t xml:space="preserve"> via the </w:t>
            </w:r>
            <w:r w:rsidR="002509B4">
              <w:t>NHRA</w:t>
            </w:r>
            <w:r>
              <w:t>.</w:t>
            </w:r>
          </w:p>
        </w:tc>
      </w:tr>
    </w:tbl>
    <w:p w14:paraId="39F2B69E" w14:textId="77777777" w:rsidR="00540A28" w:rsidRDefault="00540A28" w:rsidP="00963A77"/>
    <w:p w14:paraId="5813532D" w14:textId="77777777" w:rsidR="00AB6832" w:rsidRDefault="00AB6832" w:rsidP="003132C5">
      <w:pPr>
        <w:pStyle w:val="Heading3"/>
        <w:numPr>
          <w:ilvl w:val="0"/>
          <w:numId w:val="0"/>
        </w:numPr>
        <w:spacing w:before="0"/>
        <w:rPr>
          <w:szCs w:val="26"/>
        </w:rPr>
        <w:sectPr w:rsidR="00AB6832" w:rsidSect="00AE6104">
          <w:type w:val="continuous"/>
          <w:pgSz w:w="11906" w:h="16838"/>
          <w:pgMar w:top="1440" w:right="1440" w:bottom="1440" w:left="1440" w:header="708" w:footer="708" w:gutter="0"/>
          <w:cols w:space="708"/>
          <w:docGrid w:linePitch="360"/>
          <w15:footnoteColumns w:val="1"/>
        </w:sectPr>
      </w:pPr>
    </w:p>
    <w:p w14:paraId="2F54A96F" w14:textId="4DD13CB4" w:rsidR="00540A28" w:rsidRPr="00084CAA" w:rsidRDefault="00540A28" w:rsidP="003132C5">
      <w:pPr>
        <w:pStyle w:val="Heading3"/>
        <w:numPr>
          <w:ilvl w:val="0"/>
          <w:numId w:val="0"/>
        </w:numPr>
        <w:spacing w:before="0"/>
        <w:rPr>
          <w:szCs w:val="26"/>
        </w:rPr>
      </w:pPr>
      <w:r w:rsidRPr="00084CAA">
        <w:rPr>
          <w:szCs w:val="26"/>
        </w:rPr>
        <w:t>Victoria’s approach to Commonwealth</w:t>
      </w:r>
      <w:r w:rsidR="00935706">
        <w:rPr>
          <w:szCs w:val="26"/>
        </w:rPr>
        <w:t>-</w:t>
      </w:r>
      <w:r w:rsidR="000558BB">
        <w:rPr>
          <w:szCs w:val="26"/>
        </w:rPr>
        <w:t>S</w:t>
      </w:r>
      <w:r w:rsidRPr="00084CAA">
        <w:rPr>
          <w:szCs w:val="26"/>
        </w:rPr>
        <w:t>tate negotiations</w:t>
      </w:r>
    </w:p>
    <w:p w14:paraId="5DF4DF97" w14:textId="2B23D3BE" w:rsidR="00540A28" w:rsidRDefault="00540A28" w:rsidP="00540A28">
      <w:r w:rsidRPr="00600B05">
        <w:t xml:space="preserve">Clarifying </w:t>
      </w:r>
      <w:r>
        <w:t xml:space="preserve">and committing to </w:t>
      </w:r>
      <w:r w:rsidRPr="00600B05">
        <w:t xml:space="preserve">Victoria’s role within the federation is both a fiscal and strategic imperative. Reducing </w:t>
      </w:r>
      <w:r>
        <w:t xml:space="preserve">overlap, </w:t>
      </w:r>
      <w:r w:rsidRPr="00600B05">
        <w:t xml:space="preserve">duplication and focusing on core responsibilities would improve service delivery and accountability. </w:t>
      </w:r>
      <w:r>
        <w:t>Rather than taking on risks and liabilities as a first mover</w:t>
      </w:r>
      <w:r w:rsidR="00721EA2">
        <w:t>,</w:t>
      </w:r>
      <w:r>
        <w:t xml:space="preserve"> Victoria could position itself as a prudent partner in the federation – discharging its responsibilities and holding the Commonwealth to account.</w:t>
      </w:r>
    </w:p>
    <w:p w14:paraId="16327CA6" w14:textId="7F2D61FF" w:rsidR="00540A28" w:rsidRDefault="00540A28" w:rsidP="00540A28">
      <w:r>
        <w:t>A</w:t>
      </w:r>
      <w:r w:rsidRPr="00600B05">
        <w:t xml:space="preserve"> coordinated, whole-of-government </w:t>
      </w:r>
      <w:r>
        <w:t>strategy</w:t>
      </w:r>
      <w:r w:rsidRPr="00600B05">
        <w:t xml:space="preserve"> </w:t>
      </w:r>
      <w:r>
        <w:t xml:space="preserve">for </w:t>
      </w:r>
      <w:r w:rsidRPr="00600B05">
        <w:t>Commonwealth–</w:t>
      </w:r>
      <w:r w:rsidR="00CB0FAB">
        <w:t>S</w:t>
      </w:r>
      <w:r w:rsidRPr="00600B05">
        <w:t>tate relations</w:t>
      </w:r>
      <w:r w:rsidR="00FB55C2">
        <w:t> </w:t>
      </w:r>
      <w:r>
        <w:t xml:space="preserve">– </w:t>
      </w:r>
      <w:r w:rsidRPr="00600B05">
        <w:t xml:space="preserve">led by </w:t>
      </w:r>
      <w:r w:rsidR="005E405A">
        <w:t>DPC</w:t>
      </w:r>
      <w:r>
        <w:t xml:space="preserve"> – </w:t>
      </w:r>
      <w:r w:rsidRPr="00600B05">
        <w:t>is essential to strengthen Victoria’s influence over national policy and funding settings.</w:t>
      </w:r>
      <w:r>
        <w:t xml:space="preserve"> It would also maximise opportunities for Victoria to receive its fair share of funding for services </w:t>
      </w:r>
      <w:r>
        <w:t xml:space="preserve">and infrastructure and ensure the state does not fund things for which it is not responsible. </w:t>
      </w:r>
    </w:p>
    <w:p w14:paraId="29E4A926" w14:textId="65D55BA1" w:rsidR="00540A28" w:rsidRDefault="00540A28" w:rsidP="00540A28">
      <w:r>
        <w:t>The Premier and Treasurer</w:t>
      </w:r>
      <w:r w:rsidR="00721EA2">
        <w:t>,</w:t>
      </w:r>
      <w:r>
        <w:t xml:space="preserve"> as strong advocates for the state</w:t>
      </w:r>
      <w:r w:rsidR="00721EA2">
        <w:t>,</w:t>
      </w:r>
      <w:r>
        <w:t xml:space="preserve"> need to be supported by the central agencies to be in the best position to manage the whole of government strategy. This would maximise revenue opportunities, minimise the risk of overlap, and enhance overall management of this key relationship. </w:t>
      </w:r>
    </w:p>
    <w:p w14:paraId="4439DD2A" w14:textId="47DC3ED3" w:rsidR="00540A28" w:rsidRDefault="00540A28" w:rsidP="00540A28">
      <w:r>
        <w:t xml:space="preserve">Given the number and complexity of agreements, their interrelationship and the quantum of funding at stake, the state requires an overarching strategy to maximise financial outcomes, achieve reform outcomes and reduce duplication or unnecessary inputs. Further, to ensure equity and transparency, joint agreement to equitable cost-sharing for critical </w:t>
      </w:r>
      <w:r>
        <w:lastRenderedPageBreak/>
        <w:t xml:space="preserve">infrastructure ought to be negotiated upfront </w:t>
      </w:r>
      <w:r w:rsidR="00BB7DE3">
        <w:t>and</w:t>
      </w:r>
      <w:r>
        <w:t xml:space="preserve"> ahead of commencing capital</w:t>
      </w:r>
      <w:r w:rsidR="004E4E87">
        <w:t> </w:t>
      </w:r>
      <w:r>
        <w:t xml:space="preserve">works. </w:t>
      </w:r>
    </w:p>
    <w:p w14:paraId="7AE65D3C" w14:textId="7517316A" w:rsidR="00540A28" w:rsidRDefault="00540A28" w:rsidP="00540A28">
      <w:r w:rsidRPr="00600B05">
        <w:t xml:space="preserve">Victoria </w:t>
      </w:r>
      <w:r>
        <w:t xml:space="preserve">should again </w:t>
      </w:r>
      <w:r w:rsidRPr="00600B05">
        <w:t>lead the call for reform of federal financial arrangements. A</w:t>
      </w:r>
      <w:r w:rsidR="00871E03">
        <w:t> </w:t>
      </w:r>
      <w:r w:rsidRPr="00600B05">
        <w:t>renewed model</w:t>
      </w:r>
      <w:r>
        <w:t xml:space="preserve"> – </w:t>
      </w:r>
      <w:r w:rsidRPr="00600B05">
        <w:t>simplifying funding flows and reintroducing reform-linked incentive payments</w:t>
      </w:r>
      <w:r>
        <w:t xml:space="preserve"> – </w:t>
      </w:r>
      <w:r w:rsidRPr="00600B05">
        <w:t xml:space="preserve">could unlock public </w:t>
      </w:r>
      <w:r>
        <w:t xml:space="preserve">and private </w:t>
      </w:r>
      <w:r w:rsidRPr="00600B05">
        <w:t xml:space="preserve">sector productivity and </w:t>
      </w:r>
      <w:r>
        <w:t xml:space="preserve">help </w:t>
      </w:r>
      <w:r w:rsidRPr="00600B05">
        <w:t xml:space="preserve">drive national </w:t>
      </w:r>
      <w:r>
        <w:t>reform in partnership with the</w:t>
      </w:r>
      <w:r w:rsidR="00871E03">
        <w:t> </w:t>
      </w:r>
      <w:r>
        <w:t>Commonwealth.</w:t>
      </w:r>
    </w:p>
    <w:p w14:paraId="7293C3D9" w14:textId="368190E1" w:rsidR="00540A28" w:rsidRDefault="00540A28" w:rsidP="00540A28">
      <w:r>
        <w:t xml:space="preserve">In the past where this has occurred, for example with the introduction of the GST and the National Reform Agenda in the 2000s, reform gains were made across all jurisdictions and there was appropriate sharing of risk and funding between the Commonwealth and states and territories. These gains were </w:t>
      </w:r>
      <w:r w:rsidR="00721EA2">
        <w:t xml:space="preserve">shown </w:t>
      </w:r>
      <w:r>
        <w:t xml:space="preserve">to improve economic </w:t>
      </w:r>
      <w:r w:rsidR="00E20BF5">
        <w:t xml:space="preserve">and social </w:t>
      </w:r>
      <w:r w:rsidR="008B46F4" w:rsidRPr="00F921F2">
        <w:t>outcomes</w:t>
      </w:r>
      <w:r>
        <w:t xml:space="preserve"> and thereby strongly support the government’s fiscal and economic strategy.  </w:t>
      </w:r>
    </w:p>
    <w:p w14:paraId="29CD622E" w14:textId="77777777" w:rsidR="00540A28" w:rsidRPr="00084CAA" w:rsidRDefault="00540A28" w:rsidP="00540A28">
      <w:pPr>
        <w:pStyle w:val="Heading3"/>
        <w:rPr>
          <w:szCs w:val="26"/>
        </w:rPr>
      </w:pPr>
      <w:r w:rsidRPr="00084CAA">
        <w:rPr>
          <w:szCs w:val="26"/>
        </w:rPr>
        <w:t>Better data to improve needs-based targeting of programs</w:t>
      </w:r>
    </w:p>
    <w:p w14:paraId="473C4C69" w14:textId="3E9E2BA8" w:rsidR="00540A28" w:rsidRPr="00493A8A" w:rsidRDefault="00540A28" w:rsidP="00540A28">
      <w:r w:rsidRPr="00493A8A">
        <w:t xml:space="preserve">The Victorian Government provides substantial financial support to households and businesses through a range of </w:t>
      </w:r>
      <w:r>
        <w:t xml:space="preserve">concessions, </w:t>
      </w:r>
      <w:r w:rsidRPr="00493A8A">
        <w:t xml:space="preserve">tax expenditures and broad-based </w:t>
      </w:r>
      <w:r>
        <w:t>programs</w:t>
      </w:r>
      <w:r w:rsidRPr="00493A8A">
        <w:t xml:space="preserve">. These supports come at </w:t>
      </w:r>
      <w:r>
        <w:t xml:space="preserve">a </w:t>
      </w:r>
      <w:r w:rsidRPr="00493A8A">
        <w:t>significant cost</w:t>
      </w:r>
      <w:r>
        <w:t xml:space="preserve"> to the budget</w:t>
      </w:r>
      <w:r w:rsidRPr="00493A8A">
        <w:t>, either through direct spending or by foregoing revenue</w:t>
      </w:r>
      <w:r>
        <w:t xml:space="preserve"> (via tax expenditures)</w:t>
      </w:r>
      <w:r w:rsidRPr="00493A8A">
        <w:t>. Over the decade to 2024</w:t>
      </w:r>
      <w:r>
        <w:t>–</w:t>
      </w:r>
      <w:r w:rsidRPr="00493A8A">
        <w:t xml:space="preserve">25, the </w:t>
      </w:r>
      <w:r>
        <w:t>s</w:t>
      </w:r>
      <w:r w:rsidRPr="00493A8A">
        <w:t>tate is estimated to have foregone $1</w:t>
      </w:r>
      <w:r w:rsidR="00351EF1">
        <w:t>09.7</w:t>
      </w:r>
      <w:r>
        <w:t> </w:t>
      </w:r>
      <w:r w:rsidRPr="00493A8A">
        <w:t xml:space="preserve">billion in revenue from tax expenditures and </w:t>
      </w:r>
      <w:r w:rsidR="002F1922">
        <w:t xml:space="preserve">provided </w:t>
      </w:r>
      <w:r w:rsidR="002F1922">
        <w:t>$19.3</w:t>
      </w:r>
      <w:r w:rsidR="00E06E26">
        <w:t> </w:t>
      </w:r>
      <w:r w:rsidR="002F1922">
        <w:t>billion in</w:t>
      </w:r>
      <w:r w:rsidRPr="00493A8A">
        <w:t xml:space="preserve"> concessions</w:t>
      </w:r>
      <w:r>
        <w:t>.</w:t>
      </w:r>
      <w:r w:rsidRPr="00493A8A">
        <w:t> </w:t>
      </w:r>
      <w:r>
        <w:t xml:space="preserve">It is critical that government has appropriate data to be able to target its funding for supports to meet the community’s needs, and change supports where those needs change. </w:t>
      </w:r>
    </w:p>
    <w:p w14:paraId="6F4C3FD8" w14:textId="6CC9E5D3" w:rsidR="00540A28" w:rsidRDefault="00540A28" w:rsidP="00540A28">
      <w:r w:rsidRPr="00493A8A">
        <w:t xml:space="preserve">While the Commonwealth has responsibility for income support, the Victorian Government </w:t>
      </w:r>
      <w:r>
        <w:t xml:space="preserve">(and other state governments) </w:t>
      </w:r>
      <w:r w:rsidRPr="00493A8A">
        <w:t>ha</w:t>
      </w:r>
      <w:r>
        <w:t>s incrementally expanded</w:t>
      </w:r>
      <w:r w:rsidR="00CC5A5A">
        <w:t> </w:t>
      </w:r>
      <w:r>
        <w:t>its role and now duplicates the</w:t>
      </w:r>
      <w:r w:rsidR="00CC5A5A">
        <w:t> </w:t>
      </w:r>
      <w:r>
        <w:t xml:space="preserve">role of the Commonwealth by funding </w:t>
      </w:r>
      <w:proofErr w:type="gramStart"/>
      <w:r>
        <w:t>a</w:t>
      </w:r>
      <w:r w:rsidR="00CC5A5A">
        <w:t> </w:t>
      </w:r>
      <w:r>
        <w:t>number of</w:t>
      </w:r>
      <w:proofErr w:type="gramEnd"/>
      <w:r w:rsidRPr="00493A8A">
        <w:t xml:space="preserve"> concessions, tax relief and universal benefits. </w:t>
      </w:r>
    </w:p>
    <w:p w14:paraId="5B3A2A4B" w14:textId="07116437" w:rsidR="00540A28" w:rsidRDefault="00540A28" w:rsidP="00540A28">
      <w:r w:rsidRPr="00493A8A">
        <w:t xml:space="preserve">These supports </w:t>
      </w:r>
      <w:r>
        <w:t>have been</w:t>
      </w:r>
      <w:r w:rsidRPr="00493A8A">
        <w:t xml:space="preserve"> introduced </w:t>
      </w:r>
      <w:r>
        <w:t xml:space="preserve">at points in time </w:t>
      </w:r>
      <w:r w:rsidRPr="00493A8A">
        <w:t>to respond to national program gaps</w:t>
      </w:r>
      <w:r>
        <w:t>,</w:t>
      </w:r>
      <w:r w:rsidRPr="00493A8A">
        <w:t xml:space="preserve"> to meet local priorities</w:t>
      </w:r>
      <w:r>
        <w:t xml:space="preserve">, or to provide a direct cash method to ease cost of living pressures. However, many of these supports have become ‘set and forget’ and are difficult to change or remove. For example, the </w:t>
      </w:r>
      <w:r w:rsidRPr="00493A8A">
        <w:t>Victoria</w:t>
      </w:r>
      <w:r>
        <w:t xml:space="preserve">n Government expanded </w:t>
      </w:r>
      <w:r w:rsidRPr="00493A8A">
        <w:t>electricity and water concessions</w:t>
      </w:r>
      <w:r>
        <w:t xml:space="preserve"> in the 2011/12 Victorian Budget. Expenditure on</w:t>
      </w:r>
      <w:r w:rsidRPr="00493A8A">
        <w:t xml:space="preserve"> electricity concession alone </w:t>
      </w:r>
      <w:r>
        <w:t xml:space="preserve">has </w:t>
      </w:r>
      <w:r w:rsidRPr="00493A8A">
        <w:t>more than doubled in value</w:t>
      </w:r>
      <w:r>
        <w:t xml:space="preserve"> over time</w:t>
      </w:r>
      <w:r w:rsidRPr="00493A8A">
        <w:t>, rising from $71 million in 2009–10 to $153</w:t>
      </w:r>
      <w:r w:rsidR="003233D7">
        <w:t> </w:t>
      </w:r>
      <w:r w:rsidRPr="00493A8A">
        <w:t>million in 2011–12</w:t>
      </w:r>
      <w:r w:rsidRPr="00463967">
        <w:t>.</w:t>
      </w:r>
      <w:r w:rsidRPr="00493A8A">
        <w:t xml:space="preserve"> Since then, </w:t>
      </w:r>
      <w:r>
        <w:t xml:space="preserve">this </w:t>
      </w:r>
      <w:r w:rsidRPr="00493A8A">
        <w:t xml:space="preserve">expenditure has remained relatively </w:t>
      </w:r>
      <w:r w:rsidRPr="004251D1">
        <w:t>stable at around that level.</w:t>
      </w:r>
      <w:r w:rsidRPr="00493A8A">
        <w:t> </w:t>
      </w:r>
    </w:p>
    <w:p w14:paraId="61755D94" w14:textId="64A98CBC" w:rsidR="00540A28" w:rsidRDefault="00540A28" w:rsidP="00540A28">
      <w:r>
        <w:t>Given the size of expenditure for these supports, it is critical that they are reviewed regularly to be sure they are effectively targeting need. Box 4.</w:t>
      </w:r>
      <w:r w:rsidR="00E703E2">
        <w:t>3</w:t>
      </w:r>
      <w:r>
        <w:t xml:space="preserve"> provides examples of current concessions, </w:t>
      </w:r>
      <w:r w:rsidRPr="00493A8A">
        <w:t xml:space="preserve">tax expenditures </w:t>
      </w:r>
      <w:r>
        <w:t>and relevant programs.</w:t>
      </w:r>
    </w:p>
    <w:p w14:paraId="786ABB36" w14:textId="77777777" w:rsidR="00AB6832" w:rsidRDefault="00AB6832">
      <w:pPr>
        <w:sectPr w:rsidR="00AB6832" w:rsidSect="00AB6832">
          <w:type w:val="continuous"/>
          <w:pgSz w:w="11906" w:h="16838"/>
          <w:pgMar w:top="1440" w:right="1440" w:bottom="1440" w:left="1440" w:header="708" w:footer="708" w:gutter="0"/>
          <w:cols w:num="2" w:space="708"/>
          <w:docGrid w:linePitch="360"/>
          <w15:footnoteColumns w:val="1"/>
        </w:sectPr>
      </w:pPr>
    </w:p>
    <w:p w14:paraId="0D5D26C8" w14:textId="77777777" w:rsidR="003233D7" w:rsidRDefault="003233D7">
      <w:r>
        <w:br w:type="page"/>
      </w:r>
    </w:p>
    <w:tbl>
      <w:tblPr>
        <w:tblStyle w:val="TableGrid"/>
        <w:tblW w:w="0" w:type="auto"/>
        <w:tblBorders>
          <w:insideH w:val="none" w:sz="0" w:space="0" w:color="auto"/>
          <w:insideV w:val="none" w:sz="0" w:space="0" w:color="auto"/>
        </w:tblBorders>
        <w:shd w:val="clear" w:color="auto" w:fill="E7E6E6"/>
        <w:tblLook w:val="04A0" w:firstRow="1" w:lastRow="0" w:firstColumn="1" w:lastColumn="0" w:noHBand="0" w:noVBand="1"/>
      </w:tblPr>
      <w:tblGrid>
        <w:gridCol w:w="9016"/>
      </w:tblGrid>
      <w:tr w:rsidR="00540A28" w14:paraId="4D9DAEA6" w14:textId="77777777" w:rsidTr="00F65D9B">
        <w:tc>
          <w:tcPr>
            <w:tcW w:w="9016" w:type="dxa"/>
            <w:tcBorders>
              <w:top w:val="nil"/>
              <w:left w:val="nil"/>
              <w:bottom w:val="nil"/>
              <w:right w:val="nil"/>
            </w:tcBorders>
            <w:shd w:val="clear" w:color="auto" w:fill="E7E6E6"/>
          </w:tcPr>
          <w:p w14:paraId="6E93EAE7" w14:textId="3DCA772D" w:rsidR="00540A28" w:rsidRPr="00737482" w:rsidRDefault="00540A28" w:rsidP="008F5BBE">
            <w:pPr>
              <w:spacing w:before="120" w:line="360" w:lineRule="auto"/>
              <w:rPr>
                <w:b/>
              </w:rPr>
            </w:pPr>
            <w:r w:rsidRPr="00737482">
              <w:rPr>
                <w:b/>
              </w:rPr>
              <w:lastRenderedPageBreak/>
              <w:t xml:space="preserve">Box </w:t>
            </w:r>
            <w:r>
              <w:rPr>
                <w:b/>
              </w:rPr>
              <w:t>4</w:t>
            </w:r>
            <w:r w:rsidRPr="00737482">
              <w:rPr>
                <w:b/>
              </w:rPr>
              <w:t>.</w:t>
            </w:r>
            <w:r w:rsidR="00E703E2">
              <w:rPr>
                <w:b/>
              </w:rPr>
              <w:t>3</w:t>
            </w:r>
            <w:r w:rsidRPr="00737482">
              <w:rPr>
                <w:b/>
              </w:rPr>
              <w:t>: Current Victorian-funded tax expenditures, concessions and programs</w:t>
            </w:r>
          </w:p>
          <w:p w14:paraId="3BA78E96" w14:textId="1996206F" w:rsidR="00540A28" w:rsidRDefault="00540A28" w:rsidP="00352512">
            <w:pPr>
              <w:spacing w:after="160" w:line="278" w:lineRule="auto"/>
            </w:pPr>
            <w:r w:rsidRPr="00482EF4">
              <w:rPr>
                <w:b/>
                <w:bCs/>
              </w:rPr>
              <w:t>Concessions</w:t>
            </w:r>
            <w:r>
              <w:t xml:space="preserve"> are direct budget outlays or reduced charges that lower the cost of services for</w:t>
            </w:r>
            <w:r w:rsidR="003233D7">
              <w:t> </w:t>
            </w:r>
            <w:r>
              <w:t>holders of Pensioner Concession, Health Care, Seniors Health or Veterans’ Affairs Gold Cards. In 2025–26, the Victorian Government will provide around $2.6 billion in concessions, including free ambulance transport ($604 million), discounted public transport ($270</w:t>
            </w:r>
            <w:r w:rsidR="00C94AA0">
              <w:t> </w:t>
            </w:r>
            <w:r>
              <w:t>million), electricity and water concessions ($345 million), and subsidies for education,</w:t>
            </w:r>
            <w:r w:rsidR="007403CF">
              <w:t xml:space="preserve"> </w:t>
            </w:r>
            <w:r>
              <w:t>dental</w:t>
            </w:r>
            <w:r w:rsidR="003233D7">
              <w:t> </w:t>
            </w:r>
            <w:r>
              <w:t xml:space="preserve">care and municipal (council) rates ($678 million). </w:t>
            </w:r>
          </w:p>
          <w:p w14:paraId="2615F546" w14:textId="1BAB98A9" w:rsidR="00540A28" w:rsidRDefault="00540A28" w:rsidP="00352512">
            <w:pPr>
              <w:spacing w:after="160" w:line="278" w:lineRule="auto"/>
            </w:pPr>
            <w:r w:rsidRPr="00482EF4">
              <w:rPr>
                <w:b/>
                <w:bCs/>
              </w:rPr>
              <w:t>Tax expenditures</w:t>
            </w:r>
            <w:r>
              <w:t xml:space="preserve"> are deviations from standard tax treatment, such as exemptions, reduced rates or deductions, that benefit certain taxpayer groups, activities or assets. They are forecast to cost $19.1 billion in 2025–26, with land tax and payroll tax concessions forming the largest components with significant exemptions for principal place of residence and primary production (land tax only). As a share of total state tax revenue, tax expenditures have grown significantly over time, from 27 per cent in 2013–14 to 46 per cent in 2024–25, reflecting both the expansion of existing concessions and the introduction of new ones. </w:t>
            </w:r>
            <w:r w:rsidRPr="00B118CE">
              <w:t xml:space="preserve">As outlined in Chapter 2, the government has improved the equity and efficiency of the </w:t>
            </w:r>
            <w:r>
              <w:t xml:space="preserve">land and payroll tax </w:t>
            </w:r>
            <w:r w:rsidRPr="00B118CE">
              <w:t>revenue base</w:t>
            </w:r>
            <w:r>
              <w:t>.</w:t>
            </w:r>
            <w:r w:rsidRPr="00B118CE">
              <w:t xml:space="preserve"> </w:t>
            </w:r>
          </w:p>
          <w:p w14:paraId="336F3DAC" w14:textId="4A7E13C1" w:rsidR="00540A28" w:rsidRDefault="00540A28" w:rsidP="00352512">
            <w:pPr>
              <w:spacing w:after="160" w:line="278" w:lineRule="auto"/>
            </w:pPr>
            <w:r w:rsidRPr="00482EF4">
              <w:rPr>
                <w:b/>
                <w:bCs/>
              </w:rPr>
              <w:t>Programs</w:t>
            </w:r>
            <w:r>
              <w:t xml:space="preserve"> can be provided free of charge to all users or through concessions. For example, </w:t>
            </w:r>
            <w:r w:rsidR="00721EA2">
              <w:t>4</w:t>
            </w:r>
            <w:r>
              <w:t>-</w:t>
            </w:r>
            <w:r w:rsidR="00721EA2">
              <w:t>y</w:t>
            </w:r>
            <w:r>
              <w:t>ear-</w:t>
            </w:r>
            <w:r w:rsidR="00721EA2">
              <w:t>o</w:t>
            </w:r>
            <w:r>
              <w:t>ld Kinder was previously available for free to a targeted cohort, with other users paying a fee. Other recent examples include free camping sites, and free public transport being introduced for all people under 18 years of age.</w:t>
            </w:r>
          </w:p>
        </w:tc>
      </w:tr>
    </w:tbl>
    <w:p w14:paraId="573FA8CA" w14:textId="77777777" w:rsidR="006C049E" w:rsidRDefault="006C049E" w:rsidP="00AB3F5E"/>
    <w:p w14:paraId="743B0987" w14:textId="77777777" w:rsidR="006A51AF" w:rsidRDefault="006A51AF" w:rsidP="00AB3F5E">
      <w:pPr>
        <w:sectPr w:rsidR="006A51AF" w:rsidSect="00AE6104">
          <w:type w:val="continuous"/>
          <w:pgSz w:w="11906" w:h="16838"/>
          <w:pgMar w:top="1440" w:right="1440" w:bottom="1440" w:left="1440" w:header="708" w:footer="708" w:gutter="0"/>
          <w:cols w:space="708"/>
          <w:docGrid w:linePitch="360"/>
          <w15:footnoteColumns w:val="1"/>
        </w:sectPr>
      </w:pPr>
    </w:p>
    <w:p w14:paraId="3E5BA4F7" w14:textId="4B5D5982" w:rsidR="00540A28" w:rsidRDefault="00540A28" w:rsidP="00AB3F5E">
      <w:r w:rsidRPr="00D26801">
        <w:t>Currently, states and territories largely rely on the Commonwealth Health Care Card, Pensioner Concession Card or Veterans’ Affairs Gold Card for determining eligibility for concessions and other supports. States and territories are required to utilise these Commonwealth concession cards as they do not have access to more refined data about family and individuals’ incomes, held by the Commonwealth Government.</w:t>
      </w:r>
      <w:r>
        <w:t xml:space="preserve"> </w:t>
      </w:r>
    </w:p>
    <w:p w14:paraId="5CD47A09" w14:textId="740352AA" w:rsidR="00540A28" w:rsidRPr="0006176F" w:rsidRDefault="00540A28" w:rsidP="00540A28">
      <w:r w:rsidRPr="00493A8A">
        <w:t>Access to</w:t>
      </w:r>
      <w:r>
        <w:t xml:space="preserve"> more detailed</w:t>
      </w:r>
      <w:r w:rsidRPr="00493A8A">
        <w:t xml:space="preserve"> data would </w:t>
      </w:r>
      <w:r w:rsidR="00C45957">
        <w:t>give</w:t>
      </w:r>
      <w:r>
        <w:t xml:space="preserve"> states and territories </w:t>
      </w:r>
      <w:r w:rsidR="00563825">
        <w:t>the</w:t>
      </w:r>
      <w:r w:rsidRPr="00D26801">
        <w:t xml:space="preserve"> flexibility</w:t>
      </w:r>
      <w:r>
        <w:t xml:space="preserve"> to more accurately and efficiently target supports according to identified need, </w:t>
      </w:r>
      <w:r w:rsidRPr="0006176F">
        <w:t xml:space="preserve">as the Commonwealth does (e.g. Family Tax Benefit A is a qualifier </w:t>
      </w:r>
      <w:r>
        <w:t xml:space="preserve">for the </w:t>
      </w:r>
      <w:r w:rsidRPr="0006176F">
        <w:t xml:space="preserve">Extended Medicare Safety Net). </w:t>
      </w:r>
    </w:p>
    <w:p w14:paraId="5E5A9118" w14:textId="2D0A0A74" w:rsidR="00540A28" w:rsidRDefault="00540A28" w:rsidP="00540A28">
      <w:r w:rsidRPr="0006176F">
        <w:t xml:space="preserve">Victoria should, as a priority, lead work with other states and territories to advocate to the Commonwealth for improved data sharing arrangements so that concessions, tax expenditures and broad-based benefits can be better targeted to need. Action taken during the COVID-19 pandemic to allow state access to </w:t>
      </w:r>
      <w:r w:rsidR="00715E9A">
        <w:t>Australian Tax Office</w:t>
      </w:r>
      <w:r w:rsidRPr="0006176F">
        <w:t xml:space="preserve"> data for the purpose of COVID-19 business support payments shows this access is possible.</w:t>
      </w:r>
      <w:r w:rsidRPr="0006176F">
        <w:rPr>
          <w:rStyle w:val="FootnoteReference"/>
        </w:rPr>
        <w:footnoteReference w:id="12"/>
      </w:r>
      <w:r w:rsidRPr="0006176F">
        <w:t xml:space="preserve"> However, previous attempts to embed greater data sharing on a sustained basis have not been giv</w:t>
      </w:r>
      <w:r>
        <w:t xml:space="preserve">en sufficiently high enough priority and </w:t>
      </w:r>
      <w:r w:rsidRPr="00D26801">
        <w:t>have not progressed</w:t>
      </w:r>
      <w:r>
        <w:t>. Central agencies should pick up this task.</w:t>
      </w:r>
    </w:p>
    <w:p w14:paraId="537D4027" w14:textId="55571E5F" w:rsidR="00540A28" w:rsidRDefault="00540A28" w:rsidP="00540A28">
      <w:r>
        <w:t xml:space="preserve">All governments’ objectives to provide supports to ease cost of living pressures </w:t>
      </w:r>
      <w:r w:rsidR="002D325A">
        <w:br w:type="column"/>
      </w:r>
      <w:r>
        <w:lastRenderedPageBreak/>
        <w:t xml:space="preserve">should drive the urgency for this data sharing work. Having more refined data is an important precursor for the Victorian Government being able to review and better target the supports it wishes to provide to individuals, families and businesses at </w:t>
      </w:r>
      <w:proofErr w:type="gramStart"/>
      <w:r>
        <w:t>particular points</w:t>
      </w:r>
      <w:proofErr w:type="gramEnd"/>
      <w:r>
        <w:t xml:space="preserve"> in time. </w:t>
      </w:r>
    </w:p>
    <w:p w14:paraId="0712EA5E" w14:textId="2E639D0B" w:rsidR="00540A28" w:rsidRDefault="00540A28" w:rsidP="00540A28">
      <w:r>
        <w:t>Box 4.</w:t>
      </w:r>
      <w:r w:rsidR="00E703E2">
        <w:t>4</w:t>
      </w:r>
      <w:r>
        <w:t xml:space="preserve"> shows how better data access would enable the government to review, and</w:t>
      </w:r>
      <w:r w:rsidR="00F96C78">
        <w:t> </w:t>
      </w:r>
      <w:r>
        <w:t>if desired, amend supports for the Municipal Rates Concession and Free</w:t>
      </w:r>
      <w:r w:rsidR="00F96C78">
        <w:t> </w:t>
      </w:r>
      <w:r>
        <w:t>Kinder.</w:t>
      </w:r>
    </w:p>
    <w:p w14:paraId="17E98784" w14:textId="77777777" w:rsidR="006A51AF" w:rsidRDefault="006A51AF" w:rsidP="00540A28">
      <w:pPr>
        <w:sectPr w:rsidR="006A51AF" w:rsidSect="006A51AF">
          <w:type w:val="continuous"/>
          <w:pgSz w:w="11906" w:h="16838"/>
          <w:pgMar w:top="1440" w:right="1440" w:bottom="1440" w:left="1440" w:header="708" w:footer="708" w:gutter="0"/>
          <w:cols w:num="2" w:space="708"/>
          <w:docGrid w:linePitch="360"/>
          <w15:footnoteColumns w:val="1"/>
        </w:sectPr>
      </w:pPr>
    </w:p>
    <w:p w14:paraId="3C619915" w14:textId="77777777" w:rsidR="006C049E" w:rsidRDefault="006C049E" w:rsidP="002D461B">
      <w:pPr>
        <w:spacing w:after="120"/>
      </w:pPr>
    </w:p>
    <w:tbl>
      <w:tblPr>
        <w:tblStyle w:val="TableGrid"/>
        <w:tblW w:w="0" w:type="auto"/>
        <w:shd w:val="clear" w:color="auto" w:fill="E7E6E6"/>
        <w:tblLook w:val="04A0" w:firstRow="1" w:lastRow="0" w:firstColumn="1" w:lastColumn="0" w:noHBand="0" w:noVBand="1"/>
      </w:tblPr>
      <w:tblGrid>
        <w:gridCol w:w="9016"/>
      </w:tblGrid>
      <w:tr w:rsidR="00540A28" w14:paraId="3A5C6D26" w14:textId="77777777" w:rsidTr="00F65D9B">
        <w:tc>
          <w:tcPr>
            <w:tcW w:w="9016" w:type="dxa"/>
            <w:tcBorders>
              <w:top w:val="nil"/>
              <w:left w:val="nil"/>
              <w:bottom w:val="nil"/>
              <w:right w:val="nil"/>
            </w:tcBorders>
            <w:shd w:val="clear" w:color="auto" w:fill="E7E6E6"/>
          </w:tcPr>
          <w:p w14:paraId="7BB5D596" w14:textId="240D770C" w:rsidR="00540A28" w:rsidRPr="0006176F" w:rsidRDefault="00540A28" w:rsidP="008F5BBE">
            <w:pPr>
              <w:spacing w:before="120" w:after="160" w:line="278" w:lineRule="auto"/>
              <w:rPr>
                <w:b/>
                <w:bCs/>
              </w:rPr>
            </w:pPr>
            <w:r w:rsidRPr="0006176F">
              <w:rPr>
                <w:b/>
                <w:bCs/>
              </w:rPr>
              <w:t xml:space="preserve">Box </w:t>
            </w:r>
            <w:r>
              <w:rPr>
                <w:b/>
                <w:bCs/>
              </w:rPr>
              <w:t>4</w:t>
            </w:r>
            <w:r w:rsidRPr="0006176F">
              <w:rPr>
                <w:b/>
                <w:bCs/>
              </w:rPr>
              <w:t>.</w:t>
            </w:r>
            <w:r w:rsidR="00E703E2">
              <w:rPr>
                <w:b/>
                <w:bCs/>
              </w:rPr>
              <w:t>4</w:t>
            </w:r>
            <w:r w:rsidRPr="0006176F">
              <w:rPr>
                <w:b/>
                <w:bCs/>
              </w:rPr>
              <w:t>: Opportunity to review and better target supports – Municipal Rates Concession and Free Kinder</w:t>
            </w:r>
          </w:p>
          <w:p w14:paraId="09CFD99A" w14:textId="77777777" w:rsidR="00540A28" w:rsidRPr="0006176F" w:rsidRDefault="00540A28" w:rsidP="00352512">
            <w:pPr>
              <w:spacing w:after="160" w:line="278" w:lineRule="auto"/>
              <w:rPr>
                <w:b/>
                <w:bCs/>
                <w:i/>
                <w:iCs/>
              </w:rPr>
            </w:pPr>
            <w:r w:rsidRPr="0006176F">
              <w:rPr>
                <w:b/>
                <w:bCs/>
                <w:i/>
                <w:iCs/>
              </w:rPr>
              <w:t>Municipal Rates Concession</w:t>
            </w:r>
          </w:p>
          <w:p w14:paraId="05DB9109" w14:textId="77777777" w:rsidR="00540A28" w:rsidRPr="0006176F" w:rsidRDefault="00540A28" w:rsidP="00352512">
            <w:pPr>
              <w:spacing w:after="160" w:line="278" w:lineRule="auto"/>
            </w:pPr>
            <w:r w:rsidRPr="0006176F">
              <w:t>The Municipal Rates Concession (MRC) is a household concession established over 50 years ago. It is available to homeowners (ratepayers) who hold a Pensioner Concession Card or Veterans' Affairs Gold Card and provides a 50 per cent reduction on council rates, capped at $259.50 per year (2024–25).</w:t>
            </w:r>
          </w:p>
          <w:p w14:paraId="5357C090" w14:textId="0559DBB7" w:rsidR="00540A28" w:rsidRPr="0006176F" w:rsidRDefault="00540A28" w:rsidP="00352512">
            <w:pPr>
              <w:spacing w:after="160" w:line="278" w:lineRule="auto"/>
            </w:pPr>
            <w:r w:rsidRPr="0006176F">
              <w:t xml:space="preserve">This program is expected to cost the state $106 million in 2024-25 and $107 million in </w:t>
            </w:r>
            <w:r w:rsidR="00A46111">
              <w:br/>
            </w:r>
            <w:r w:rsidRPr="0006176F">
              <w:t xml:space="preserve">2025–26. As MRC recipients are homeowners, there are people receiving </w:t>
            </w:r>
            <w:proofErr w:type="gramStart"/>
            <w:r w:rsidRPr="0006176F">
              <w:t>the concession</w:t>
            </w:r>
            <w:proofErr w:type="gramEnd"/>
            <w:r w:rsidRPr="0006176F">
              <w:t xml:space="preserve"> who</w:t>
            </w:r>
            <w:r w:rsidR="00A46111">
              <w:t> </w:t>
            </w:r>
            <w:r w:rsidRPr="0006176F">
              <w:t>are unlikely to be experiencing significant financial hardship. The Review understands that around 6,000 recipients of the MRC in Victoria live in homes worth over $2 million and almost 30 per cent (</w:t>
            </w:r>
            <w:r w:rsidR="009A45E3">
              <w:t>more than</w:t>
            </w:r>
            <w:r w:rsidRPr="0006176F">
              <w:t xml:space="preserve"> 130,000 people) in homes valued over $1 million.</w:t>
            </w:r>
            <w:r w:rsidRPr="0006176F" w:rsidDel="00AB03A4">
              <w:rPr>
                <w:rStyle w:val="FootnoteReference"/>
              </w:rPr>
              <w:t xml:space="preserve"> </w:t>
            </w:r>
            <w:r w:rsidRPr="0006176F" w:rsidDel="00AB03A4">
              <w:t xml:space="preserve"> </w:t>
            </w:r>
          </w:p>
          <w:p w14:paraId="68833A4A" w14:textId="1E789038" w:rsidR="00540A28" w:rsidRPr="0006176F" w:rsidRDefault="00540A28" w:rsidP="00352512">
            <w:pPr>
              <w:spacing w:after="160" w:line="278" w:lineRule="auto"/>
            </w:pPr>
            <w:r w:rsidRPr="0006176F">
              <w:t>The MRC was introduced at a time when home ownership was more common (even for those on low incomes) and when housing and rental affordability was a less challenging social and economic problem. Renters in the age group targeted by the MRC are now significantly more financially vulnerable than this group – as are younger</w:t>
            </w:r>
            <w:r w:rsidR="000B06D7">
              <w:t>,</w:t>
            </w:r>
            <w:r w:rsidRPr="0006176F">
              <w:t xml:space="preserve"> low-income renters.</w:t>
            </w:r>
          </w:p>
          <w:p w14:paraId="0D600AE4" w14:textId="77777777" w:rsidR="00540A28" w:rsidRPr="0006176F" w:rsidRDefault="00540A28" w:rsidP="00352512">
            <w:pPr>
              <w:spacing w:after="160" w:line="278" w:lineRule="auto"/>
            </w:pPr>
            <w:r w:rsidRPr="0006176F">
              <w:t>The government could review the MRC if it had access to more refined data about need.</w:t>
            </w:r>
          </w:p>
          <w:p w14:paraId="388E96C8" w14:textId="77777777" w:rsidR="00540A28" w:rsidRPr="0006176F" w:rsidRDefault="00540A28" w:rsidP="00352512">
            <w:pPr>
              <w:spacing w:after="160" w:line="278" w:lineRule="auto"/>
              <w:rPr>
                <w:b/>
                <w:i/>
              </w:rPr>
            </w:pPr>
            <w:r w:rsidRPr="0006176F">
              <w:rPr>
                <w:b/>
                <w:bCs/>
                <w:i/>
                <w:iCs/>
              </w:rPr>
              <w:t>Free</w:t>
            </w:r>
            <w:r w:rsidRPr="0006176F">
              <w:rPr>
                <w:b/>
                <w:i/>
              </w:rPr>
              <w:t xml:space="preserve"> Kinder</w:t>
            </w:r>
          </w:p>
          <w:p w14:paraId="513B5B36" w14:textId="50BCE0D4" w:rsidR="00540A28" w:rsidRPr="0006176F" w:rsidRDefault="00540A28" w:rsidP="00352512">
            <w:pPr>
              <w:spacing w:after="160" w:line="278" w:lineRule="auto"/>
            </w:pPr>
            <w:r w:rsidRPr="0006176F">
              <w:t xml:space="preserve">The Victorian Government provides Free Kinder to </w:t>
            </w:r>
            <w:r w:rsidR="000B06D7">
              <w:t>3</w:t>
            </w:r>
            <w:r w:rsidRPr="0006176F">
              <w:t xml:space="preserve"> and </w:t>
            </w:r>
            <w:r w:rsidR="000B06D7">
              <w:t>4</w:t>
            </w:r>
            <w:r w:rsidRPr="0006176F">
              <w:t xml:space="preserve">-year-olds attending participating services. This includes </w:t>
            </w:r>
            <w:proofErr w:type="gramStart"/>
            <w:r w:rsidRPr="0006176F">
              <w:t>long day</w:t>
            </w:r>
            <w:proofErr w:type="gramEnd"/>
            <w:r w:rsidRPr="0006176F">
              <w:t xml:space="preserve"> care and sessional kinder services. Free Kinder was introduced in 2021 as a </w:t>
            </w:r>
            <w:proofErr w:type="gramStart"/>
            <w:r w:rsidRPr="0006176F">
              <w:t>cost</w:t>
            </w:r>
            <w:r w:rsidR="00721EA2">
              <w:t xml:space="preserve"> </w:t>
            </w:r>
            <w:r w:rsidRPr="0006176F">
              <w:t>of</w:t>
            </w:r>
            <w:r w:rsidR="00721EA2">
              <w:t xml:space="preserve"> </w:t>
            </w:r>
            <w:r w:rsidRPr="0006176F">
              <w:t>living</w:t>
            </w:r>
            <w:proofErr w:type="gramEnd"/>
            <w:r w:rsidRPr="0006176F">
              <w:t xml:space="preserve"> response to the impact of the pandemic. </w:t>
            </w:r>
          </w:p>
          <w:p w14:paraId="6D26F750" w14:textId="0EBE1199" w:rsidR="00540A28" w:rsidRPr="0006176F" w:rsidRDefault="00540A28" w:rsidP="00352512">
            <w:pPr>
              <w:spacing w:after="160" w:line="278" w:lineRule="auto"/>
            </w:pPr>
            <w:r w:rsidRPr="0006176F">
              <w:t xml:space="preserve">Free Kinder for </w:t>
            </w:r>
            <w:r w:rsidR="00BB4FE0">
              <w:t xml:space="preserve">3 </w:t>
            </w:r>
            <w:r w:rsidRPr="0006176F">
              <w:t>and</w:t>
            </w:r>
            <w:r w:rsidR="00BB4FE0">
              <w:t xml:space="preserve"> 4</w:t>
            </w:r>
            <w:r w:rsidRPr="0006176F">
              <w:t>-year-olds cost around $375 million in 2024, with total costs projected to reach approximately $1.5 billion over the forward estimates.</w:t>
            </w:r>
            <w:r w:rsidRPr="0006176F">
              <w:rPr>
                <w:rStyle w:val="FootnoteReference"/>
              </w:rPr>
              <w:footnoteReference w:id="13"/>
            </w:r>
            <w:r w:rsidRPr="0006176F">
              <w:t xml:space="preserve"> The current Preschool Reform Agreement 2022–2025 (national partnership agreement) provides all children an effective entitlement to 15 hours per week of a preschool program in the year before full</w:t>
            </w:r>
            <w:r w:rsidR="00721EA2">
              <w:t xml:space="preserve"> </w:t>
            </w:r>
            <w:r w:rsidRPr="0006176F">
              <w:t xml:space="preserve">time school. Victoria’s delivery of 15 hours of </w:t>
            </w:r>
            <w:r w:rsidR="00572957">
              <w:t>3</w:t>
            </w:r>
            <w:r w:rsidRPr="0006176F">
              <w:t xml:space="preserve">-year-old kinder and 30 hours of </w:t>
            </w:r>
            <w:r w:rsidR="00572957">
              <w:t>4</w:t>
            </w:r>
            <w:r w:rsidRPr="0006176F">
              <w:t xml:space="preserve">-year-old kinder </w:t>
            </w:r>
            <w:proofErr w:type="gramStart"/>
            <w:r w:rsidRPr="0006176F">
              <w:t>delivers</w:t>
            </w:r>
            <w:proofErr w:type="gramEnd"/>
            <w:r w:rsidRPr="0006176F">
              <w:t xml:space="preserve"> beyond the agreement.</w:t>
            </w:r>
          </w:p>
          <w:p w14:paraId="0AEAA9F5" w14:textId="07DE14A3" w:rsidR="00540A28" w:rsidRPr="00B118CE" w:rsidRDefault="00540A28" w:rsidP="003234B0">
            <w:pPr>
              <w:spacing w:before="240" w:after="160" w:line="278" w:lineRule="auto"/>
            </w:pPr>
            <w:r w:rsidRPr="0006176F">
              <w:lastRenderedPageBreak/>
              <w:t xml:space="preserve">Prior to the introduction of Free Kinder for </w:t>
            </w:r>
            <w:r w:rsidR="00572957">
              <w:t>4</w:t>
            </w:r>
            <w:r w:rsidRPr="0006176F">
              <w:t xml:space="preserve">-year-olds, Victoria had </w:t>
            </w:r>
            <w:r w:rsidR="003B659A">
              <w:t xml:space="preserve">a </w:t>
            </w:r>
            <w:r w:rsidRPr="0006176F">
              <w:t>high participation rate in</w:t>
            </w:r>
            <w:r w:rsidR="007A645D">
              <w:t> </w:t>
            </w:r>
            <w:r w:rsidRPr="0006176F">
              <w:t xml:space="preserve">the program (92 per cent in 2019), with </w:t>
            </w:r>
            <w:proofErr w:type="gramStart"/>
            <w:r w:rsidRPr="0006176F">
              <w:t>targeted</w:t>
            </w:r>
            <w:proofErr w:type="gramEnd"/>
            <w:r w:rsidRPr="0006176F">
              <w:t xml:space="preserve"> </w:t>
            </w:r>
            <w:proofErr w:type="gramStart"/>
            <w:r w:rsidRPr="0006176F">
              <w:t>supports</w:t>
            </w:r>
            <w:proofErr w:type="gramEnd"/>
            <w:r w:rsidRPr="0006176F">
              <w:t xml:space="preserve"> for concession card holders, Aboriginal and Torres Strait Islander families, families known </w:t>
            </w:r>
            <w:proofErr w:type="gramStart"/>
            <w:r w:rsidRPr="0006176F">
              <w:t>to</w:t>
            </w:r>
            <w:proofErr w:type="gramEnd"/>
            <w:r w:rsidRPr="0006176F">
              <w:t xml:space="preserve"> child protection, and refugees and asylum seekers. The participation rate of </w:t>
            </w:r>
            <w:r w:rsidR="00572957">
              <w:t>4</w:t>
            </w:r>
            <w:r w:rsidRPr="0006176F">
              <w:t xml:space="preserve">-year-old </w:t>
            </w:r>
            <w:proofErr w:type="gramStart"/>
            <w:r w:rsidRPr="0006176F">
              <w:t>kinder</w:t>
            </w:r>
            <w:proofErr w:type="gramEnd"/>
            <w:r w:rsidRPr="0006176F">
              <w:t xml:space="preserve"> increased to 96</w:t>
            </w:r>
            <w:r w:rsidR="007A645D">
              <w:t> </w:t>
            </w:r>
            <w:r w:rsidRPr="0006176F">
              <w:t>per</w:t>
            </w:r>
            <w:r w:rsidR="007A645D">
              <w:t> </w:t>
            </w:r>
            <w:r w:rsidRPr="0006176F">
              <w:t>cent in 2024.</w:t>
            </w:r>
          </w:p>
          <w:p w14:paraId="6786D313" w14:textId="78B7DD0C" w:rsidR="00540A28" w:rsidRPr="00F921F2" w:rsidRDefault="00540A28" w:rsidP="00352512">
            <w:pPr>
              <w:spacing w:after="160" w:line="278" w:lineRule="auto"/>
            </w:pPr>
            <w:r w:rsidRPr="00B118CE">
              <w:t xml:space="preserve">With more granular data about family incomes, the government would have more flexibility, like the Commonwealth does, to target </w:t>
            </w:r>
            <w:proofErr w:type="gramStart"/>
            <w:r w:rsidRPr="00B118CE">
              <w:t>supports</w:t>
            </w:r>
            <w:proofErr w:type="gramEnd"/>
            <w:r w:rsidRPr="00B118CE">
              <w:t xml:space="preserve"> to families </w:t>
            </w:r>
            <w:r w:rsidR="00244096" w:rsidRPr="00F921F2">
              <w:t>more</w:t>
            </w:r>
            <w:r w:rsidR="00244096">
              <w:t xml:space="preserve"> </w:t>
            </w:r>
            <w:r w:rsidRPr="00B118CE">
              <w:t>efficiently and effectively.</w:t>
            </w:r>
          </w:p>
        </w:tc>
      </w:tr>
    </w:tbl>
    <w:p w14:paraId="77C85C88" w14:textId="77777777" w:rsidR="00556EBB" w:rsidRDefault="00556EBB" w:rsidP="00AB3F5E">
      <w:bookmarkStart w:id="50" w:name="_Toc202523977"/>
    </w:p>
    <w:p w14:paraId="12976ABD" w14:textId="5C92D7F2" w:rsidR="00540A28" w:rsidRDefault="00C54E0D" w:rsidP="00E84D9E">
      <w:pPr>
        <w:pStyle w:val="Heading2"/>
        <w:numPr>
          <w:ilvl w:val="0"/>
          <w:numId w:val="0"/>
        </w:numPr>
        <w:rPr>
          <w:lang w:val="en-GB"/>
        </w:rPr>
      </w:pPr>
      <w:bookmarkStart w:id="51" w:name="_Toc214911997"/>
      <w:r>
        <w:t xml:space="preserve">4.5   </w:t>
      </w:r>
      <w:r w:rsidR="00540A28" w:rsidRPr="00540A28">
        <w:t>Recommendations</w:t>
      </w:r>
      <w:bookmarkEnd w:id="50"/>
      <w:bookmarkEnd w:id="51"/>
    </w:p>
    <w:tbl>
      <w:tblPr>
        <w:tblStyle w:val="TableGrid"/>
        <w:tblW w:w="0" w:type="auto"/>
        <w:tblBorders>
          <w:top w:val="single" w:sz="4" w:space="0" w:color="156082" w:themeColor="accent1"/>
          <w:left w:val="single" w:sz="4" w:space="0" w:color="156082" w:themeColor="accent1"/>
          <w:bottom w:val="single" w:sz="4" w:space="0" w:color="156082" w:themeColor="accent1"/>
          <w:right w:val="single" w:sz="4" w:space="0" w:color="156082" w:themeColor="accent1"/>
          <w:insideH w:val="none" w:sz="0" w:space="0" w:color="auto"/>
          <w:insideV w:val="none" w:sz="0" w:space="0" w:color="auto"/>
        </w:tblBorders>
        <w:tblLook w:val="04A0" w:firstRow="1" w:lastRow="0" w:firstColumn="1" w:lastColumn="0" w:noHBand="0" w:noVBand="1"/>
      </w:tblPr>
      <w:tblGrid>
        <w:gridCol w:w="9016"/>
      </w:tblGrid>
      <w:tr w:rsidR="00540A28" w14:paraId="15735B31" w14:textId="77777777" w:rsidTr="00352512">
        <w:tc>
          <w:tcPr>
            <w:tcW w:w="9016" w:type="dxa"/>
          </w:tcPr>
          <w:p w14:paraId="0F48AF5D" w14:textId="5D3E9BC7" w:rsidR="00B20DF8" w:rsidRPr="00B20DF8" w:rsidRDefault="00B20DF8" w:rsidP="00B20DF8">
            <w:pPr>
              <w:pStyle w:val="ListParagraph"/>
              <w:numPr>
                <w:ilvl w:val="1"/>
                <w:numId w:val="23"/>
              </w:numPr>
              <w:spacing w:before="60" w:after="160" w:line="278" w:lineRule="auto"/>
              <w:ind w:left="601" w:hanging="601"/>
              <w:contextualSpacing w:val="0"/>
              <w:rPr>
                <w:rFonts w:eastAsia="Aptos" w:cs="Aptos"/>
              </w:rPr>
            </w:pPr>
            <w:r w:rsidRPr="00B20DF8">
              <w:rPr>
                <w:rFonts w:eastAsia="Aptos" w:cs="Aptos"/>
                <w:szCs w:val="22"/>
              </w:rPr>
              <w:t>Develop an overarching Commonwealth-State relations strategy for more effective strategic engagement, to unlock funding and savings, and to have a more proactive role in national reform.</w:t>
            </w:r>
          </w:p>
          <w:p w14:paraId="094EE963" w14:textId="06767310" w:rsidR="00540A28" w:rsidRPr="001C0A9D" w:rsidRDefault="00540A28" w:rsidP="00D207B3">
            <w:pPr>
              <w:pStyle w:val="ListParagraph"/>
              <w:numPr>
                <w:ilvl w:val="1"/>
                <w:numId w:val="23"/>
              </w:numPr>
              <w:spacing w:after="160" w:line="278" w:lineRule="auto"/>
              <w:ind w:left="601" w:hanging="601"/>
              <w:contextualSpacing w:val="0"/>
              <w:rPr>
                <w:rFonts w:eastAsia="Aptos" w:cs="Aptos"/>
              </w:rPr>
            </w:pPr>
            <w:r w:rsidRPr="001C0A9D">
              <w:rPr>
                <w:lang w:val="en-GB"/>
              </w:rPr>
              <w:t xml:space="preserve">Continue to highlight the </w:t>
            </w:r>
            <w:r>
              <w:rPr>
                <w:lang w:val="en-GB"/>
              </w:rPr>
              <w:t xml:space="preserve">major </w:t>
            </w:r>
            <w:r w:rsidRPr="001C0A9D">
              <w:rPr>
                <w:lang w:val="en-GB"/>
              </w:rPr>
              <w:t>consequences for Victoria</w:t>
            </w:r>
            <w:r>
              <w:rPr>
                <w:lang w:val="en-GB"/>
              </w:rPr>
              <w:t xml:space="preserve"> and other states and territories o</w:t>
            </w:r>
            <w:r w:rsidRPr="001C0A9D">
              <w:rPr>
                <w:lang w:val="en-GB"/>
              </w:rPr>
              <w:t xml:space="preserve">f </w:t>
            </w:r>
            <w:r w:rsidRPr="00085185">
              <w:rPr>
                <w:lang w:val="en-GB"/>
              </w:rPr>
              <w:t xml:space="preserve">the </w:t>
            </w:r>
            <w:r w:rsidR="00644E07" w:rsidRPr="00085185">
              <w:rPr>
                <w:lang w:val="en-GB"/>
              </w:rPr>
              <w:t>Commonwealth’s</w:t>
            </w:r>
            <w:r w:rsidRPr="001C0A9D">
              <w:rPr>
                <w:lang w:val="en-GB"/>
              </w:rPr>
              <w:t xml:space="preserve"> W</w:t>
            </w:r>
            <w:r w:rsidR="00A1613E">
              <w:rPr>
                <w:lang w:val="en-GB"/>
              </w:rPr>
              <w:t>estern Australia</w:t>
            </w:r>
            <w:r w:rsidRPr="001C0A9D">
              <w:rPr>
                <w:lang w:val="en-GB"/>
              </w:rPr>
              <w:t xml:space="preserve"> GST </w:t>
            </w:r>
            <w:proofErr w:type="gramStart"/>
            <w:r w:rsidRPr="001C0A9D">
              <w:rPr>
                <w:lang w:val="en-GB"/>
              </w:rPr>
              <w:t>agreement</w:t>
            </w:r>
            <w:r>
              <w:rPr>
                <w:lang w:val="en-GB"/>
              </w:rPr>
              <w:t>,</w:t>
            </w:r>
            <w:r w:rsidRPr="001C0A9D">
              <w:rPr>
                <w:lang w:val="en-GB"/>
              </w:rPr>
              <w:t xml:space="preserve"> and</w:t>
            </w:r>
            <w:proofErr w:type="gramEnd"/>
            <w:r w:rsidRPr="001C0A9D">
              <w:rPr>
                <w:lang w:val="en-GB"/>
              </w:rPr>
              <w:t xml:space="preserve"> work with states and territories to </w:t>
            </w:r>
            <w:r>
              <w:rPr>
                <w:lang w:val="en-GB"/>
              </w:rPr>
              <w:t>maintain the Commonwealth no-worse-off guarantee</w:t>
            </w:r>
            <w:r w:rsidRPr="001C0A9D">
              <w:rPr>
                <w:lang w:val="en-GB"/>
              </w:rPr>
              <w:t>.</w:t>
            </w:r>
          </w:p>
          <w:p w14:paraId="335C42AC" w14:textId="546DAC6E" w:rsidR="00540A28" w:rsidRPr="001C0A9D" w:rsidRDefault="00540A28" w:rsidP="00D207B3">
            <w:pPr>
              <w:pStyle w:val="ListParagraph"/>
              <w:numPr>
                <w:ilvl w:val="1"/>
                <w:numId w:val="23"/>
              </w:numPr>
              <w:spacing w:after="160" w:line="278" w:lineRule="auto"/>
              <w:ind w:left="601" w:hanging="601"/>
              <w:contextualSpacing w:val="0"/>
              <w:rPr>
                <w:rFonts w:eastAsia="Aptos" w:cs="Aptos"/>
                <w:lang w:val="en-GB"/>
              </w:rPr>
            </w:pPr>
            <w:r w:rsidRPr="001C0A9D">
              <w:rPr>
                <w:rFonts w:eastAsia="Aptos" w:cs="Aptos"/>
                <w:lang w:val="en-GB"/>
              </w:rPr>
              <w:t>Strengthen strategic capacity in the central agencies for Commonwealth</w:t>
            </w:r>
            <w:r w:rsidR="00935706">
              <w:rPr>
                <w:rFonts w:eastAsia="Aptos" w:cs="Aptos"/>
                <w:lang w:val="en-GB"/>
              </w:rPr>
              <w:t>-</w:t>
            </w:r>
            <w:r w:rsidR="002510DD">
              <w:rPr>
                <w:rFonts w:eastAsia="Aptos" w:cs="Aptos"/>
                <w:lang w:val="en-GB"/>
              </w:rPr>
              <w:t>S</w:t>
            </w:r>
            <w:r w:rsidRPr="001C0A9D">
              <w:rPr>
                <w:rFonts w:eastAsia="Aptos" w:cs="Aptos"/>
                <w:lang w:val="en-GB"/>
              </w:rPr>
              <w:t>tate relations work.</w:t>
            </w:r>
          </w:p>
          <w:p w14:paraId="757693CD" w14:textId="0AE61A39" w:rsidR="00540A28" w:rsidRPr="001C0A9D" w:rsidRDefault="00540A28" w:rsidP="00D207B3">
            <w:pPr>
              <w:pStyle w:val="ListParagraph"/>
              <w:numPr>
                <w:ilvl w:val="1"/>
                <w:numId w:val="23"/>
              </w:numPr>
              <w:spacing w:after="160" w:line="278" w:lineRule="auto"/>
              <w:ind w:left="601" w:hanging="601"/>
              <w:contextualSpacing w:val="0"/>
              <w:rPr>
                <w:rFonts w:eastAsia="Aptos" w:cs="Aptos"/>
                <w:lang w:val="en-GB"/>
              </w:rPr>
            </w:pPr>
            <w:r w:rsidRPr="001C0A9D">
              <w:rPr>
                <w:rFonts w:eastAsia="Aptos" w:cs="Aptos"/>
                <w:lang w:val="en-GB"/>
              </w:rPr>
              <w:t xml:space="preserve">Identify </w:t>
            </w:r>
            <w:r w:rsidR="0055604A">
              <w:rPr>
                <w:rFonts w:eastAsia="Aptos" w:cs="Aptos"/>
                <w:lang w:val="en-GB"/>
              </w:rPr>
              <w:t>current</w:t>
            </w:r>
            <w:r w:rsidRPr="001C0A9D">
              <w:rPr>
                <w:rFonts w:eastAsia="Aptos" w:cs="Aptos"/>
                <w:lang w:val="en-GB"/>
              </w:rPr>
              <w:t xml:space="preserve"> Victoria</w:t>
            </w:r>
            <w:r w:rsidR="002A5437">
              <w:rPr>
                <w:rFonts w:eastAsia="Aptos" w:cs="Aptos"/>
                <w:lang w:val="en-GB"/>
              </w:rPr>
              <w:t>n</w:t>
            </w:r>
            <w:r w:rsidRPr="001C0A9D">
              <w:rPr>
                <w:rFonts w:eastAsia="Aptos" w:cs="Aptos"/>
                <w:lang w:val="en-GB"/>
              </w:rPr>
              <w:t>-funded activities that fall under Commonwealth responsibility and develop options to withdraw or divest from these programs.</w:t>
            </w:r>
          </w:p>
          <w:p w14:paraId="61111F13" w14:textId="1FE807A6" w:rsidR="00540A28" w:rsidRPr="00785DB8" w:rsidRDefault="00540A28" w:rsidP="00D207B3">
            <w:pPr>
              <w:pStyle w:val="ListParagraph"/>
              <w:numPr>
                <w:ilvl w:val="1"/>
                <w:numId w:val="23"/>
              </w:numPr>
              <w:spacing w:after="160" w:line="278" w:lineRule="auto"/>
              <w:ind w:left="601" w:hanging="601"/>
              <w:contextualSpacing w:val="0"/>
              <w:rPr>
                <w:rFonts w:eastAsia="Aptos" w:cs="Aptos"/>
              </w:rPr>
            </w:pPr>
            <w:r w:rsidRPr="001C0A9D">
              <w:t>Advocate to the Commonwealth to fully fund Victoria’s 12 state-funded Urgent</w:t>
            </w:r>
            <w:r w:rsidR="00652180">
              <w:t> </w:t>
            </w:r>
            <w:r w:rsidRPr="001C0A9D">
              <w:t>Care</w:t>
            </w:r>
            <w:r w:rsidR="000A176A">
              <w:t> </w:t>
            </w:r>
            <w:r w:rsidRPr="001C0A9D">
              <w:t>Clinics.</w:t>
            </w:r>
          </w:p>
          <w:p w14:paraId="68E202A0" w14:textId="77777777" w:rsidR="00540A28" w:rsidRPr="007A039E" w:rsidRDefault="00540A28" w:rsidP="00D207B3">
            <w:pPr>
              <w:pStyle w:val="ListParagraph"/>
              <w:numPr>
                <w:ilvl w:val="1"/>
                <w:numId w:val="23"/>
              </w:numPr>
              <w:spacing w:after="160" w:line="278" w:lineRule="auto"/>
              <w:ind w:left="601" w:hanging="601"/>
              <w:contextualSpacing w:val="0"/>
              <w:rPr>
                <w:rFonts w:eastAsia="Aptos" w:cs="Aptos"/>
              </w:rPr>
            </w:pPr>
            <w:r w:rsidRPr="001C0A9D">
              <w:rPr>
                <w:rFonts w:eastAsia="Aptos" w:cs="Aptos"/>
                <w:lang w:val="en-GB"/>
              </w:rPr>
              <w:t>Advocate strongly for better data sharing to improve the ability of states and territories to better target programs and tax expenditures that address disadvantage and cost of living pressures.</w:t>
            </w:r>
          </w:p>
          <w:p w14:paraId="418BB574" w14:textId="0FF496E5" w:rsidR="00540A28" w:rsidRPr="001C0A9D" w:rsidRDefault="00540A28" w:rsidP="00D207B3">
            <w:pPr>
              <w:pStyle w:val="ListParagraph"/>
              <w:numPr>
                <w:ilvl w:val="1"/>
                <w:numId w:val="23"/>
              </w:numPr>
              <w:spacing w:after="160" w:line="278" w:lineRule="auto"/>
              <w:ind w:left="601" w:hanging="601"/>
              <w:contextualSpacing w:val="0"/>
              <w:rPr>
                <w:rFonts w:eastAsia="Aptos" w:cs="Aptos"/>
                <w:lang w:val="en-GB"/>
              </w:rPr>
            </w:pPr>
            <w:r>
              <w:t xml:space="preserve">Advocate for the Commonwealth to recommence state and territory funding from the </w:t>
            </w:r>
            <w:proofErr w:type="spellStart"/>
            <w:r>
              <w:t>DisabilityCare</w:t>
            </w:r>
            <w:proofErr w:type="spellEnd"/>
            <w:r>
              <w:t xml:space="preserve"> Australia Fund</w:t>
            </w:r>
            <w:r w:rsidR="001B4BE9">
              <w:t>,</w:t>
            </w:r>
            <w:r>
              <w:t xml:space="preserve"> </w:t>
            </w:r>
            <w:r w:rsidR="0004457A">
              <w:t xml:space="preserve">which is </w:t>
            </w:r>
            <w:r>
              <w:t>funded by the Medicare levy increase to support the provision of disability services.</w:t>
            </w:r>
          </w:p>
          <w:p w14:paraId="27BCEA40" w14:textId="77777777" w:rsidR="00540A28" w:rsidRPr="00AB1B54" w:rsidRDefault="00540A28" w:rsidP="00795F57">
            <w:pPr>
              <w:pStyle w:val="ListParagraph"/>
              <w:numPr>
                <w:ilvl w:val="1"/>
                <w:numId w:val="23"/>
              </w:numPr>
              <w:spacing w:after="60"/>
              <w:ind w:left="601" w:hanging="601"/>
              <w:contextualSpacing w:val="0"/>
              <w:rPr>
                <w:rFonts w:eastAsia="Aptos" w:cs="Aptos"/>
                <w:lang w:val="en-GB"/>
              </w:rPr>
            </w:pPr>
            <w:r w:rsidRPr="001C0A9D">
              <w:rPr>
                <w:rFonts w:eastAsia="Aptos" w:cs="Aptos"/>
                <w:lang w:val="en-GB"/>
              </w:rPr>
              <w:t xml:space="preserve">Advocate for a renewed national approach and related incentives that can improve services and drive </w:t>
            </w:r>
            <w:r>
              <w:rPr>
                <w:rFonts w:eastAsia="Aptos" w:cs="Aptos"/>
                <w:lang w:val="en-GB"/>
              </w:rPr>
              <w:t xml:space="preserve">private and </w:t>
            </w:r>
            <w:r w:rsidRPr="001C0A9D">
              <w:rPr>
                <w:rFonts w:eastAsia="Aptos" w:cs="Aptos"/>
                <w:lang w:val="en-GB"/>
              </w:rPr>
              <w:t>public sector productivity in Victoria and nationally.</w:t>
            </w:r>
            <w:r>
              <w:rPr>
                <w:rFonts w:eastAsia="Aptos" w:cs="Aptos"/>
                <w:lang w:val="en-GB"/>
              </w:rPr>
              <w:t xml:space="preserve"> </w:t>
            </w:r>
          </w:p>
        </w:tc>
      </w:tr>
    </w:tbl>
    <w:p w14:paraId="1EEBB38F" w14:textId="77777777" w:rsidR="00D7317B" w:rsidRDefault="00D7317B" w:rsidP="00D7317B">
      <w:pPr>
        <w:pStyle w:val="Figureheading"/>
      </w:pPr>
    </w:p>
    <w:p w14:paraId="624BA4FA" w14:textId="77777777" w:rsidR="00D7317B" w:rsidRDefault="00D7317B">
      <w:pPr>
        <w:rPr>
          <w:i/>
          <w:iCs/>
          <w:color w:val="0E2841" w:themeColor="text2"/>
          <w:sz w:val="26"/>
          <w:szCs w:val="18"/>
        </w:rPr>
      </w:pPr>
      <w:r>
        <w:br w:type="page"/>
      </w:r>
    </w:p>
    <w:p w14:paraId="5AF70624" w14:textId="0D91B09C" w:rsidR="00540A28" w:rsidRDefault="00540A28" w:rsidP="00D7317B">
      <w:pPr>
        <w:pStyle w:val="Figureheading"/>
      </w:pPr>
      <w:r w:rsidRPr="00DB3723">
        <w:lastRenderedPageBreak/>
        <w:t xml:space="preserve">Figure </w:t>
      </w:r>
      <w:r w:rsidR="00671BB0">
        <w:t>4</w:t>
      </w:r>
      <w:r w:rsidRPr="00DB3723">
        <w:t>.</w:t>
      </w:r>
      <w:r w:rsidR="009D5FCD">
        <w:fldChar w:fldCharType="begin"/>
      </w:r>
      <w:r w:rsidR="009D5FCD">
        <w:instrText xml:space="preserve"> SEQ Figure \* ARABIC \s 1 </w:instrText>
      </w:r>
      <w:r w:rsidR="009D5FCD">
        <w:fldChar w:fldCharType="separate"/>
      </w:r>
      <w:r w:rsidR="009D1283">
        <w:rPr>
          <w:noProof/>
        </w:rPr>
        <w:t>2</w:t>
      </w:r>
      <w:r w:rsidR="009D5FCD">
        <w:rPr>
          <w:noProof/>
        </w:rPr>
        <w:fldChar w:fldCharType="end"/>
      </w:r>
      <w:r w:rsidRPr="00DB3723">
        <w:t>: List of Commonwealth</w:t>
      </w:r>
      <w:r w:rsidR="00935706">
        <w:t>-</w:t>
      </w:r>
      <w:r w:rsidR="002510DD">
        <w:t>S</w:t>
      </w:r>
      <w:r w:rsidRPr="00DB3723">
        <w:t>tate individual and shared responsibilities</w:t>
      </w:r>
    </w:p>
    <w:tbl>
      <w:tblPr>
        <w:tblW w:w="9466" w:type="dxa"/>
        <w:tblBorders>
          <w:insideH w:val="single" w:sz="18" w:space="0" w:color="FFFFFF" w:themeColor="background1"/>
          <w:insideV w:val="single" w:sz="18" w:space="0" w:color="FFFFFF" w:themeColor="background1"/>
        </w:tblBorders>
        <w:tblCellMar>
          <w:left w:w="0" w:type="dxa"/>
          <w:right w:w="0" w:type="dxa"/>
        </w:tblCellMar>
        <w:tblLook w:val="0420" w:firstRow="1" w:lastRow="0" w:firstColumn="0" w:lastColumn="0" w:noHBand="0" w:noVBand="1"/>
      </w:tblPr>
      <w:tblGrid>
        <w:gridCol w:w="1518"/>
        <w:gridCol w:w="1514"/>
        <w:gridCol w:w="3416"/>
        <w:gridCol w:w="3018"/>
      </w:tblGrid>
      <w:tr w:rsidR="00ED7C8D" w:rsidRPr="000C2C68" w14:paraId="7301C3D3" w14:textId="77777777" w:rsidTr="003D3786">
        <w:trPr>
          <w:trHeight w:val="637"/>
          <w:tblHeader/>
        </w:trPr>
        <w:tc>
          <w:tcPr>
            <w:tcW w:w="1522" w:type="dxa"/>
            <w:tcBorders>
              <w:top w:val="nil"/>
              <w:bottom w:val="single" w:sz="18" w:space="0" w:color="FFFFFF" w:themeColor="background1"/>
              <w:right w:val="nil"/>
            </w:tcBorders>
            <w:tcMar>
              <w:top w:w="54" w:type="dxa"/>
              <w:left w:w="108" w:type="dxa"/>
              <w:bottom w:w="54" w:type="dxa"/>
              <w:right w:w="108" w:type="dxa"/>
            </w:tcMar>
            <w:vAlign w:val="center"/>
            <w:hideMark/>
          </w:tcPr>
          <w:p w14:paraId="1044C17E" w14:textId="77777777" w:rsidR="00ED7C8D" w:rsidRPr="00BB3E2A" w:rsidRDefault="00ED7C8D">
            <w:pPr>
              <w:rPr>
                <w:b/>
                <w:bCs/>
                <w:color w:val="FFFFFF" w:themeColor="background1"/>
                <w:sz w:val="18"/>
                <w:szCs w:val="18"/>
              </w:rPr>
            </w:pPr>
          </w:p>
        </w:tc>
        <w:tc>
          <w:tcPr>
            <w:tcW w:w="1313" w:type="dxa"/>
            <w:tcBorders>
              <w:top w:val="single" w:sz="4" w:space="0" w:color="FFFFFF" w:themeColor="background1"/>
              <w:left w:val="nil"/>
              <w:bottom w:val="single" w:sz="18" w:space="0" w:color="FFFFFF" w:themeColor="background1"/>
              <w:right w:val="nil"/>
            </w:tcBorders>
            <w:shd w:val="clear" w:color="auto" w:fill="595959" w:themeFill="text1" w:themeFillTint="A6"/>
            <w:tcMar>
              <w:top w:w="54" w:type="dxa"/>
              <w:left w:w="108" w:type="dxa"/>
              <w:bottom w:w="54" w:type="dxa"/>
              <w:right w:w="108" w:type="dxa"/>
            </w:tcMar>
            <w:vAlign w:val="center"/>
            <w:hideMark/>
          </w:tcPr>
          <w:p w14:paraId="38BFB70C" w14:textId="77777777" w:rsidR="00ED7C8D" w:rsidRPr="003243D8" w:rsidRDefault="00ED7C8D">
            <w:pPr>
              <w:rPr>
                <w:b/>
                <w:bCs/>
                <w:i/>
                <w:iCs/>
                <w:sz w:val="20"/>
                <w:szCs w:val="20"/>
              </w:rPr>
            </w:pPr>
            <w:r w:rsidRPr="003243D8">
              <w:rPr>
                <w:b/>
                <w:bCs/>
                <w:i/>
                <w:iCs/>
                <w:color w:val="FFFFFF" w:themeColor="background1"/>
                <w:sz w:val="20"/>
                <w:szCs w:val="20"/>
              </w:rPr>
              <w:t>Responsibility type</w:t>
            </w:r>
          </w:p>
        </w:tc>
        <w:tc>
          <w:tcPr>
            <w:tcW w:w="3526" w:type="dxa"/>
            <w:tcBorders>
              <w:top w:val="single" w:sz="4" w:space="0" w:color="FFFFFF" w:themeColor="background1"/>
              <w:left w:val="nil"/>
              <w:bottom w:val="single" w:sz="12" w:space="0" w:color="FFFFFF" w:themeColor="background1"/>
              <w:right w:val="nil"/>
            </w:tcBorders>
            <w:shd w:val="clear" w:color="auto" w:fill="1482AC"/>
            <w:tcMar>
              <w:top w:w="54" w:type="dxa"/>
              <w:left w:w="108" w:type="dxa"/>
              <w:bottom w:w="54" w:type="dxa"/>
              <w:right w:w="108" w:type="dxa"/>
            </w:tcMar>
            <w:vAlign w:val="center"/>
            <w:hideMark/>
          </w:tcPr>
          <w:p w14:paraId="2DDE0AA5" w14:textId="77777777" w:rsidR="00ED7C8D" w:rsidRPr="00624D3A" w:rsidRDefault="00ED7C8D">
            <w:pPr>
              <w:rPr>
                <w:b/>
                <w:bCs/>
                <w:color w:val="FFFFFF" w:themeColor="background1"/>
                <w:sz w:val="18"/>
                <w:szCs w:val="18"/>
              </w:rPr>
            </w:pPr>
            <w:r w:rsidRPr="00624D3A">
              <w:rPr>
                <w:b/>
                <w:bCs/>
                <w:color w:val="FFFFFF" w:themeColor="background1"/>
                <w:sz w:val="18"/>
                <w:szCs w:val="18"/>
              </w:rPr>
              <w:t>COMMONWEALTH GOVERNMENT</w:t>
            </w:r>
          </w:p>
        </w:tc>
        <w:tc>
          <w:tcPr>
            <w:tcW w:w="3105" w:type="dxa"/>
            <w:tcBorders>
              <w:top w:val="single" w:sz="4" w:space="0" w:color="FFFFFF" w:themeColor="background1"/>
              <w:left w:val="nil"/>
              <w:bottom w:val="single" w:sz="12" w:space="0" w:color="FFFFFF" w:themeColor="background1"/>
              <w:right w:val="single" w:sz="4" w:space="0" w:color="FFFFFF" w:themeColor="background1"/>
            </w:tcBorders>
            <w:shd w:val="clear" w:color="auto" w:fill="2E663E"/>
            <w:tcMar>
              <w:top w:w="54" w:type="dxa"/>
              <w:left w:w="108" w:type="dxa"/>
              <w:bottom w:w="54" w:type="dxa"/>
              <w:right w:w="108" w:type="dxa"/>
            </w:tcMar>
            <w:vAlign w:val="center"/>
            <w:hideMark/>
          </w:tcPr>
          <w:p w14:paraId="3A4B3A20" w14:textId="77777777" w:rsidR="00ED7C8D" w:rsidRPr="00624D3A" w:rsidRDefault="00ED7C8D">
            <w:pPr>
              <w:rPr>
                <w:b/>
                <w:bCs/>
                <w:color w:val="FFFFFF" w:themeColor="background1"/>
                <w:sz w:val="18"/>
                <w:szCs w:val="18"/>
              </w:rPr>
            </w:pPr>
            <w:r w:rsidRPr="00624D3A">
              <w:rPr>
                <w:b/>
                <w:bCs/>
                <w:color w:val="FFFFFF" w:themeColor="background1"/>
                <w:sz w:val="18"/>
                <w:szCs w:val="18"/>
              </w:rPr>
              <w:t>STATE/TERRITORY GOVERNMENT</w:t>
            </w:r>
          </w:p>
        </w:tc>
      </w:tr>
      <w:tr w:rsidR="00ED7C8D" w:rsidRPr="000C2C68" w14:paraId="44B2AA63" w14:textId="77777777" w:rsidTr="003D3786">
        <w:trPr>
          <w:trHeight w:val="1282"/>
        </w:trPr>
        <w:tc>
          <w:tcPr>
            <w:tcW w:w="1522" w:type="dxa"/>
            <w:vMerge w:val="restart"/>
            <w:tcBorders>
              <w:top w:val="single" w:sz="18" w:space="0" w:color="FFFFFF" w:themeColor="background1"/>
            </w:tcBorders>
            <w:shd w:val="clear" w:color="auto" w:fill="264457"/>
            <w:tcMar>
              <w:top w:w="54" w:type="dxa"/>
              <w:left w:w="108" w:type="dxa"/>
              <w:bottom w:w="54" w:type="dxa"/>
              <w:right w:w="108" w:type="dxa"/>
            </w:tcMar>
            <w:vAlign w:val="center"/>
            <w:hideMark/>
          </w:tcPr>
          <w:p w14:paraId="25C26C91" w14:textId="77777777" w:rsidR="00ED7C8D" w:rsidRPr="00BB3E2A" w:rsidRDefault="00ED7C8D">
            <w:pPr>
              <w:rPr>
                <w:b/>
                <w:bCs/>
                <w:color w:val="FFFFFF" w:themeColor="background1"/>
                <w:sz w:val="18"/>
                <w:szCs w:val="18"/>
              </w:rPr>
            </w:pPr>
            <w:r w:rsidRPr="00BB3E2A">
              <w:rPr>
                <w:b/>
                <w:bCs/>
                <w:color w:val="FFFFFF" w:themeColor="background1"/>
                <w:sz w:val="18"/>
                <w:szCs w:val="18"/>
              </w:rPr>
              <w:t>HEALTH, AGED CARE &amp; DISABILITY</w:t>
            </w:r>
          </w:p>
        </w:tc>
        <w:tc>
          <w:tcPr>
            <w:tcW w:w="1313" w:type="dxa"/>
            <w:tcBorders>
              <w:top w:val="single" w:sz="18" w:space="0" w:color="FFFFFF" w:themeColor="background1"/>
              <w:bottom w:val="single" w:sz="8" w:space="0" w:color="F2F2F2" w:themeColor="background1" w:themeShade="F2"/>
              <w:right w:val="single" w:sz="4" w:space="0" w:color="FFFFFF" w:themeColor="background1"/>
            </w:tcBorders>
            <w:shd w:val="clear" w:color="auto" w:fill="F2F2F2"/>
            <w:tcMar>
              <w:top w:w="54" w:type="dxa"/>
              <w:left w:w="108" w:type="dxa"/>
              <w:bottom w:w="54" w:type="dxa"/>
              <w:right w:w="108" w:type="dxa"/>
            </w:tcMar>
            <w:vAlign w:val="center"/>
            <w:hideMark/>
          </w:tcPr>
          <w:p w14:paraId="2ECBB458" w14:textId="77777777" w:rsidR="00ED7C8D" w:rsidRPr="003C7811" w:rsidRDefault="00ED7C8D">
            <w:pPr>
              <w:rPr>
                <w:b/>
                <w:bCs/>
                <w:i/>
                <w:iCs/>
                <w:sz w:val="20"/>
                <w:szCs w:val="20"/>
              </w:rPr>
            </w:pPr>
            <w:r w:rsidRPr="003C7811">
              <w:rPr>
                <w:b/>
                <w:bCs/>
                <w:i/>
                <w:iCs/>
                <w:sz w:val="20"/>
                <w:szCs w:val="20"/>
              </w:rPr>
              <w:t>Individual</w:t>
            </w:r>
          </w:p>
        </w:tc>
        <w:tc>
          <w:tcPr>
            <w:tcW w:w="3526" w:type="dxa"/>
            <w:tcBorders>
              <w:top w:val="single" w:sz="12" w:space="0" w:color="FFFFFF" w:themeColor="background1"/>
              <w:left w:val="single" w:sz="4" w:space="0" w:color="FFFFFF" w:themeColor="background1"/>
              <w:bottom w:val="single" w:sz="8" w:space="0" w:color="F2F2F2" w:themeColor="background1" w:themeShade="F2"/>
              <w:right w:val="single" w:sz="8" w:space="0" w:color="F2F2F2" w:themeColor="background1" w:themeShade="F2"/>
            </w:tcBorders>
            <w:tcMar>
              <w:top w:w="54" w:type="dxa"/>
              <w:left w:w="108" w:type="dxa"/>
              <w:bottom w:w="54" w:type="dxa"/>
              <w:right w:w="108" w:type="dxa"/>
            </w:tcMar>
            <w:hideMark/>
          </w:tcPr>
          <w:p w14:paraId="57D25A40" w14:textId="77777777" w:rsidR="00ED7C8D" w:rsidRPr="003C7811" w:rsidRDefault="00ED7C8D" w:rsidP="00ED7C8D">
            <w:pPr>
              <w:pStyle w:val="ListParagraph"/>
              <w:numPr>
                <w:ilvl w:val="0"/>
                <w:numId w:val="102"/>
              </w:numPr>
              <w:spacing w:after="0" w:line="276" w:lineRule="auto"/>
              <w:rPr>
                <w:sz w:val="18"/>
                <w:szCs w:val="18"/>
              </w:rPr>
            </w:pPr>
            <w:r w:rsidRPr="003C7811">
              <w:rPr>
                <w:sz w:val="18"/>
                <w:szCs w:val="18"/>
              </w:rPr>
              <w:t>Primary health care (e.g. Medicare, Pharmaceutical Benefits Scheme)</w:t>
            </w:r>
          </w:p>
          <w:p w14:paraId="3BDD31A0" w14:textId="77777777" w:rsidR="00ED7C8D" w:rsidRPr="003C7811" w:rsidRDefault="00ED7C8D" w:rsidP="00ED7C8D">
            <w:pPr>
              <w:pStyle w:val="ListParagraph"/>
              <w:numPr>
                <w:ilvl w:val="0"/>
                <w:numId w:val="102"/>
              </w:numPr>
              <w:spacing w:after="0" w:line="276" w:lineRule="auto"/>
              <w:rPr>
                <w:sz w:val="18"/>
                <w:szCs w:val="18"/>
              </w:rPr>
            </w:pPr>
            <w:r w:rsidRPr="003C7811">
              <w:rPr>
                <w:sz w:val="18"/>
                <w:szCs w:val="18"/>
              </w:rPr>
              <w:t>Aged care</w:t>
            </w:r>
          </w:p>
          <w:p w14:paraId="2FC5A1F0" w14:textId="77777777" w:rsidR="00ED7C8D" w:rsidRPr="003C7811" w:rsidRDefault="00ED7C8D" w:rsidP="00ED7C8D">
            <w:pPr>
              <w:pStyle w:val="ListParagraph"/>
              <w:numPr>
                <w:ilvl w:val="0"/>
                <w:numId w:val="102"/>
              </w:numPr>
              <w:spacing w:after="0" w:line="276" w:lineRule="auto"/>
              <w:rPr>
                <w:sz w:val="18"/>
                <w:szCs w:val="18"/>
              </w:rPr>
            </w:pPr>
            <w:r w:rsidRPr="003C7811">
              <w:rPr>
                <w:sz w:val="18"/>
                <w:szCs w:val="18"/>
              </w:rPr>
              <w:t>National Disability Insurance Scheme (NDIS) administration</w:t>
            </w:r>
          </w:p>
        </w:tc>
        <w:tc>
          <w:tcPr>
            <w:tcW w:w="3105" w:type="dxa"/>
            <w:tcBorders>
              <w:top w:val="single" w:sz="12" w:space="0" w:color="FFFFFF" w:themeColor="background1"/>
              <w:left w:val="single" w:sz="8" w:space="0" w:color="F2F2F2" w:themeColor="background1" w:themeShade="F2"/>
              <w:bottom w:val="single" w:sz="8" w:space="0" w:color="F2F2F2" w:themeColor="background1" w:themeShade="F2"/>
              <w:right w:val="single" w:sz="8" w:space="0" w:color="F2F2F2" w:themeColor="background1" w:themeShade="F2"/>
            </w:tcBorders>
            <w:tcMar>
              <w:top w:w="54" w:type="dxa"/>
              <w:left w:w="108" w:type="dxa"/>
              <w:bottom w:w="54" w:type="dxa"/>
              <w:right w:w="108" w:type="dxa"/>
            </w:tcMar>
            <w:hideMark/>
          </w:tcPr>
          <w:p w14:paraId="4BE253B8" w14:textId="77777777" w:rsidR="00ED7C8D" w:rsidRPr="003C7811" w:rsidRDefault="00ED7C8D" w:rsidP="00ED7C8D">
            <w:pPr>
              <w:pStyle w:val="ListParagraph"/>
              <w:numPr>
                <w:ilvl w:val="0"/>
                <w:numId w:val="102"/>
              </w:numPr>
              <w:spacing w:after="0" w:line="276" w:lineRule="auto"/>
              <w:rPr>
                <w:sz w:val="18"/>
                <w:szCs w:val="18"/>
              </w:rPr>
            </w:pPr>
            <w:r w:rsidRPr="003C7811">
              <w:rPr>
                <w:sz w:val="18"/>
                <w:szCs w:val="18"/>
              </w:rPr>
              <w:t>Emergency and acute care</w:t>
            </w:r>
          </w:p>
        </w:tc>
      </w:tr>
      <w:tr w:rsidR="00ED7C8D" w:rsidRPr="000C2C68" w14:paraId="4E36F776" w14:textId="77777777" w:rsidTr="00B556DA">
        <w:trPr>
          <w:trHeight w:val="1055"/>
        </w:trPr>
        <w:tc>
          <w:tcPr>
            <w:tcW w:w="1522" w:type="dxa"/>
            <w:vMerge/>
            <w:vAlign w:val="center"/>
            <w:hideMark/>
          </w:tcPr>
          <w:p w14:paraId="153F6B10" w14:textId="77777777" w:rsidR="00ED7C8D" w:rsidRPr="00BB3E2A" w:rsidRDefault="00ED7C8D">
            <w:pPr>
              <w:rPr>
                <w:b/>
                <w:bCs/>
                <w:color w:val="FFFFFF" w:themeColor="background1"/>
                <w:sz w:val="18"/>
                <w:szCs w:val="18"/>
              </w:rPr>
            </w:pPr>
          </w:p>
        </w:tc>
        <w:tc>
          <w:tcPr>
            <w:tcW w:w="1313" w:type="dxa"/>
            <w:tcBorders>
              <w:right w:val="single" w:sz="4" w:space="0" w:color="FFFFFF" w:themeColor="background1"/>
            </w:tcBorders>
            <w:shd w:val="clear" w:color="auto" w:fill="F2F2F2"/>
            <w:tcMar>
              <w:top w:w="54" w:type="dxa"/>
              <w:left w:w="108" w:type="dxa"/>
              <w:bottom w:w="54" w:type="dxa"/>
              <w:right w:w="108" w:type="dxa"/>
            </w:tcMar>
            <w:vAlign w:val="center"/>
            <w:hideMark/>
          </w:tcPr>
          <w:p w14:paraId="3CFB0926" w14:textId="77777777" w:rsidR="00ED7C8D" w:rsidRPr="003C7811" w:rsidRDefault="00ED7C8D">
            <w:pPr>
              <w:rPr>
                <w:b/>
                <w:bCs/>
                <w:i/>
                <w:iCs/>
                <w:sz w:val="20"/>
                <w:szCs w:val="20"/>
              </w:rPr>
            </w:pPr>
            <w:r w:rsidRPr="003C7811">
              <w:rPr>
                <w:b/>
                <w:bCs/>
                <w:i/>
                <w:iCs/>
                <w:sz w:val="20"/>
                <w:szCs w:val="20"/>
              </w:rPr>
              <w:t>Shared</w:t>
            </w:r>
          </w:p>
        </w:tc>
        <w:tc>
          <w:tcPr>
            <w:tcW w:w="6631" w:type="dxa"/>
            <w:gridSpan w:val="2"/>
            <w:tcBorders>
              <w:top w:val="single" w:sz="8" w:space="0" w:color="F2F2F2" w:themeColor="background1" w:themeShade="F2"/>
              <w:left w:val="single" w:sz="4" w:space="0" w:color="FFFFFF" w:themeColor="background1"/>
              <w:bottom w:val="single" w:sz="18" w:space="0" w:color="F2F2F2" w:themeColor="background1" w:themeShade="F2"/>
              <w:right w:val="single" w:sz="8" w:space="0" w:color="F2F2F2" w:themeColor="background1" w:themeShade="F2"/>
            </w:tcBorders>
            <w:tcMar>
              <w:top w:w="54" w:type="dxa"/>
              <w:left w:w="108" w:type="dxa"/>
              <w:bottom w:w="54" w:type="dxa"/>
              <w:right w:w="108" w:type="dxa"/>
            </w:tcMar>
            <w:hideMark/>
          </w:tcPr>
          <w:p w14:paraId="059AC376" w14:textId="77777777" w:rsidR="00ED7C8D" w:rsidRPr="003C7811" w:rsidRDefault="00ED7C8D" w:rsidP="00ED7C8D">
            <w:pPr>
              <w:pStyle w:val="ListParagraph"/>
              <w:numPr>
                <w:ilvl w:val="0"/>
                <w:numId w:val="102"/>
              </w:numPr>
              <w:spacing w:after="0" w:line="276" w:lineRule="auto"/>
              <w:rPr>
                <w:sz w:val="18"/>
                <w:szCs w:val="18"/>
              </w:rPr>
            </w:pPr>
            <w:r w:rsidRPr="003C7811">
              <w:rPr>
                <w:sz w:val="18"/>
                <w:szCs w:val="18"/>
              </w:rPr>
              <w:t>Public health (e.g. immunisations)</w:t>
            </w:r>
          </w:p>
          <w:p w14:paraId="1D493261" w14:textId="77777777" w:rsidR="00ED7C8D" w:rsidRPr="003C7811" w:rsidRDefault="00ED7C8D" w:rsidP="00ED7C8D">
            <w:pPr>
              <w:pStyle w:val="ListParagraph"/>
              <w:numPr>
                <w:ilvl w:val="0"/>
                <w:numId w:val="102"/>
              </w:numPr>
              <w:spacing w:after="0" w:line="276" w:lineRule="auto"/>
              <w:rPr>
                <w:sz w:val="18"/>
                <w:szCs w:val="18"/>
              </w:rPr>
            </w:pPr>
            <w:r w:rsidRPr="003C7811">
              <w:rPr>
                <w:sz w:val="18"/>
                <w:szCs w:val="18"/>
              </w:rPr>
              <w:t>Indigenous health</w:t>
            </w:r>
          </w:p>
          <w:p w14:paraId="1C1E62AC" w14:textId="77777777" w:rsidR="00ED7C8D" w:rsidRPr="003C7811" w:rsidRDefault="00ED7C8D" w:rsidP="00ED7C8D">
            <w:pPr>
              <w:pStyle w:val="ListParagraph"/>
              <w:numPr>
                <w:ilvl w:val="0"/>
                <w:numId w:val="102"/>
              </w:numPr>
              <w:spacing w:after="0" w:line="276" w:lineRule="auto"/>
              <w:rPr>
                <w:sz w:val="18"/>
                <w:szCs w:val="18"/>
              </w:rPr>
            </w:pPr>
            <w:r w:rsidRPr="003C7811">
              <w:rPr>
                <w:sz w:val="18"/>
                <w:szCs w:val="18"/>
              </w:rPr>
              <w:t>Health regulation and safety</w:t>
            </w:r>
          </w:p>
          <w:p w14:paraId="54BC1323" w14:textId="77777777" w:rsidR="00ED7C8D" w:rsidRPr="003C7811" w:rsidRDefault="00ED7C8D" w:rsidP="00ED7C8D">
            <w:pPr>
              <w:pStyle w:val="ListParagraph"/>
              <w:numPr>
                <w:ilvl w:val="0"/>
                <w:numId w:val="102"/>
              </w:numPr>
              <w:spacing w:after="0" w:line="276" w:lineRule="auto"/>
              <w:rPr>
                <w:sz w:val="18"/>
                <w:szCs w:val="18"/>
              </w:rPr>
            </w:pPr>
            <w:r w:rsidRPr="003C7811">
              <w:rPr>
                <w:sz w:val="18"/>
                <w:szCs w:val="18"/>
              </w:rPr>
              <w:t>Disability services</w:t>
            </w:r>
          </w:p>
        </w:tc>
      </w:tr>
      <w:tr w:rsidR="00ED7C8D" w:rsidRPr="000C2C68" w14:paraId="17B3025D" w14:textId="77777777" w:rsidTr="00B556DA">
        <w:trPr>
          <w:trHeight w:val="987"/>
        </w:trPr>
        <w:tc>
          <w:tcPr>
            <w:tcW w:w="1522" w:type="dxa"/>
            <w:vMerge w:val="restart"/>
            <w:shd w:val="clear" w:color="auto" w:fill="264457"/>
            <w:tcMar>
              <w:top w:w="54" w:type="dxa"/>
              <w:left w:w="108" w:type="dxa"/>
              <w:bottom w:w="54" w:type="dxa"/>
              <w:right w:w="108" w:type="dxa"/>
            </w:tcMar>
            <w:vAlign w:val="center"/>
            <w:hideMark/>
          </w:tcPr>
          <w:p w14:paraId="2DC04A3A" w14:textId="77777777" w:rsidR="00ED7C8D" w:rsidRPr="00BB3E2A" w:rsidRDefault="00ED7C8D">
            <w:pPr>
              <w:rPr>
                <w:b/>
                <w:bCs/>
                <w:color w:val="FFFFFF" w:themeColor="background1"/>
                <w:sz w:val="18"/>
                <w:szCs w:val="18"/>
              </w:rPr>
            </w:pPr>
            <w:r w:rsidRPr="00BB3E2A">
              <w:rPr>
                <w:b/>
                <w:bCs/>
                <w:color w:val="FFFFFF" w:themeColor="background1"/>
                <w:sz w:val="18"/>
                <w:szCs w:val="18"/>
              </w:rPr>
              <w:t>EDUCATION</w:t>
            </w:r>
          </w:p>
        </w:tc>
        <w:tc>
          <w:tcPr>
            <w:tcW w:w="1313" w:type="dxa"/>
            <w:tcBorders>
              <w:bottom w:val="single" w:sz="18" w:space="0" w:color="FFFFFF" w:themeColor="background1"/>
              <w:right w:val="single" w:sz="4" w:space="0" w:color="FFFFFF" w:themeColor="background1"/>
            </w:tcBorders>
            <w:shd w:val="clear" w:color="auto" w:fill="F2F2F2"/>
            <w:tcMar>
              <w:top w:w="54" w:type="dxa"/>
              <w:left w:w="108" w:type="dxa"/>
              <w:bottom w:w="54" w:type="dxa"/>
              <w:right w:w="108" w:type="dxa"/>
            </w:tcMar>
            <w:vAlign w:val="center"/>
            <w:hideMark/>
          </w:tcPr>
          <w:p w14:paraId="44EC5D2D" w14:textId="77777777" w:rsidR="00ED7C8D" w:rsidRPr="003C7811" w:rsidRDefault="00ED7C8D">
            <w:pPr>
              <w:rPr>
                <w:b/>
                <w:bCs/>
                <w:i/>
                <w:iCs/>
                <w:sz w:val="20"/>
                <w:szCs w:val="20"/>
              </w:rPr>
            </w:pPr>
            <w:r w:rsidRPr="003C7811">
              <w:rPr>
                <w:b/>
                <w:bCs/>
                <w:i/>
                <w:iCs/>
                <w:sz w:val="20"/>
                <w:szCs w:val="20"/>
              </w:rPr>
              <w:t>Individual</w:t>
            </w:r>
          </w:p>
        </w:tc>
        <w:tc>
          <w:tcPr>
            <w:tcW w:w="3526" w:type="dxa"/>
            <w:tcBorders>
              <w:top w:val="single" w:sz="2" w:space="0" w:color="D9D9D9" w:themeColor="background1" w:themeShade="D9"/>
              <w:left w:val="single" w:sz="4" w:space="0" w:color="FFFFFF" w:themeColor="background1"/>
              <w:bottom w:val="single" w:sz="8" w:space="0" w:color="F2F2F2" w:themeColor="background1" w:themeShade="F2"/>
              <w:right w:val="single" w:sz="8" w:space="0" w:color="F2F2F2" w:themeColor="background1" w:themeShade="F2"/>
            </w:tcBorders>
            <w:tcMar>
              <w:top w:w="54" w:type="dxa"/>
              <w:left w:w="108" w:type="dxa"/>
              <w:bottom w:w="54" w:type="dxa"/>
              <w:right w:w="108" w:type="dxa"/>
            </w:tcMar>
            <w:hideMark/>
          </w:tcPr>
          <w:p w14:paraId="3ABF537A" w14:textId="77777777" w:rsidR="00ED7C8D" w:rsidRPr="003C7811" w:rsidRDefault="00ED7C8D" w:rsidP="00ED7C8D">
            <w:pPr>
              <w:pStyle w:val="ListParagraph"/>
              <w:numPr>
                <w:ilvl w:val="0"/>
                <w:numId w:val="102"/>
              </w:numPr>
              <w:spacing w:after="0" w:line="276" w:lineRule="auto"/>
              <w:rPr>
                <w:sz w:val="18"/>
                <w:szCs w:val="18"/>
              </w:rPr>
            </w:pPr>
            <w:r w:rsidRPr="003C7811">
              <w:rPr>
                <w:sz w:val="18"/>
                <w:szCs w:val="18"/>
              </w:rPr>
              <w:t xml:space="preserve">Curriculum development </w:t>
            </w:r>
          </w:p>
          <w:p w14:paraId="58F237C6" w14:textId="77777777" w:rsidR="00ED7C8D" w:rsidRPr="003C7811" w:rsidRDefault="00ED7C8D" w:rsidP="00ED7C8D">
            <w:pPr>
              <w:pStyle w:val="ListParagraph"/>
              <w:numPr>
                <w:ilvl w:val="0"/>
                <w:numId w:val="102"/>
              </w:numPr>
              <w:spacing w:after="0" w:line="276" w:lineRule="auto"/>
              <w:rPr>
                <w:sz w:val="18"/>
                <w:szCs w:val="18"/>
              </w:rPr>
            </w:pPr>
            <w:r w:rsidRPr="003C7811">
              <w:rPr>
                <w:sz w:val="18"/>
                <w:szCs w:val="18"/>
              </w:rPr>
              <w:t>National framework oversight</w:t>
            </w:r>
          </w:p>
        </w:tc>
        <w:tc>
          <w:tcPr>
            <w:tcW w:w="3105" w:type="dxa"/>
            <w:tcBorders>
              <w:top w:val="single" w:sz="2" w:space="0" w:color="D9D9D9" w:themeColor="background1" w:themeShade="D9"/>
              <w:left w:val="single" w:sz="8" w:space="0" w:color="F2F2F2" w:themeColor="background1" w:themeShade="F2"/>
              <w:bottom w:val="single" w:sz="8" w:space="0" w:color="F2F2F2" w:themeColor="background1" w:themeShade="F2"/>
              <w:right w:val="single" w:sz="8" w:space="0" w:color="F2F2F2" w:themeColor="background1" w:themeShade="F2"/>
            </w:tcBorders>
            <w:tcMar>
              <w:top w:w="54" w:type="dxa"/>
              <w:left w:w="108" w:type="dxa"/>
              <w:bottom w:w="54" w:type="dxa"/>
              <w:right w:w="108" w:type="dxa"/>
            </w:tcMar>
            <w:hideMark/>
          </w:tcPr>
          <w:p w14:paraId="5F529992" w14:textId="77777777" w:rsidR="00ED7C8D" w:rsidRPr="003C7811" w:rsidRDefault="00ED7C8D" w:rsidP="00ED7C8D">
            <w:pPr>
              <w:pStyle w:val="ListParagraph"/>
              <w:numPr>
                <w:ilvl w:val="0"/>
                <w:numId w:val="102"/>
              </w:numPr>
              <w:spacing w:after="0" w:line="276" w:lineRule="auto"/>
              <w:rPr>
                <w:sz w:val="18"/>
                <w:szCs w:val="18"/>
              </w:rPr>
            </w:pPr>
            <w:r w:rsidRPr="003C7811">
              <w:rPr>
                <w:sz w:val="18"/>
                <w:szCs w:val="18"/>
              </w:rPr>
              <w:t>School infrastructure (e.g.</w:t>
            </w:r>
            <w:r>
              <w:rPr>
                <w:sz w:val="18"/>
                <w:szCs w:val="18"/>
              </w:rPr>
              <w:t> </w:t>
            </w:r>
            <w:r w:rsidRPr="003C7811">
              <w:rPr>
                <w:sz w:val="18"/>
                <w:szCs w:val="18"/>
              </w:rPr>
              <w:t>public schools)</w:t>
            </w:r>
          </w:p>
          <w:p w14:paraId="7EDA4C6E" w14:textId="77777777" w:rsidR="00ED7C8D" w:rsidRPr="003C7811" w:rsidRDefault="00ED7C8D" w:rsidP="00ED7C8D">
            <w:pPr>
              <w:pStyle w:val="ListParagraph"/>
              <w:numPr>
                <w:ilvl w:val="0"/>
                <w:numId w:val="102"/>
              </w:numPr>
              <w:spacing w:after="0" w:line="276" w:lineRule="auto"/>
              <w:rPr>
                <w:sz w:val="18"/>
                <w:szCs w:val="18"/>
              </w:rPr>
            </w:pPr>
            <w:r w:rsidRPr="003C7811">
              <w:rPr>
                <w:sz w:val="18"/>
                <w:szCs w:val="18"/>
              </w:rPr>
              <w:t>Education regulation and curriculum development</w:t>
            </w:r>
          </w:p>
        </w:tc>
      </w:tr>
      <w:tr w:rsidR="00ED7C8D" w:rsidRPr="000C2C68" w14:paraId="0C448E3B" w14:textId="77777777" w:rsidTr="00CF0327">
        <w:trPr>
          <w:trHeight w:val="886"/>
        </w:trPr>
        <w:tc>
          <w:tcPr>
            <w:tcW w:w="1522" w:type="dxa"/>
            <w:vMerge/>
            <w:tcBorders>
              <w:top w:val="single" w:sz="18" w:space="0" w:color="FFFFFF" w:themeColor="background1"/>
            </w:tcBorders>
            <w:vAlign w:val="center"/>
            <w:hideMark/>
          </w:tcPr>
          <w:p w14:paraId="496E5A90" w14:textId="77777777" w:rsidR="00ED7C8D" w:rsidRPr="00BB3E2A" w:rsidRDefault="00ED7C8D">
            <w:pPr>
              <w:rPr>
                <w:b/>
                <w:bCs/>
                <w:color w:val="FFFFFF" w:themeColor="background1"/>
                <w:sz w:val="18"/>
                <w:szCs w:val="18"/>
              </w:rPr>
            </w:pPr>
          </w:p>
        </w:tc>
        <w:tc>
          <w:tcPr>
            <w:tcW w:w="1313" w:type="dxa"/>
            <w:tcBorders>
              <w:top w:val="single" w:sz="18" w:space="0" w:color="FFFFFF" w:themeColor="background1"/>
              <w:bottom w:val="single" w:sz="18" w:space="0" w:color="FFFFFF" w:themeColor="background1"/>
              <w:right w:val="single" w:sz="8" w:space="0" w:color="FFFFFF" w:themeColor="background1"/>
            </w:tcBorders>
            <w:shd w:val="clear" w:color="auto" w:fill="F2F2F2"/>
            <w:tcMar>
              <w:top w:w="54" w:type="dxa"/>
              <w:left w:w="108" w:type="dxa"/>
              <w:bottom w:w="54" w:type="dxa"/>
              <w:right w:w="108" w:type="dxa"/>
            </w:tcMar>
            <w:vAlign w:val="center"/>
            <w:hideMark/>
          </w:tcPr>
          <w:p w14:paraId="299529AB" w14:textId="77777777" w:rsidR="00ED7C8D" w:rsidRPr="003C7811" w:rsidRDefault="00ED7C8D">
            <w:pPr>
              <w:rPr>
                <w:b/>
                <w:bCs/>
                <w:i/>
                <w:iCs/>
                <w:sz w:val="20"/>
                <w:szCs w:val="20"/>
              </w:rPr>
            </w:pPr>
            <w:r w:rsidRPr="003C7811">
              <w:rPr>
                <w:b/>
                <w:bCs/>
                <w:i/>
                <w:iCs/>
                <w:sz w:val="20"/>
                <w:szCs w:val="20"/>
              </w:rPr>
              <w:t>Shared</w:t>
            </w:r>
          </w:p>
        </w:tc>
        <w:tc>
          <w:tcPr>
            <w:tcW w:w="6631" w:type="dxa"/>
            <w:gridSpan w:val="2"/>
            <w:tcBorders>
              <w:top w:val="single" w:sz="8" w:space="0" w:color="F2F2F2" w:themeColor="background1" w:themeShade="F2"/>
              <w:left w:val="single" w:sz="8" w:space="0" w:color="FFFFFF" w:themeColor="background1"/>
              <w:bottom w:val="single" w:sz="18" w:space="0" w:color="F2F2F2" w:themeColor="background1" w:themeShade="F2"/>
              <w:right w:val="single" w:sz="8" w:space="0" w:color="F2F2F2" w:themeColor="background1" w:themeShade="F2"/>
            </w:tcBorders>
            <w:tcMar>
              <w:top w:w="54" w:type="dxa"/>
              <w:left w:w="108" w:type="dxa"/>
              <w:bottom w:w="54" w:type="dxa"/>
              <w:right w:w="108" w:type="dxa"/>
            </w:tcMar>
            <w:hideMark/>
          </w:tcPr>
          <w:p w14:paraId="5A6C596A" w14:textId="77777777" w:rsidR="00ED7C8D" w:rsidRPr="003C7811" w:rsidRDefault="00ED7C8D" w:rsidP="00ED7C8D">
            <w:pPr>
              <w:pStyle w:val="ListParagraph"/>
              <w:numPr>
                <w:ilvl w:val="0"/>
                <w:numId w:val="102"/>
              </w:numPr>
              <w:spacing w:after="0" w:line="276" w:lineRule="auto"/>
              <w:rPr>
                <w:sz w:val="18"/>
                <w:szCs w:val="18"/>
              </w:rPr>
            </w:pPr>
            <w:r w:rsidRPr="003C7811">
              <w:rPr>
                <w:sz w:val="18"/>
                <w:szCs w:val="18"/>
              </w:rPr>
              <w:t xml:space="preserve">Early childhood education and care </w:t>
            </w:r>
          </w:p>
          <w:p w14:paraId="09AF1E9D" w14:textId="77777777" w:rsidR="00ED7C8D" w:rsidRPr="003C7811" w:rsidRDefault="00ED7C8D" w:rsidP="00ED7C8D">
            <w:pPr>
              <w:pStyle w:val="ListParagraph"/>
              <w:numPr>
                <w:ilvl w:val="0"/>
                <w:numId w:val="102"/>
              </w:numPr>
              <w:spacing w:after="0" w:line="276" w:lineRule="auto"/>
              <w:rPr>
                <w:sz w:val="18"/>
                <w:szCs w:val="18"/>
              </w:rPr>
            </w:pPr>
            <w:r w:rsidRPr="003C7811">
              <w:rPr>
                <w:sz w:val="18"/>
                <w:szCs w:val="18"/>
              </w:rPr>
              <w:t>Primary and secondary schooling</w:t>
            </w:r>
          </w:p>
          <w:p w14:paraId="1E361E1E" w14:textId="77777777" w:rsidR="00ED7C8D" w:rsidRPr="003C7811" w:rsidRDefault="00ED7C8D" w:rsidP="00ED7C8D">
            <w:pPr>
              <w:pStyle w:val="ListParagraph"/>
              <w:numPr>
                <w:ilvl w:val="0"/>
                <w:numId w:val="102"/>
              </w:numPr>
              <w:spacing w:after="0" w:line="276" w:lineRule="auto"/>
              <w:rPr>
                <w:sz w:val="18"/>
                <w:szCs w:val="18"/>
              </w:rPr>
            </w:pPr>
            <w:r w:rsidRPr="003C7811">
              <w:rPr>
                <w:sz w:val="18"/>
                <w:szCs w:val="18"/>
              </w:rPr>
              <w:t>Higher education</w:t>
            </w:r>
          </w:p>
          <w:p w14:paraId="1D2E1767" w14:textId="77777777" w:rsidR="00ED7C8D" w:rsidRPr="003C7811" w:rsidRDefault="00ED7C8D" w:rsidP="00ED7C8D">
            <w:pPr>
              <w:pStyle w:val="ListParagraph"/>
              <w:numPr>
                <w:ilvl w:val="0"/>
                <w:numId w:val="102"/>
              </w:numPr>
              <w:spacing w:after="0" w:line="276" w:lineRule="auto"/>
              <w:rPr>
                <w:sz w:val="18"/>
                <w:szCs w:val="18"/>
              </w:rPr>
            </w:pPr>
            <w:r w:rsidRPr="003C7811">
              <w:rPr>
                <w:sz w:val="18"/>
                <w:szCs w:val="18"/>
              </w:rPr>
              <w:t>VET</w:t>
            </w:r>
          </w:p>
        </w:tc>
      </w:tr>
      <w:tr w:rsidR="00ED7C8D" w:rsidRPr="000C2C68" w14:paraId="62F3A79C" w14:textId="77777777" w:rsidTr="00DE1594">
        <w:trPr>
          <w:trHeight w:val="692"/>
        </w:trPr>
        <w:tc>
          <w:tcPr>
            <w:tcW w:w="1522" w:type="dxa"/>
            <w:vMerge w:val="restart"/>
            <w:shd w:val="clear" w:color="auto" w:fill="264457"/>
            <w:tcMar>
              <w:top w:w="54" w:type="dxa"/>
              <w:left w:w="108" w:type="dxa"/>
              <w:bottom w:w="54" w:type="dxa"/>
              <w:right w:w="108" w:type="dxa"/>
            </w:tcMar>
            <w:vAlign w:val="center"/>
            <w:hideMark/>
          </w:tcPr>
          <w:p w14:paraId="3D112FAC" w14:textId="77777777" w:rsidR="00ED7C8D" w:rsidRPr="00BB3E2A" w:rsidRDefault="00ED7C8D">
            <w:pPr>
              <w:rPr>
                <w:b/>
                <w:bCs/>
                <w:color w:val="FFFFFF" w:themeColor="background1"/>
                <w:sz w:val="18"/>
                <w:szCs w:val="18"/>
              </w:rPr>
            </w:pPr>
            <w:r w:rsidRPr="00BB3E2A">
              <w:rPr>
                <w:b/>
                <w:bCs/>
                <w:color w:val="FFFFFF" w:themeColor="background1"/>
                <w:sz w:val="18"/>
                <w:szCs w:val="18"/>
              </w:rPr>
              <w:t>ENVIRONMENT AND NATURAL RESOURCES</w:t>
            </w:r>
          </w:p>
        </w:tc>
        <w:tc>
          <w:tcPr>
            <w:tcW w:w="1313" w:type="dxa"/>
            <w:tcBorders>
              <w:top w:val="single" w:sz="18" w:space="0" w:color="FFFFFF" w:themeColor="background1"/>
              <w:right w:val="single" w:sz="8" w:space="0" w:color="FFFFFF" w:themeColor="background1"/>
            </w:tcBorders>
            <w:shd w:val="clear" w:color="auto" w:fill="F2F2F2"/>
            <w:tcMar>
              <w:top w:w="54" w:type="dxa"/>
              <w:left w:w="108" w:type="dxa"/>
              <w:bottom w:w="54" w:type="dxa"/>
              <w:right w:w="108" w:type="dxa"/>
            </w:tcMar>
            <w:vAlign w:val="center"/>
            <w:hideMark/>
          </w:tcPr>
          <w:p w14:paraId="575EA2D7" w14:textId="77777777" w:rsidR="00ED7C8D" w:rsidRPr="003C7811" w:rsidRDefault="00ED7C8D">
            <w:pPr>
              <w:rPr>
                <w:b/>
                <w:bCs/>
                <w:i/>
                <w:iCs/>
                <w:sz w:val="20"/>
                <w:szCs w:val="20"/>
              </w:rPr>
            </w:pPr>
            <w:r w:rsidRPr="003C7811">
              <w:rPr>
                <w:b/>
                <w:bCs/>
                <w:i/>
                <w:iCs/>
                <w:sz w:val="20"/>
                <w:szCs w:val="20"/>
              </w:rPr>
              <w:t>Individual</w:t>
            </w:r>
          </w:p>
        </w:tc>
        <w:tc>
          <w:tcPr>
            <w:tcW w:w="3526" w:type="dxa"/>
            <w:tcBorders>
              <w:top w:val="single" w:sz="4" w:space="0" w:color="auto"/>
              <w:left w:val="single" w:sz="8" w:space="0" w:color="FFFFFF" w:themeColor="background1"/>
              <w:bottom w:val="single" w:sz="8" w:space="0" w:color="F2F2F2" w:themeColor="background1" w:themeShade="F2"/>
              <w:right w:val="single" w:sz="8" w:space="0" w:color="F2F2F2" w:themeColor="background1" w:themeShade="F2"/>
            </w:tcBorders>
            <w:tcMar>
              <w:top w:w="54" w:type="dxa"/>
              <w:left w:w="108" w:type="dxa"/>
              <w:bottom w:w="54" w:type="dxa"/>
              <w:right w:w="108" w:type="dxa"/>
            </w:tcMar>
            <w:hideMark/>
          </w:tcPr>
          <w:p w14:paraId="6499E546" w14:textId="77777777" w:rsidR="00ED7C8D" w:rsidRPr="003C7811" w:rsidRDefault="00ED7C8D" w:rsidP="00ED7C8D">
            <w:pPr>
              <w:pStyle w:val="ListParagraph"/>
              <w:numPr>
                <w:ilvl w:val="0"/>
                <w:numId w:val="102"/>
              </w:numPr>
              <w:spacing w:after="0" w:line="276" w:lineRule="auto"/>
              <w:rPr>
                <w:sz w:val="18"/>
                <w:szCs w:val="18"/>
              </w:rPr>
            </w:pPr>
            <w:r w:rsidRPr="003C7811">
              <w:rPr>
                <w:sz w:val="18"/>
                <w:szCs w:val="18"/>
              </w:rPr>
              <w:t>International environmental treaties and obligations</w:t>
            </w:r>
          </w:p>
        </w:tc>
        <w:tc>
          <w:tcPr>
            <w:tcW w:w="3105" w:type="dxa"/>
            <w:tcBorders>
              <w:top w:val="single" w:sz="1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tcMar>
              <w:top w:w="54" w:type="dxa"/>
              <w:left w:w="108" w:type="dxa"/>
              <w:bottom w:w="54" w:type="dxa"/>
              <w:right w:w="108" w:type="dxa"/>
            </w:tcMar>
            <w:hideMark/>
          </w:tcPr>
          <w:p w14:paraId="7EFDA018" w14:textId="77777777" w:rsidR="00ED7C8D" w:rsidRPr="003C7811" w:rsidRDefault="00ED7C8D" w:rsidP="00ED7C8D">
            <w:pPr>
              <w:pStyle w:val="ListParagraph"/>
              <w:numPr>
                <w:ilvl w:val="0"/>
                <w:numId w:val="102"/>
              </w:numPr>
              <w:spacing w:after="0" w:line="276" w:lineRule="auto"/>
              <w:rPr>
                <w:sz w:val="18"/>
                <w:szCs w:val="18"/>
              </w:rPr>
            </w:pPr>
            <w:r w:rsidRPr="003C7811">
              <w:rPr>
                <w:sz w:val="18"/>
                <w:szCs w:val="18"/>
              </w:rPr>
              <w:t>Land use and planning</w:t>
            </w:r>
          </w:p>
        </w:tc>
      </w:tr>
      <w:tr w:rsidR="00ED7C8D" w:rsidRPr="000C2C68" w14:paraId="2F91D5A0" w14:textId="77777777" w:rsidTr="00B556DA">
        <w:trPr>
          <w:trHeight w:val="732"/>
        </w:trPr>
        <w:tc>
          <w:tcPr>
            <w:tcW w:w="1522" w:type="dxa"/>
            <w:vMerge/>
            <w:tcBorders>
              <w:top w:val="single" w:sz="18" w:space="0" w:color="FFFFFF" w:themeColor="background1"/>
            </w:tcBorders>
            <w:vAlign w:val="center"/>
            <w:hideMark/>
          </w:tcPr>
          <w:p w14:paraId="38720548" w14:textId="77777777" w:rsidR="00ED7C8D" w:rsidRPr="00BB3E2A" w:rsidRDefault="00ED7C8D">
            <w:pPr>
              <w:rPr>
                <w:b/>
                <w:bCs/>
                <w:color w:val="FFFFFF" w:themeColor="background1"/>
                <w:sz w:val="18"/>
                <w:szCs w:val="18"/>
              </w:rPr>
            </w:pPr>
          </w:p>
        </w:tc>
        <w:tc>
          <w:tcPr>
            <w:tcW w:w="1313" w:type="dxa"/>
            <w:tcBorders>
              <w:top w:val="single" w:sz="18" w:space="0" w:color="FFFFFF" w:themeColor="background1"/>
              <w:right w:val="single" w:sz="4" w:space="0" w:color="FFFFFF" w:themeColor="background1"/>
            </w:tcBorders>
            <w:shd w:val="clear" w:color="auto" w:fill="F2F2F2"/>
            <w:tcMar>
              <w:top w:w="54" w:type="dxa"/>
              <w:left w:w="108" w:type="dxa"/>
              <w:bottom w:w="54" w:type="dxa"/>
              <w:right w:w="108" w:type="dxa"/>
            </w:tcMar>
            <w:vAlign w:val="center"/>
            <w:hideMark/>
          </w:tcPr>
          <w:p w14:paraId="09416D6E" w14:textId="77777777" w:rsidR="00ED7C8D" w:rsidRPr="003C7811" w:rsidRDefault="00ED7C8D">
            <w:pPr>
              <w:rPr>
                <w:b/>
                <w:bCs/>
                <w:i/>
                <w:iCs/>
                <w:sz w:val="20"/>
                <w:szCs w:val="20"/>
              </w:rPr>
            </w:pPr>
            <w:r w:rsidRPr="003C7811">
              <w:rPr>
                <w:b/>
                <w:bCs/>
                <w:i/>
                <w:iCs/>
                <w:sz w:val="20"/>
                <w:szCs w:val="20"/>
              </w:rPr>
              <w:t>Shared</w:t>
            </w:r>
          </w:p>
        </w:tc>
        <w:tc>
          <w:tcPr>
            <w:tcW w:w="6631" w:type="dxa"/>
            <w:gridSpan w:val="2"/>
            <w:tcBorders>
              <w:top w:val="single" w:sz="8" w:space="0" w:color="F2F2F2" w:themeColor="background1" w:themeShade="F2"/>
              <w:left w:val="single" w:sz="4" w:space="0" w:color="FFFFFF" w:themeColor="background1"/>
              <w:bottom w:val="single" w:sz="4" w:space="0" w:color="D9D9D9" w:themeColor="background1" w:themeShade="D9"/>
              <w:right w:val="single" w:sz="8" w:space="0" w:color="F2F2F2" w:themeColor="background1" w:themeShade="F2"/>
            </w:tcBorders>
            <w:tcMar>
              <w:top w:w="54" w:type="dxa"/>
              <w:left w:w="108" w:type="dxa"/>
              <w:bottom w:w="54" w:type="dxa"/>
              <w:right w:w="108" w:type="dxa"/>
            </w:tcMar>
            <w:hideMark/>
          </w:tcPr>
          <w:p w14:paraId="2E0FD95F" w14:textId="77777777" w:rsidR="00ED7C8D" w:rsidRPr="003C7811" w:rsidRDefault="00ED7C8D" w:rsidP="00ED7C8D">
            <w:pPr>
              <w:pStyle w:val="ListParagraph"/>
              <w:numPr>
                <w:ilvl w:val="0"/>
                <w:numId w:val="102"/>
              </w:numPr>
              <w:spacing w:after="0" w:line="276" w:lineRule="auto"/>
              <w:rPr>
                <w:sz w:val="18"/>
                <w:szCs w:val="18"/>
              </w:rPr>
            </w:pPr>
            <w:r w:rsidRPr="003C7811">
              <w:rPr>
                <w:sz w:val="18"/>
                <w:szCs w:val="18"/>
              </w:rPr>
              <w:t>Environmental protection and conservation</w:t>
            </w:r>
          </w:p>
          <w:p w14:paraId="3112E522" w14:textId="77777777" w:rsidR="00ED7C8D" w:rsidRPr="003C7811" w:rsidRDefault="00ED7C8D" w:rsidP="00ED7C8D">
            <w:pPr>
              <w:pStyle w:val="ListParagraph"/>
              <w:numPr>
                <w:ilvl w:val="0"/>
                <w:numId w:val="102"/>
              </w:numPr>
              <w:spacing w:after="0" w:line="276" w:lineRule="auto"/>
              <w:rPr>
                <w:sz w:val="18"/>
                <w:szCs w:val="18"/>
              </w:rPr>
            </w:pPr>
            <w:r w:rsidRPr="003C7811">
              <w:rPr>
                <w:sz w:val="18"/>
                <w:szCs w:val="18"/>
              </w:rPr>
              <w:t>Natural resource management</w:t>
            </w:r>
          </w:p>
          <w:p w14:paraId="3CED181A" w14:textId="77777777" w:rsidR="00ED7C8D" w:rsidRPr="003C7811" w:rsidRDefault="00ED7C8D" w:rsidP="00ED7C8D">
            <w:pPr>
              <w:pStyle w:val="ListParagraph"/>
              <w:numPr>
                <w:ilvl w:val="0"/>
                <w:numId w:val="102"/>
              </w:numPr>
              <w:spacing w:after="0" w:line="276" w:lineRule="auto"/>
              <w:rPr>
                <w:sz w:val="18"/>
                <w:szCs w:val="18"/>
              </w:rPr>
            </w:pPr>
            <w:r w:rsidRPr="003C7811">
              <w:rPr>
                <w:sz w:val="18"/>
                <w:szCs w:val="18"/>
              </w:rPr>
              <w:t>Climate change policy and action</w:t>
            </w:r>
          </w:p>
          <w:p w14:paraId="6EC2739C" w14:textId="77777777" w:rsidR="00ED7C8D" w:rsidRPr="003C7811" w:rsidRDefault="00ED7C8D" w:rsidP="00ED7C8D">
            <w:pPr>
              <w:pStyle w:val="ListParagraph"/>
              <w:numPr>
                <w:ilvl w:val="0"/>
                <w:numId w:val="102"/>
              </w:numPr>
              <w:spacing w:after="0" w:line="276" w:lineRule="auto"/>
              <w:rPr>
                <w:sz w:val="18"/>
                <w:szCs w:val="18"/>
              </w:rPr>
            </w:pPr>
            <w:r w:rsidRPr="003C7811">
              <w:rPr>
                <w:sz w:val="18"/>
                <w:szCs w:val="18"/>
              </w:rPr>
              <w:t>Energy policy and regulation</w:t>
            </w:r>
          </w:p>
          <w:p w14:paraId="34DA2388" w14:textId="77777777" w:rsidR="00ED7C8D" w:rsidRPr="003C7811" w:rsidRDefault="00ED7C8D" w:rsidP="00ED7C8D">
            <w:pPr>
              <w:pStyle w:val="ListParagraph"/>
              <w:numPr>
                <w:ilvl w:val="0"/>
                <w:numId w:val="102"/>
              </w:numPr>
              <w:spacing w:after="0" w:line="276" w:lineRule="auto"/>
              <w:rPr>
                <w:sz w:val="18"/>
                <w:szCs w:val="18"/>
              </w:rPr>
            </w:pPr>
            <w:r w:rsidRPr="003C7811">
              <w:rPr>
                <w:sz w:val="18"/>
                <w:szCs w:val="18"/>
              </w:rPr>
              <w:t>Water resources and management</w:t>
            </w:r>
          </w:p>
        </w:tc>
      </w:tr>
      <w:tr w:rsidR="00ED7C8D" w:rsidRPr="000C2C68" w14:paraId="4BAE0544" w14:textId="77777777" w:rsidTr="00756102">
        <w:trPr>
          <w:trHeight w:val="697"/>
        </w:trPr>
        <w:tc>
          <w:tcPr>
            <w:tcW w:w="1522" w:type="dxa"/>
            <w:vMerge w:val="restart"/>
            <w:shd w:val="clear" w:color="auto" w:fill="264457"/>
            <w:tcMar>
              <w:top w:w="54" w:type="dxa"/>
              <w:left w:w="108" w:type="dxa"/>
              <w:bottom w:w="54" w:type="dxa"/>
              <w:right w:w="108" w:type="dxa"/>
            </w:tcMar>
            <w:vAlign w:val="center"/>
            <w:hideMark/>
          </w:tcPr>
          <w:p w14:paraId="08BD1DF7" w14:textId="77777777" w:rsidR="00ED7C8D" w:rsidRPr="00BB3E2A" w:rsidRDefault="00ED7C8D">
            <w:pPr>
              <w:rPr>
                <w:b/>
                <w:bCs/>
                <w:color w:val="FFFFFF" w:themeColor="background1"/>
                <w:sz w:val="18"/>
                <w:szCs w:val="18"/>
              </w:rPr>
            </w:pPr>
            <w:r w:rsidRPr="00BB3E2A">
              <w:rPr>
                <w:b/>
                <w:bCs/>
                <w:color w:val="FFFFFF" w:themeColor="background1"/>
                <w:sz w:val="18"/>
                <w:szCs w:val="18"/>
              </w:rPr>
              <w:t>EMPLOYMENT</w:t>
            </w:r>
          </w:p>
        </w:tc>
        <w:tc>
          <w:tcPr>
            <w:tcW w:w="1313" w:type="dxa"/>
            <w:tcBorders>
              <w:bottom w:val="single" w:sz="18" w:space="0" w:color="FFFFFF" w:themeColor="background1"/>
              <w:right w:val="single" w:sz="4" w:space="0" w:color="FFFFFF" w:themeColor="background1"/>
            </w:tcBorders>
            <w:shd w:val="clear" w:color="auto" w:fill="F2F2F2"/>
            <w:tcMar>
              <w:top w:w="54" w:type="dxa"/>
              <w:left w:w="108" w:type="dxa"/>
              <w:bottom w:w="54" w:type="dxa"/>
              <w:right w:w="108" w:type="dxa"/>
            </w:tcMar>
            <w:vAlign w:val="center"/>
            <w:hideMark/>
          </w:tcPr>
          <w:p w14:paraId="5A33411B" w14:textId="77777777" w:rsidR="00ED7C8D" w:rsidRPr="003C7811" w:rsidRDefault="00ED7C8D">
            <w:pPr>
              <w:rPr>
                <w:b/>
                <w:bCs/>
                <w:i/>
                <w:iCs/>
                <w:sz w:val="20"/>
                <w:szCs w:val="20"/>
              </w:rPr>
            </w:pPr>
            <w:r w:rsidRPr="003C7811">
              <w:rPr>
                <w:b/>
                <w:bCs/>
                <w:i/>
                <w:iCs/>
                <w:sz w:val="20"/>
                <w:szCs w:val="20"/>
              </w:rPr>
              <w:t>Individual</w:t>
            </w:r>
          </w:p>
        </w:tc>
        <w:tc>
          <w:tcPr>
            <w:tcW w:w="3526" w:type="dxa"/>
            <w:tcBorders>
              <w:top w:val="single" w:sz="18" w:space="0" w:color="F2F2F2" w:themeColor="background1" w:themeShade="F2"/>
              <w:left w:val="single" w:sz="4" w:space="0" w:color="FFFFFF" w:themeColor="background1"/>
              <w:bottom w:val="single" w:sz="8" w:space="0" w:color="F2F2F2" w:themeColor="background1" w:themeShade="F2"/>
              <w:right w:val="single" w:sz="8" w:space="0" w:color="F2F2F2" w:themeColor="background1" w:themeShade="F2"/>
            </w:tcBorders>
            <w:tcMar>
              <w:top w:w="54" w:type="dxa"/>
              <w:left w:w="108" w:type="dxa"/>
              <w:bottom w:w="54" w:type="dxa"/>
              <w:right w:w="108" w:type="dxa"/>
            </w:tcMar>
            <w:hideMark/>
          </w:tcPr>
          <w:p w14:paraId="7B55815F" w14:textId="77777777" w:rsidR="00ED7C8D" w:rsidRPr="003C7811" w:rsidRDefault="00ED7C8D" w:rsidP="00ED7C8D">
            <w:pPr>
              <w:pStyle w:val="ListParagraph"/>
              <w:numPr>
                <w:ilvl w:val="0"/>
                <w:numId w:val="102"/>
              </w:numPr>
              <w:spacing w:after="0" w:line="276" w:lineRule="auto"/>
              <w:rPr>
                <w:sz w:val="18"/>
                <w:szCs w:val="18"/>
              </w:rPr>
            </w:pPr>
            <w:r w:rsidRPr="003C7811">
              <w:rPr>
                <w:sz w:val="18"/>
                <w:szCs w:val="18"/>
              </w:rPr>
              <w:t>National Employment Standards</w:t>
            </w:r>
          </w:p>
          <w:p w14:paraId="1A510E2D" w14:textId="77777777" w:rsidR="00ED7C8D" w:rsidRPr="003C7811" w:rsidRDefault="00ED7C8D" w:rsidP="00ED7C8D">
            <w:pPr>
              <w:pStyle w:val="ListParagraph"/>
              <w:numPr>
                <w:ilvl w:val="0"/>
                <w:numId w:val="102"/>
              </w:numPr>
              <w:spacing w:after="0" w:line="276" w:lineRule="auto"/>
              <w:rPr>
                <w:sz w:val="18"/>
                <w:szCs w:val="18"/>
              </w:rPr>
            </w:pPr>
            <w:r w:rsidRPr="003C7811">
              <w:rPr>
                <w:sz w:val="18"/>
                <w:szCs w:val="18"/>
              </w:rPr>
              <w:t>Skilled migration pathways</w:t>
            </w:r>
          </w:p>
        </w:tc>
        <w:tc>
          <w:tcPr>
            <w:tcW w:w="3105" w:type="dxa"/>
            <w:tcBorders>
              <w:top w:val="single" w:sz="18" w:space="0" w:color="F2F2F2" w:themeColor="background1" w:themeShade="F2"/>
              <w:left w:val="single" w:sz="8" w:space="0" w:color="F2F2F2" w:themeColor="background1" w:themeShade="F2"/>
              <w:bottom w:val="single" w:sz="6" w:space="0" w:color="F2F2F2" w:themeColor="background1" w:themeShade="F2"/>
              <w:right w:val="single" w:sz="8" w:space="0" w:color="F2F2F2" w:themeColor="background1" w:themeShade="F2"/>
            </w:tcBorders>
            <w:tcMar>
              <w:top w:w="54" w:type="dxa"/>
              <w:left w:w="108" w:type="dxa"/>
              <w:bottom w:w="54" w:type="dxa"/>
              <w:right w:w="108" w:type="dxa"/>
            </w:tcMar>
            <w:hideMark/>
          </w:tcPr>
          <w:p w14:paraId="3299A725" w14:textId="77777777" w:rsidR="00ED7C8D" w:rsidRPr="003C7811" w:rsidRDefault="00ED7C8D" w:rsidP="00ED7C8D">
            <w:pPr>
              <w:pStyle w:val="ListParagraph"/>
              <w:numPr>
                <w:ilvl w:val="0"/>
                <w:numId w:val="102"/>
              </w:numPr>
              <w:spacing w:after="0" w:line="276" w:lineRule="auto"/>
              <w:rPr>
                <w:sz w:val="18"/>
                <w:szCs w:val="18"/>
              </w:rPr>
            </w:pPr>
            <w:r w:rsidRPr="003C7811">
              <w:rPr>
                <w:sz w:val="18"/>
                <w:szCs w:val="18"/>
              </w:rPr>
              <w:t>State Migration Plans</w:t>
            </w:r>
          </w:p>
        </w:tc>
      </w:tr>
      <w:tr w:rsidR="00ED7C8D" w:rsidRPr="000C2C68" w14:paraId="68CB6E8E" w14:textId="77777777" w:rsidTr="00FD2049">
        <w:trPr>
          <w:trHeight w:val="943"/>
        </w:trPr>
        <w:tc>
          <w:tcPr>
            <w:tcW w:w="1522" w:type="dxa"/>
            <w:vMerge/>
            <w:tcBorders>
              <w:bottom w:val="single" w:sz="4" w:space="0" w:color="F2F2F2" w:themeColor="background1" w:themeShade="F2"/>
            </w:tcBorders>
            <w:vAlign w:val="center"/>
            <w:hideMark/>
          </w:tcPr>
          <w:p w14:paraId="6E0CDED6" w14:textId="77777777" w:rsidR="00ED7C8D" w:rsidRPr="00BB3E2A" w:rsidRDefault="00ED7C8D">
            <w:pPr>
              <w:rPr>
                <w:b/>
                <w:bCs/>
                <w:color w:val="FFFFFF" w:themeColor="background1"/>
                <w:sz w:val="18"/>
                <w:szCs w:val="18"/>
              </w:rPr>
            </w:pPr>
          </w:p>
        </w:tc>
        <w:tc>
          <w:tcPr>
            <w:tcW w:w="1313" w:type="dxa"/>
            <w:tcBorders>
              <w:top w:val="single" w:sz="18" w:space="0" w:color="FFFFFF" w:themeColor="background1"/>
              <w:bottom w:val="single" w:sz="4" w:space="0" w:color="F2F2F2" w:themeColor="background1" w:themeShade="F2"/>
              <w:right w:val="single" w:sz="4" w:space="0" w:color="FFFFFF" w:themeColor="background1"/>
            </w:tcBorders>
            <w:shd w:val="clear" w:color="auto" w:fill="F2F2F2"/>
            <w:tcMar>
              <w:top w:w="54" w:type="dxa"/>
              <w:left w:w="108" w:type="dxa"/>
              <w:bottom w:w="54" w:type="dxa"/>
              <w:right w:w="108" w:type="dxa"/>
            </w:tcMar>
            <w:vAlign w:val="center"/>
            <w:hideMark/>
          </w:tcPr>
          <w:p w14:paraId="7ECDAF79" w14:textId="77777777" w:rsidR="00ED7C8D" w:rsidRPr="003C7811" w:rsidRDefault="00ED7C8D">
            <w:pPr>
              <w:rPr>
                <w:b/>
                <w:bCs/>
                <w:i/>
                <w:iCs/>
                <w:sz w:val="20"/>
                <w:szCs w:val="20"/>
              </w:rPr>
            </w:pPr>
            <w:r w:rsidRPr="003C7811">
              <w:rPr>
                <w:b/>
                <w:bCs/>
                <w:i/>
                <w:iCs/>
                <w:sz w:val="20"/>
                <w:szCs w:val="20"/>
              </w:rPr>
              <w:t>Shared</w:t>
            </w:r>
          </w:p>
        </w:tc>
        <w:tc>
          <w:tcPr>
            <w:tcW w:w="6631" w:type="dxa"/>
            <w:gridSpan w:val="2"/>
            <w:tcBorders>
              <w:top w:val="single" w:sz="6" w:space="0" w:color="F2F2F2" w:themeColor="background1" w:themeShade="F2"/>
              <w:left w:val="single" w:sz="4" w:space="0" w:color="FFFFFF" w:themeColor="background1"/>
              <w:bottom w:val="single" w:sz="4" w:space="0" w:color="F2F2F2" w:themeColor="background1" w:themeShade="F2"/>
              <w:right w:val="single" w:sz="8" w:space="0" w:color="F2F2F2" w:themeColor="background1" w:themeShade="F2"/>
            </w:tcBorders>
            <w:tcMar>
              <w:top w:w="54" w:type="dxa"/>
              <w:left w:w="108" w:type="dxa"/>
              <w:bottom w:w="54" w:type="dxa"/>
              <w:right w:w="108" w:type="dxa"/>
            </w:tcMar>
            <w:hideMark/>
          </w:tcPr>
          <w:p w14:paraId="33D1BF5A" w14:textId="77777777" w:rsidR="00ED7C8D" w:rsidRPr="003C7811" w:rsidRDefault="00ED7C8D" w:rsidP="00ED7C8D">
            <w:pPr>
              <w:pStyle w:val="ListParagraph"/>
              <w:numPr>
                <w:ilvl w:val="0"/>
                <w:numId w:val="102"/>
              </w:numPr>
              <w:spacing w:after="0" w:line="276" w:lineRule="auto"/>
              <w:rPr>
                <w:sz w:val="18"/>
                <w:szCs w:val="18"/>
              </w:rPr>
            </w:pPr>
            <w:r w:rsidRPr="003C7811">
              <w:rPr>
                <w:sz w:val="18"/>
                <w:szCs w:val="18"/>
              </w:rPr>
              <w:t>Employment support services</w:t>
            </w:r>
          </w:p>
          <w:p w14:paraId="10A6A60E" w14:textId="77777777" w:rsidR="00ED7C8D" w:rsidRPr="003C7811" w:rsidRDefault="00ED7C8D" w:rsidP="00ED7C8D">
            <w:pPr>
              <w:pStyle w:val="ListParagraph"/>
              <w:numPr>
                <w:ilvl w:val="0"/>
                <w:numId w:val="102"/>
              </w:numPr>
              <w:spacing w:after="0" w:line="276" w:lineRule="auto"/>
              <w:rPr>
                <w:sz w:val="18"/>
                <w:szCs w:val="18"/>
              </w:rPr>
            </w:pPr>
            <w:r w:rsidRPr="003C7811">
              <w:rPr>
                <w:sz w:val="18"/>
                <w:szCs w:val="18"/>
              </w:rPr>
              <w:t>Workplace regulation</w:t>
            </w:r>
          </w:p>
          <w:p w14:paraId="643D3010" w14:textId="77777777" w:rsidR="00ED7C8D" w:rsidRPr="003C7811" w:rsidRDefault="00ED7C8D" w:rsidP="00ED7C8D">
            <w:pPr>
              <w:pStyle w:val="ListParagraph"/>
              <w:numPr>
                <w:ilvl w:val="0"/>
                <w:numId w:val="102"/>
              </w:numPr>
              <w:spacing w:after="0" w:line="276" w:lineRule="auto"/>
              <w:rPr>
                <w:sz w:val="18"/>
                <w:szCs w:val="18"/>
              </w:rPr>
            </w:pPr>
            <w:r w:rsidRPr="003C7811">
              <w:rPr>
                <w:sz w:val="18"/>
                <w:szCs w:val="18"/>
              </w:rPr>
              <w:t>Apprenticeships and traineeships</w:t>
            </w:r>
          </w:p>
          <w:p w14:paraId="1A69D2DF" w14:textId="77777777" w:rsidR="00ED7C8D" w:rsidRPr="003C7811" w:rsidRDefault="00ED7C8D" w:rsidP="00ED7C8D">
            <w:pPr>
              <w:pStyle w:val="ListParagraph"/>
              <w:numPr>
                <w:ilvl w:val="0"/>
                <w:numId w:val="102"/>
              </w:numPr>
              <w:spacing w:after="0" w:line="276" w:lineRule="auto"/>
              <w:rPr>
                <w:sz w:val="18"/>
                <w:szCs w:val="18"/>
              </w:rPr>
            </w:pPr>
            <w:r w:rsidRPr="003C7811">
              <w:rPr>
                <w:sz w:val="18"/>
                <w:szCs w:val="18"/>
              </w:rPr>
              <w:t>VET and TAFE regulation</w:t>
            </w:r>
          </w:p>
        </w:tc>
      </w:tr>
    </w:tbl>
    <w:p w14:paraId="6699ACAB" w14:textId="77777777" w:rsidR="00BC6FCC" w:rsidRDefault="00BC6FCC" w:rsidP="00ED7C8D">
      <w:pPr>
        <w:spacing w:after="0" w:line="276" w:lineRule="auto"/>
        <w:rPr>
          <w:sz w:val="16"/>
          <w:szCs w:val="16"/>
        </w:rPr>
      </w:pPr>
    </w:p>
    <w:p w14:paraId="50B11231" w14:textId="77777777" w:rsidR="00BC6FCC" w:rsidRDefault="00BC6FCC">
      <w:pPr>
        <w:rPr>
          <w:sz w:val="16"/>
          <w:szCs w:val="16"/>
        </w:rPr>
      </w:pPr>
      <w:r>
        <w:rPr>
          <w:sz w:val="16"/>
          <w:szCs w:val="16"/>
        </w:rPr>
        <w:br w:type="page"/>
      </w:r>
    </w:p>
    <w:p w14:paraId="4F5A747E" w14:textId="77777777" w:rsidR="00ED7C8D" w:rsidRPr="00365444" w:rsidRDefault="00ED7C8D" w:rsidP="00ED7C8D">
      <w:pPr>
        <w:spacing w:after="0" w:line="276" w:lineRule="auto"/>
        <w:rPr>
          <w:sz w:val="16"/>
          <w:szCs w:val="16"/>
        </w:rPr>
      </w:pPr>
    </w:p>
    <w:tbl>
      <w:tblPr>
        <w:tblW w:w="9072" w:type="dxa"/>
        <w:tblBorders>
          <w:insideH w:val="single" w:sz="18" w:space="0" w:color="FFFFFF" w:themeColor="background1"/>
          <w:insideV w:val="single" w:sz="18" w:space="0" w:color="FFFFFF" w:themeColor="background1"/>
        </w:tblBorders>
        <w:tblCellMar>
          <w:left w:w="0" w:type="dxa"/>
          <w:right w:w="0" w:type="dxa"/>
        </w:tblCellMar>
        <w:tblLook w:val="0420" w:firstRow="1" w:lastRow="0" w:firstColumn="0" w:lastColumn="0" w:noHBand="0" w:noVBand="1"/>
      </w:tblPr>
      <w:tblGrid>
        <w:gridCol w:w="1459"/>
        <w:gridCol w:w="1518"/>
        <w:gridCol w:w="3119"/>
        <w:gridCol w:w="2976"/>
      </w:tblGrid>
      <w:tr w:rsidR="00B93EEA" w:rsidRPr="000C2C68" w14:paraId="0B6F1347" w14:textId="77777777" w:rsidTr="00FD2049">
        <w:trPr>
          <w:trHeight w:val="655"/>
          <w:tblHeader/>
        </w:trPr>
        <w:tc>
          <w:tcPr>
            <w:tcW w:w="1459" w:type="dxa"/>
            <w:tcBorders>
              <w:top w:val="nil"/>
              <w:bottom w:val="single" w:sz="18" w:space="0" w:color="FFFFFF" w:themeColor="background1"/>
              <w:right w:val="nil"/>
            </w:tcBorders>
            <w:tcMar>
              <w:top w:w="54" w:type="dxa"/>
              <w:left w:w="108" w:type="dxa"/>
              <w:bottom w:w="54" w:type="dxa"/>
              <w:right w:w="108" w:type="dxa"/>
            </w:tcMar>
            <w:vAlign w:val="center"/>
            <w:hideMark/>
          </w:tcPr>
          <w:p w14:paraId="722FCC02" w14:textId="77777777" w:rsidR="00B93EEA" w:rsidRPr="00BB3E2A" w:rsidRDefault="00B93EEA">
            <w:pPr>
              <w:rPr>
                <w:b/>
                <w:bCs/>
                <w:color w:val="FFFFFF" w:themeColor="background1"/>
                <w:sz w:val="18"/>
                <w:szCs w:val="18"/>
              </w:rPr>
            </w:pPr>
          </w:p>
        </w:tc>
        <w:tc>
          <w:tcPr>
            <w:tcW w:w="1518" w:type="dxa"/>
            <w:tcBorders>
              <w:top w:val="single" w:sz="4" w:space="0" w:color="FFFFFF" w:themeColor="background1"/>
              <w:left w:val="nil"/>
              <w:bottom w:val="single" w:sz="18" w:space="0" w:color="FFFFFF" w:themeColor="background1"/>
              <w:right w:val="nil"/>
            </w:tcBorders>
            <w:shd w:val="clear" w:color="auto" w:fill="595959" w:themeFill="text1" w:themeFillTint="A6"/>
            <w:tcMar>
              <w:top w:w="54" w:type="dxa"/>
              <w:left w:w="108" w:type="dxa"/>
              <w:bottom w:w="54" w:type="dxa"/>
              <w:right w:w="108" w:type="dxa"/>
            </w:tcMar>
            <w:vAlign w:val="center"/>
            <w:hideMark/>
          </w:tcPr>
          <w:p w14:paraId="2EB259DF" w14:textId="77777777" w:rsidR="00B93EEA" w:rsidRPr="003243D8" w:rsidRDefault="00B93EEA">
            <w:pPr>
              <w:rPr>
                <w:b/>
                <w:bCs/>
                <w:i/>
                <w:iCs/>
                <w:sz w:val="20"/>
                <w:szCs w:val="20"/>
              </w:rPr>
            </w:pPr>
            <w:r w:rsidRPr="003243D8">
              <w:rPr>
                <w:b/>
                <w:bCs/>
                <w:i/>
                <w:iCs/>
                <w:color w:val="FFFFFF" w:themeColor="background1"/>
                <w:sz w:val="20"/>
                <w:szCs w:val="20"/>
              </w:rPr>
              <w:t>Responsibility type</w:t>
            </w:r>
          </w:p>
        </w:tc>
        <w:tc>
          <w:tcPr>
            <w:tcW w:w="3119" w:type="dxa"/>
            <w:tcBorders>
              <w:top w:val="single" w:sz="4" w:space="0" w:color="FFFFFF" w:themeColor="background1"/>
              <w:left w:val="nil"/>
              <w:bottom w:val="single" w:sz="12" w:space="0" w:color="FFFFFF" w:themeColor="background1"/>
              <w:right w:val="nil"/>
            </w:tcBorders>
            <w:shd w:val="clear" w:color="auto" w:fill="1482AC"/>
            <w:tcMar>
              <w:top w:w="54" w:type="dxa"/>
              <w:left w:w="108" w:type="dxa"/>
              <w:bottom w:w="54" w:type="dxa"/>
              <w:right w:w="108" w:type="dxa"/>
            </w:tcMar>
            <w:vAlign w:val="center"/>
            <w:hideMark/>
          </w:tcPr>
          <w:p w14:paraId="0B2E7E48" w14:textId="77777777" w:rsidR="00B93EEA" w:rsidRPr="00624D3A" w:rsidRDefault="00B93EEA">
            <w:pPr>
              <w:rPr>
                <w:b/>
                <w:bCs/>
                <w:color w:val="FFFFFF" w:themeColor="background1"/>
                <w:sz w:val="18"/>
                <w:szCs w:val="18"/>
              </w:rPr>
            </w:pPr>
            <w:r w:rsidRPr="00624D3A">
              <w:rPr>
                <w:b/>
                <w:bCs/>
                <w:color w:val="FFFFFF" w:themeColor="background1"/>
                <w:sz w:val="18"/>
                <w:szCs w:val="18"/>
              </w:rPr>
              <w:t>COMMONWEALTH GOVERNMENT</w:t>
            </w:r>
          </w:p>
        </w:tc>
        <w:tc>
          <w:tcPr>
            <w:tcW w:w="2976" w:type="dxa"/>
            <w:tcBorders>
              <w:top w:val="single" w:sz="4" w:space="0" w:color="FFFFFF" w:themeColor="background1"/>
              <w:left w:val="nil"/>
              <w:bottom w:val="single" w:sz="12" w:space="0" w:color="FFFFFF" w:themeColor="background1"/>
              <w:right w:val="nil"/>
            </w:tcBorders>
            <w:shd w:val="clear" w:color="auto" w:fill="2E663E"/>
            <w:tcMar>
              <w:top w:w="54" w:type="dxa"/>
              <w:left w:w="108" w:type="dxa"/>
              <w:bottom w:w="54" w:type="dxa"/>
              <w:right w:w="108" w:type="dxa"/>
            </w:tcMar>
            <w:vAlign w:val="center"/>
            <w:hideMark/>
          </w:tcPr>
          <w:p w14:paraId="11AF4176" w14:textId="77777777" w:rsidR="00B93EEA" w:rsidRPr="00624D3A" w:rsidRDefault="00B93EEA">
            <w:pPr>
              <w:rPr>
                <w:b/>
                <w:bCs/>
                <w:color w:val="FFFFFF" w:themeColor="background1"/>
                <w:sz w:val="18"/>
                <w:szCs w:val="18"/>
              </w:rPr>
            </w:pPr>
            <w:r w:rsidRPr="00624D3A">
              <w:rPr>
                <w:b/>
                <w:bCs/>
                <w:color w:val="FFFFFF" w:themeColor="background1"/>
                <w:sz w:val="18"/>
                <w:szCs w:val="18"/>
              </w:rPr>
              <w:t>STATE/TERRITORY GOVERNMENT</w:t>
            </w:r>
          </w:p>
        </w:tc>
      </w:tr>
      <w:tr w:rsidR="00B93EEA" w:rsidRPr="000C2C68" w14:paraId="01EAF810" w14:textId="77777777" w:rsidTr="00FD2049">
        <w:trPr>
          <w:trHeight w:val="953"/>
        </w:trPr>
        <w:tc>
          <w:tcPr>
            <w:tcW w:w="1459" w:type="dxa"/>
            <w:vMerge w:val="restart"/>
            <w:tcBorders>
              <w:top w:val="single" w:sz="18" w:space="0" w:color="FFFFFF" w:themeColor="background1"/>
              <w:bottom w:val="single" w:sz="8" w:space="0" w:color="F2F2F2" w:themeColor="background1" w:themeShade="F2"/>
            </w:tcBorders>
            <w:shd w:val="clear" w:color="auto" w:fill="264457"/>
            <w:tcMar>
              <w:top w:w="54" w:type="dxa"/>
              <w:left w:w="108" w:type="dxa"/>
              <w:bottom w:w="54" w:type="dxa"/>
              <w:right w:w="108" w:type="dxa"/>
            </w:tcMar>
            <w:vAlign w:val="center"/>
            <w:hideMark/>
          </w:tcPr>
          <w:p w14:paraId="4DE237C7" w14:textId="77777777" w:rsidR="00B93EEA" w:rsidRPr="00BB3E2A" w:rsidRDefault="00B93EEA">
            <w:pPr>
              <w:rPr>
                <w:b/>
                <w:bCs/>
                <w:color w:val="FFFFFF" w:themeColor="background1"/>
                <w:sz w:val="18"/>
                <w:szCs w:val="18"/>
              </w:rPr>
            </w:pPr>
            <w:r w:rsidRPr="00BB3E2A">
              <w:rPr>
                <w:b/>
                <w:bCs/>
                <w:color w:val="FFFFFF" w:themeColor="background1"/>
                <w:sz w:val="18"/>
                <w:szCs w:val="18"/>
              </w:rPr>
              <w:t>INDUSTRY SUPPORT</w:t>
            </w:r>
          </w:p>
        </w:tc>
        <w:tc>
          <w:tcPr>
            <w:tcW w:w="1518" w:type="dxa"/>
            <w:tcBorders>
              <w:top w:val="single" w:sz="18" w:space="0" w:color="FFFFFF" w:themeColor="background1"/>
              <w:bottom w:val="single" w:sz="18" w:space="0" w:color="FFFFFF" w:themeColor="background1"/>
              <w:right w:val="single" w:sz="4" w:space="0" w:color="FFFFFF" w:themeColor="background1"/>
            </w:tcBorders>
            <w:shd w:val="clear" w:color="auto" w:fill="F2F2F2"/>
            <w:tcMar>
              <w:top w:w="54" w:type="dxa"/>
              <w:left w:w="108" w:type="dxa"/>
              <w:bottom w:w="54" w:type="dxa"/>
              <w:right w:w="108" w:type="dxa"/>
            </w:tcMar>
            <w:vAlign w:val="center"/>
            <w:hideMark/>
          </w:tcPr>
          <w:p w14:paraId="7A82B25E" w14:textId="77777777" w:rsidR="00B93EEA" w:rsidRPr="003C7811" w:rsidRDefault="00B93EEA">
            <w:pPr>
              <w:rPr>
                <w:b/>
                <w:bCs/>
                <w:i/>
                <w:iCs/>
                <w:sz w:val="20"/>
                <w:szCs w:val="20"/>
              </w:rPr>
            </w:pPr>
            <w:r w:rsidRPr="003C7811">
              <w:rPr>
                <w:b/>
                <w:bCs/>
                <w:i/>
                <w:iCs/>
                <w:sz w:val="20"/>
                <w:szCs w:val="20"/>
              </w:rPr>
              <w:t>Individual</w:t>
            </w:r>
          </w:p>
        </w:tc>
        <w:tc>
          <w:tcPr>
            <w:tcW w:w="3119" w:type="dxa"/>
            <w:tcBorders>
              <w:top w:val="single" w:sz="12" w:space="0" w:color="FFFFFF" w:themeColor="background1"/>
              <w:left w:val="single" w:sz="4" w:space="0" w:color="FFFFFF" w:themeColor="background1"/>
              <w:bottom w:val="single" w:sz="8" w:space="0" w:color="F2F2F2" w:themeColor="background1" w:themeShade="F2"/>
              <w:right w:val="single" w:sz="8" w:space="0" w:color="F2F2F2" w:themeColor="background1" w:themeShade="F2"/>
            </w:tcBorders>
            <w:tcMar>
              <w:top w:w="54" w:type="dxa"/>
              <w:left w:w="108" w:type="dxa"/>
              <w:bottom w:w="54" w:type="dxa"/>
              <w:right w:w="108" w:type="dxa"/>
            </w:tcMar>
            <w:hideMark/>
          </w:tcPr>
          <w:p w14:paraId="0301C1A1" w14:textId="77777777" w:rsidR="00B93EEA" w:rsidRPr="003C7811" w:rsidRDefault="00B93EEA">
            <w:pPr>
              <w:pStyle w:val="ListParagraph"/>
              <w:numPr>
                <w:ilvl w:val="0"/>
                <w:numId w:val="102"/>
              </w:numPr>
              <w:spacing w:after="0" w:line="276" w:lineRule="auto"/>
              <w:rPr>
                <w:sz w:val="18"/>
                <w:szCs w:val="18"/>
              </w:rPr>
            </w:pPr>
            <w:r w:rsidRPr="003C7811">
              <w:rPr>
                <w:sz w:val="18"/>
                <w:szCs w:val="18"/>
              </w:rPr>
              <w:t>Federal tax incentives (e.g. specific industry tax offsets)</w:t>
            </w:r>
          </w:p>
          <w:p w14:paraId="756DEC2A" w14:textId="77777777" w:rsidR="00B93EEA" w:rsidRPr="003C7811" w:rsidRDefault="00B93EEA">
            <w:pPr>
              <w:pStyle w:val="ListParagraph"/>
              <w:numPr>
                <w:ilvl w:val="0"/>
                <w:numId w:val="102"/>
              </w:numPr>
              <w:spacing w:after="0" w:line="276" w:lineRule="auto"/>
              <w:rPr>
                <w:sz w:val="18"/>
                <w:szCs w:val="18"/>
              </w:rPr>
            </w:pPr>
            <w:r w:rsidRPr="003C7811">
              <w:rPr>
                <w:sz w:val="18"/>
                <w:szCs w:val="18"/>
              </w:rPr>
              <w:t>International trade agreements</w:t>
            </w:r>
          </w:p>
          <w:p w14:paraId="150A0DAF" w14:textId="77777777" w:rsidR="00B93EEA" w:rsidRPr="003C7811" w:rsidRDefault="00B93EEA">
            <w:pPr>
              <w:pStyle w:val="ListParagraph"/>
              <w:numPr>
                <w:ilvl w:val="0"/>
                <w:numId w:val="102"/>
              </w:numPr>
              <w:spacing w:after="0" w:line="276" w:lineRule="auto"/>
              <w:rPr>
                <w:sz w:val="18"/>
                <w:szCs w:val="18"/>
              </w:rPr>
            </w:pPr>
            <w:r w:rsidRPr="003C7811">
              <w:rPr>
                <w:sz w:val="18"/>
                <w:szCs w:val="18"/>
              </w:rPr>
              <w:t>National regulation (e.g. competition)</w:t>
            </w:r>
          </w:p>
        </w:tc>
        <w:tc>
          <w:tcPr>
            <w:tcW w:w="2976" w:type="dxa"/>
            <w:tcBorders>
              <w:top w:val="single" w:sz="12" w:space="0" w:color="FFFFFF" w:themeColor="background1"/>
              <w:left w:val="single" w:sz="8" w:space="0" w:color="F2F2F2" w:themeColor="background1" w:themeShade="F2"/>
              <w:bottom w:val="single" w:sz="8" w:space="0" w:color="F2F2F2" w:themeColor="background1" w:themeShade="F2"/>
              <w:right w:val="single" w:sz="8" w:space="0" w:color="F2F2F2" w:themeColor="background1" w:themeShade="F2"/>
            </w:tcBorders>
            <w:tcMar>
              <w:top w:w="54" w:type="dxa"/>
              <w:left w:w="108" w:type="dxa"/>
              <w:bottom w:w="54" w:type="dxa"/>
              <w:right w:w="108" w:type="dxa"/>
            </w:tcMar>
            <w:hideMark/>
          </w:tcPr>
          <w:p w14:paraId="3DBBB7E2" w14:textId="77777777" w:rsidR="00B93EEA" w:rsidRPr="003C7811" w:rsidRDefault="00B93EEA">
            <w:pPr>
              <w:pStyle w:val="ListParagraph"/>
              <w:numPr>
                <w:ilvl w:val="0"/>
                <w:numId w:val="102"/>
              </w:numPr>
              <w:spacing w:after="0" w:line="276" w:lineRule="auto"/>
              <w:rPr>
                <w:sz w:val="18"/>
                <w:szCs w:val="18"/>
              </w:rPr>
            </w:pPr>
            <w:r w:rsidRPr="003C7811">
              <w:rPr>
                <w:sz w:val="18"/>
                <w:szCs w:val="18"/>
              </w:rPr>
              <w:t>Regional economic development programs</w:t>
            </w:r>
          </w:p>
          <w:p w14:paraId="658A339D" w14:textId="77777777" w:rsidR="00B93EEA" w:rsidRPr="003C7811" w:rsidRDefault="00B93EEA">
            <w:pPr>
              <w:pStyle w:val="ListParagraph"/>
              <w:numPr>
                <w:ilvl w:val="0"/>
                <w:numId w:val="102"/>
              </w:numPr>
              <w:spacing w:after="0" w:line="276" w:lineRule="auto"/>
              <w:rPr>
                <w:sz w:val="18"/>
                <w:szCs w:val="18"/>
              </w:rPr>
            </w:pPr>
            <w:r w:rsidRPr="003C7811">
              <w:rPr>
                <w:sz w:val="18"/>
                <w:szCs w:val="18"/>
              </w:rPr>
              <w:t>Industrial zoning approvals</w:t>
            </w:r>
          </w:p>
        </w:tc>
      </w:tr>
      <w:tr w:rsidR="00B93EEA" w:rsidRPr="000C2C68" w14:paraId="744FB8FB" w14:textId="77777777" w:rsidTr="00AE3575">
        <w:trPr>
          <w:trHeight w:val="1210"/>
        </w:trPr>
        <w:tc>
          <w:tcPr>
            <w:tcW w:w="1459" w:type="dxa"/>
            <w:vMerge/>
            <w:tcBorders>
              <w:top w:val="single" w:sz="18" w:space="0" w:color="FFFFFF" w:themeColor="background1"/>
              <w:bottom w:val="single" w:sz="4" w:space="0" w:color="F2F2F2" w:themeColor="background1" w:themeShade="F2"/>
            </w:tcBorders>
            <w:vAlign w:val="center"/>
            <w:hideMark/>
          </w:tcPr>
          <w:p w14:paraId="2E3B321D" w14:textId="77777777" w:rsidR="00B93EEA" w:rsidRPr="00BB3E2A" w:rsidRDefault="00B93EEA">
            <w:pPr>
              <w:rPr>
                <w:b/>
                <w:bCs/>
                <w:color w:val="FFFFFF" w:themeColor="background1"/>
                <w:sz w:val="18"/>
                <w:szCs w:val="18"/>
              </w:rPr>
            </w:pPr>
          </w:p>
        </w:tc>
        <w:tc>
          <w:tcPr>
            <w:tcW w:w="1518" w:type="dxa"/>
            <w:tcBorders>
              <w:top w:val="single" w:sz="18" w:space="0" w:color="FFFFFF" w:themeColor="background1"/>
              <w:bottom w:val="single" w:sz="4" w:space="0" w:color="F2F2F2" w:themeColor="background1" w:themeShade="F2"/>
              <w:right w:val="single" w:sz="4" w:space="0" w:color="FFFFFF" w:themeColor="background1"/>
            </w:tcBorders>
            <w:shd w:val="clear" w:color="auto" w:fill="F2F2F2"/>
            <w:tcMar>
              <w:top w:w="54" w:type="dxa"/>
              <w:left w:w="108" w:type="dxa"/>
              <w:bottom w:w="54" w:type="dxa"/>
              <w:right w:w="108" w:type="dxa"/>
            </w:tcMar>
            <w:vAlign w:val="center"/>
            <w:hideMark/>
          </w:tcPr>
          <w:p w14:paraId="2FFE5423" w14:textId="77777777" w:rsidR="00B93EEA" w:rsidRPr="003C7811" w:rsidRDefault="00B93EEA">
            <w:pPr>
              <w:rPr>
                <w:b/>
                <w:bCs/>
                <w:i/>
                <w:iCs/>
                <w:sz w:val="20"/>
                <w:szCs w:val="20"/>
              </w:rPr>
            </w:pPr>
            <w:r w:rsidRPr="003C7811">
              <w:rPr>
                <w:b/>
                <w:bCs/>
                <w:i/>
                <w:iCs/>
                <w:sz w:val="20"/>
                <w:szCs w:val="20"/>
              </w:rPr>
              <w:t>Shared</w:t>
            </w:r>
          </w:p>
        </w:tc>
        <w:tc>
          <w:tcPr>
            <w:tcW w:w="6095" w:type="dxa"/>
            <w:gridSpan w:val="2"/>
            <w:tcBorders>
              <w:top w:val="single" w:sz="8" w:space="0" w:color="F2F2F2" w:themeColor="background1" w:themeShade="F2"/>
              <w:left w:val="single" w:sz="4" w:space="0" w:color="FFFFFF" w:themeColor="background1"/>
              <w:bottom w:val="single" w:sz="4" w:space="0" w:color="F2F2F2" w:themeColor="background1" w:themeShade="F2"/>
              <w:right w:val="single" w:sz="8" w:space="0" w:color="F2F2F2" w:themeColor="background1" w:themeShade="F2"/>
            </w:tcBorders>
            <w:tcMar>
              <w:top w:w="54" w:type="dxa"/>
              <w:left w:w="108" w:type="dxa"/>
              <w:bottom w:w="54" w:type="dxa"/>
              <w:right w:w="108" w:type="dxa"/>
            </w:tcMar>
            <w:hideMark/>
          </w:tcPr>
          <w:p w14:paraId="4AEE85C6" w14:textId="77777777" w:rsidR="00B93EEA" w:rsidRPr="003C7811" w:rsidRDefault="00B93EEA">
            <w:pPr>
              <w:pStyle w:val="ListParagraph"/>
              <w:numPr>
                <w:ilvl w:val="0"/>
                <w:numId w:val="102"/>
              </w:numPr>
              <w:spacing w:after="0" w:line="276" w:lineRule="auto"/>
              <w:rPr>
                <w:sz w:val="18"/>
                <w:szCs w:val="18"/>
              </w:rPr>
            </w:pPr>
            <w:r w:rsidRPr="003C7811">
              <w:rPr>
                <w:sz w:val="18"/>
                <w:szCs w:val="18"/>
              </w:rPr>
              <w:t>Business grants and incentives</w:t>
            </w:r>
          </w:p>
          <w:p w14:paraId="3B8EEC93" w14:textId="77777777" w:rsidR="00B93EEA" w:rsidRPr="003C7811" w:rsidRDefault="00B93EEA">
            <w:pPr>
              <w:pStyle w:val="ListParagraph"/>
              <w:numPr>
                <w:ilvl w:val="0"/>
                <w:numId w:val="102"/>
              </w:numPr>
              <w:spacing w:after="0" w:line="276" w:lineRule="auto"/>
              <w:rPr>
                <w:sz w:val="18"/>
                <w:szCs w:val="18"/>
              </w:rPr>
            </w:pPr>
            <w:r w:rsidRPr="003C7811">
              <w:rPr>
                <w:sz w:val="18"/>
                <w:szCs w:val="18"/>
              </w:rPr>
              <w:t>Small business support</w:t>
            </w:r>
          </w:p>
          <w:p w14:paraId="75168F9A" w14:textId="77777777" w:rsidR="00B93EEA" w:rsidRPr="003C7811" w:rsidRDefault="00B93EEA">
            <w:pPr>
              <w:pStyle w:val="ListParagraph"/>
              <w:numPr>
                <w:ilvl w:val="0"/>
                <w:numId w:val="102"/>
              </w:numPr>
              <w:spacing w:after="0" w:line="276" w:lineRule="auto"/>
              <w:rPr>
                <w:sz w:val="18"/>
                <w:szCs w:val="18"/>
              </w:rPr>
            </w:pPr>
            <w:r w:rsidRPr="003C7811">
              <w:rPr>
                <w:sz w:val="18"/>
                <w:szCs w:val="18"/>
              </w:rPr>
              <w:t>Deliver industry development policy</w:t>
            </w:r>
          </w:p>
          <w:p w14:paraId="7D8FFCBB" w14:textId="77777777" w:rsidR="00B93EEA" w:rsidRPr="00602C79" w:rsidRDefault="00B93EEA">
            <w:pPr>
              <w:pStyle w:val="ListParagraph"/>
              <w:numPr>
                <w:ilvl w:val="0"/>
                <w:numId w:val="102"/>
              </w:numPr>
              <w:spacing w:after="0" w:line="276" w:lineRule="auto"/>
              <w:rPr>
                <w:sz w:val="18"/>
                <w:szCs w:val="18"/>
              </w:rPr>
            </w:pPr>
            <w:r w:rsidRPr="003C7811">
              <w:rPr>
                <w:sz w:val="18"/>
                <w:szCs w:val="18"/>
              </w:rPr>
              <w:t>Manufacturing support</w:t>
            </w:r>
          </w:p>
          <w:p w14:paraId="17DF8075" w14:textId="64F53640" w:rsidR="00602C79" w:rsidRPr="00602C79" w:rsidRDefault="00B93EEA" w:rsidP="00602C79">
            <w:pPr>
              <w:pStyle w:val="ListParagraph"/>
              <w:numPr>
                <w:ilvl w:val="0"/>
                <w:numId w:val="102"/>
              </w:numPr>
              <w:spacing w:after="0" w:line="276" w:lineRule="auto"/>
              <w:rPr>
                <w:sz w:val="18"/>
                <w:szCs w:val="18"/>
              </w:rPr>
            </w:pPr>
            <w:r w:rsidRPr="003C7811">
              <w:rPr>
                <w:sz w:val="18"/>
                <w:szCs w:val="18"/>
              </w:rPr>
              <w:t>Procurement rules</w:t>
            </w:r>
          </w:p>
        </w:tc>
      </w:tr>
    </w:tbl>
    <w:p w14:paraId="6EE71CB1" w14:textId="77777777" w:rsidR="00540A28" w:rsidRDefault="00540A28" w:rsidP="00846B26">
      <w:pPr>
        <w:pStyle w:val="Caption"/>
        <w:spacing w:before="360" w:after="120"/>
      </w:pPr>
      <w:r>
        <w:t xml:space="preserve">Note: These represent </w:t>
      </w:r>
      <w:proofErr w:type="gramStart"/>
      <w:r>
        <w:t>the majority of</w:t>
      </w:r>
      <w:proofErr w:type="gramEnd"/>
      <w:r>
        <w:t xml:space="preserve"> individual and shared responsibilities but is not exhaustive.</w:t>
      </w:r>
    </w:p>
    <w:p w14:paraId="33449E46" w14:textId="77777777" w:rsidR="00540A28" w:rsidRPr="00DF022C" w:rsidRDefault="00540A28" w:rsidP="00D7317B">
      <w:pPr>
        <w:pStyle w:val="Caption"/>
      </w:pPr>
      <w:r w:rsidRPr="00524849">
        <w:t xml:space="preserve">Source: Australian Government Department of Health and Aged Care, General Practice Supervision Australia, Australian Government Department of Education, Victorian Government Department of Education, Australian Government Department of Climate Change, Energy, the Environment and Water, Environment Protection Authority Victoria, Victorian Government Department of Energy, Environment and Climate Action, Fair Work Commission, Australian Government Australian Skills Quality Authority, Victorian Government Department of Jobs, Skills, Industry and Regions, Australian Government Department of Industry, Science and </w:t>
      </w:r>
      <w:r w:rsidRPr="00DF022C">
        <w:t>Resources, Disability Gateway</w:t>
      </w:r>
    </w:p>
    <w:p w14:paraId="6313445E" w14:textId="77777777" w:rsidR="00280F04" w:rsidRDefault="00280F04" w:rsidP="00280F04">
      <w:bookmarkStart w:id="52" w:name="_Toc202523978"/>
      <w:r>
        <w:br w:type="page"/>
      </w:r>
    </w:p>
    <w:p w14:paraId="57C2D720" w14:textId="252A4E87" w:rsidR="004D26BC" w:rsidRPr="0099010D" w:rsidRDefault="0068471A" w:rsidP="004D26BC">
      <w:pPr>
        <w:pStyle w:val="Heading1"/>
      </w:pPr>
      <w:bookmarkStart w:id="53" w:name="_Toc214911998"/>
      <w:r>
        <w:rPr>
          <w:bCs/>
        </w:rPr>
        <w:lastRenderedPageBreak/>
        <w:t xml:space="preserve">Chapter 5:  </w:t>
      </w:r>
      <w:r w:rsidR="004D26BC" w:rsidRPr="0099010D">
        <w:rPr>
          <w:bCs/>
        </w:rPr>
        <w:t xml:space="preserve">VPS </w:t>
      </w:r>
      <w:r w:rsidR="000558BB">
        <w:rPr>
          <w:bCs/>
        </w:rPr>
        <w:t>s</w:t>
      </w:r>
      <w:r w:rsidR="004D26BC" w:rsidRPr="0099010D">
        <w:rPr>
          <w:bCs/>
        </w:rPr>
        <w:t xml:space="preserve">ize and </w:t>
      </w:r>
      <w:r w:rsidR="000558BB">
        <w:rPr>
          <w:bCs/>
        </w:rPr>
        <w:t>s</w:t>
      </w:r>
      <w:r w:rsidR="004D26BC" w:rsidRPr="0099010D">
        <w:rPr>
          <w:bCs/>
        </w:rPr>
        <w:t>tructure</w:t>
      </w:r>
      <w:bookmarkEnd w:id="52"/>
      <w:bookmarkEnd w:id="53"/>
    </w:p>
    <w:p w14:paraId="68C3C867" w14:textId="77777777" w:rsidR="004D26BC" w:rsidRPr="001304C4" w:rsidRDefault="004D26BC" w:rsidP="00D34FA4">
      <w:pPr>
        <w:spacing w:before="160" w:after="80"/>
        <w:rPr>
          <w:rFonts w:asciiTheme="majorHAnsi" w:hAnsiTheme="majorHAnsi"/>
          <w:b/>
          <w:color w:val="0F4761" w:themeColor="accent1" w:themeShade="BF"/>
          <w:sz w:val="32"/>
          <w:szCs w:val="32"/>
        </w:rPr>
      </w:pPr>
      <w:r w:rsidRPr="001304C4">
        <w:rPr>
          <w:rFonts w:asciiTheme="majorHAnsi" w:hAnsiTheme="majorHAnsi"/>
          <w:b/>
          <w:color w:val="0F4761" w:themeColor="accent1" w:themeShade="BF"/>
          <w:sz w:val="32"/>
          <w:szCs w:val="32"/>
        </w:rPr>
        <w:t>Key points</w:t>
      </w:r>
    </w:p>
    <w:p w14:paraId="39EC1932" w14:textId="51A7F2BC" w:rsidR="004D26BC" w:rsidRPr="00926946" w:rsidRDefault="004D26BC" w:rsidP="00983B16">
      <w:pPr>
        <w:pStyle w:val="ShadedBoxBullet"/>
      </w:pPr>
      <w:r w:rsidRPr="001D2464">
        <w:t>VPS growth has stabilised since the COVID-19 response, but the workforce has become top heavy.</w:t>
      </w:r>
      <w:r w:rsidRPr="00C140E8">
        <w:t xml:space="preserve"> </w:t>
      </w:r>
      <w:r w:rsidRPr="00926946">
        <w:t xml:space="preserve">The number of executives and senior technical </w:t>
      </w:r>
      <w:r w:rsidRPr="00C140E8">
        <w:t>specialists</w:t>
      </w:r>
      <w:r w:rsidRPr="00926946">
        <w:t xml:space="preserve"> </w:t>
      </w:r>
      <w:r>
        <w:t>(STS)</w:t>
      </w:r>
      <w:r w:rsidRPr="00926946">
        <w:t xml:space="preserve"> has increased by 82 per cent since 2019, and they now comprise </w:t>
      </w:r>
      <w:r w:rsidR="00BF5861">
        <w:t>7.2</w:t>
      </w:r>
      <w:r w:rsidRPr="00C140E8">
        <w:t xml:space="preserve"> </w:t>
      </w:r>
      <w:r w:rsidRPr="00926946">
        <w:t xml:space="preserve">per cent of the </w:t>
      </w:r>
      <w:r w:rsidR="00E97729" w:rsidRPr="00DB299B">
        <w:t>VPS</w:t>
      </w:r>
      <w:r w:rsidR="00E97729">
        <w:t xml:space="preserve"> </w:t>
      </w:r>
      <w:r w:rsidRPr="00926946">
        <w:t>workforce. Senior staff are overseeing fewer staff, and the layers of hierarchy have increased.</w:t>
      </w:r>
    </w:p>
    <w:p w14:paraId="318F5DB8" w14:textId="77777777" w:rsidR="004D26BC" w:rsidRPr="00C140E8" w:rsidRDefault="004D26BC" w:rsidP="00983B16">
      <w:pPr>
        <w:pStyle w:val="ShadedBoxBullet"/>
        <w:rPr>
          <w:rFonts w:ascii="Aptos" w:eastAsia="Aptos" w:hAnsi="Aptos" w:cs="Aptos"/>
          <w:color w:val="000000" w:themeColor="text1"/>
        </w:rPr>
      </w:pPr>
      <w:r w:rsidRPr="00C140E8">
        <w:rPr>
          <w:rFonts w:ascii="Aptos" w:eastAsia="Aptos" w:hAnsi="Aptos" w:cs="Aptos"/>
          <w:color w:val="000000" w:themeColor="text1"/>
        </w:rPr>
        <w:t xml:space="preserve">The lack of </w:t>
      </w:r>
      <w:r>
        <w:rPr>
          <w:rFonts w:ascii="Aptos" w:eastAsia="Aptos" w:hAnsi="Aptos" w:cs="Aptos"/>
          <w:color w:val="000000" w:themeColor="text1"/>
        </w:rPr>
        <w:t>strong and consistent VPS workforce</w:t>
      </w:r>
      <w:r w:rsidRPr="00C140E8">
        <w:rPr>
          <w:rFonts w:ascii="Aptos" w:eastAsia="Aptos" w:hAnsi="Aptos" w:cs="Aptos"/>
          <w:color w:val="000000" w:themeColor="text1"/>
        </w:rPr>
        <w:t xml:space="preserve"> data makes workforce analysis and planning very difficult.</w:t>
      </w:r>
    </w:p>
    <w:p w14:paraId="640B2B6A" w14:textId="3D85719B" w:rsidR="004D26BC" w:rsidRPr="00C140E8" w:rsidRDefault="004D26BC" w:rsidP="00983B16">
      <w:pPr>
        <w:pStyle w:val="ShadedBoxBullet"/>
        <w:rPr>
          <w:rFonts w:ascii="Aptos" w:eastAsia="Aptos" w:hAnsi="Aptos" w:cs="Aptos"/>
          <w:color w:val="000000" w:themeColor="text1"/>
        </w:rPr>
      </w:pPr>
      <w:r w:rsidRPr="00C140E8">
        <w:rPr>
          <w:rFonts w:ascii="Aptos" w:eastAsia="Aptos" w:hAnsi="Aptos" w:cs="Aptos"/>
          <w:color w:val="000000" w:themeColor="text1"/>
        </w:rPr>
        <w:t>Increasing spans of control and reducing</w:t>
      </w:r>
      <w:r w:rsidRPr="00C140E8" w:rsidDel="008B15A2">
        <w:rPr>
          <w:rFonts w:ascii="Aptos" w:eastAsia="Aptos" w:hAnsi="Aptos" w:cs="Aptos"/>
          <w:color w:val="000000" w:themeColor="text1"/>
        </w:rPr>
        <w:t xml:space="preserve"> </w:t>
      </w:r>
      <w:r w:rsidRPr="00C140E8">
        <w:rPr>
          <w:rFonts w:ascii="Aptos" w:eastAsia="Aptos" w:hAnsi="Aptos" w:cs="Aptos"/>
          <w:color w:val="000000" w:themeColor="text1"/>
        </w:rPr>
        <w:t xml:space="preserve">layers of hierarchy </w:t>
      </w:r>
      <w:r>
        <w:rPr>
          <w:rFonts w:ascii="Aptos" w:eastAsia="Aptos" w:hAnsi="Aptos" w:cs="Aptos"/>
          <w:color w:val="000000" w:themeColor="text1"/>
        </w:rPr>
        <w:t xml:space="preserve">– </w:t>
      </w:r>
      <w:r w:rsidRPr="00C140E8">
        <w:rPr>
          <w:rFonts w:ascii="Aptos" w:eastAsia="Aptos" w:hAnsi="Aptos" w:cs="Aptos"/>
          <w:color w:val="000000" w:themeColor="text1"/>
        </w:rPr>
        <w:t xml:space="preserve">based on management ratios from 2019 – will reduce </w:t>
      </w:r>
      <w:r w:rsidRPr="00C140E8">
        <w:t xml:space="preserve">the number of SES and STS by </w:t>
      </w:r>
      <w:r w:rsidR="000E1E22" w:rsidRPr="009670F6">
        <w:t>332</w:t>
      </w:r>
      <w:r w:rsidRPr="00C140E8">
        <w:t xml:space="preserve"> FTE </w:t>
      </w:r>
      <w:r w:rsidRPr="009670F6">
        <w:t xml:space="preserve">across all departments and </w:t>
      </w:r>
      <w:r w:rsidR="00D038E3" w:rsidRPr="009670F6">
        <w:t>some large entities</w:t>
      </w:r>
      <w:r>
        <w:t>. It will also</w:t>
      </w:r>
      <w:r w:rsidRPr="00C140E8">
        <w:t xml:space="preserve"> deliver $</w:t>
      </w:r>
      <w:r w:rsidRPr="009670F6">
        <w:t>3</w:t>
      </w:r>
      <w:r w:rsidR="00556D69" w:rsidRPr="009670F6">
        <w:t>59</w:t>
      </w:r>
      <w:r w:rsidRPr="00C140E8">
        <w:t> million in savings over the forward estimates.</w:t>
      </w:r>
    </w:p>
    <w:p w14:paraId="1B8D7DF7" w14:textId="28018D93" w:rsidR="004D26BC" w:rsidRPr="001D2464" w:rsidRDefault="004D26BC" w:rsidP="00983B16">
      <w:pPr>
        <w:pStyle w:val="ShadedBoxBullet"/>
        <w:rPr>
          <w:rFonts w:ascii="Aptos" w:eastAsia="Aptos" w:hAnsi="Aptos" w:cs="Aptos"/>
          <w:color w:val="000000" w:themeColor="text1"/>
        </w:rPr>
      </w:pPr>
      <w:r w:rsidRPr="001D2464">
        <w:rPr>
          <w:rFonts w:ascii="Aptos" w:eastAsia="Aptos" w:hAnsi="Aptos" w:cs="Aptos"/>
          <w:color w:val="000000" w:themeColor="text1"/>
        </w:rPr>
        <w:t xml:space="preserve">Rebalancing the proportion of VPS5 and VPS6 positions towards pre-pandemic profiles that included </w:t>
      </w:r>
      <w:r w:rsidRPr="001D2464">
        <w:t xml:space="preserve">more staff at junior classifications </w:t>
      </w:r>
      <w:r w:rsidRPr="001D2464">
        <w:rPr>
          <w:rFonts w:ascii="Aptos" w:eastAsia="Aptos" w:hAnsi="Aptos" w:cs="Aptos"/>
          <w:color w:val="000000" w:themeColor="text1"/>
        </w:rPr>
        <w:t>will result in a saving of $125</w:t>
      </w:r>
      <w:r w:rsidR="008D1EC2">
        <w:rPr>
          <w:rFonts w:ascii="Aptos" w:eastAsia="Aptos" w:hAnsi="Aptos" w:cs="Aptos"/>
          <w:color w:val="000000" w:themeColor="text1"/>
        </w:rPr>
        <w:t> </w:t>
      </w:r>
      <w:r w:rsidRPr="001D2464">
        <w:rPr>
          <w:rFonts w:ascii="Aptos" w:eastAsia="Aptos" w:hAnsi="Aptos" w:cs="Aptos"/>
          <w:color w:val="000000" w:themeColor="text1"/>
        </w:rPr>
        <w:t>million over the forward estimates.</w:t>
      </w:r>
    </w:p>
    <w:p w14:paraId="1E263B42" w14:textId="1EDFF1EF" w:rsidR="004D26BC" w:rsidRPr="00C140E8" w:rsidRDefault="004D26BC" w:rsidP="00983B16">
      <w:pPr>
        <w:pStyle w:val="ShadedBoxBullet"/>
        <w:rPr>
          <w:rFonts w:ascii="Aptos" w:eastAsia="Aptos" w:hAnsi="Aptos" w:cs="Aptos"/>
          <w:color w:val="000000" w:themeColor="text1"/>
        </w:rPr>
      </w:pPr>
      <w:r w:rsidRPr="00C140E8">
        <w:rPr>
          <w:rFonts w:ascii="Aptos" w:eastAsia="Aptos" w:hAnsi="Aptos" w:cs="Aptos"/>
          <w:color w:val="000000" w:themeColor="text1"/>
        </w:rPr>
        <w:t>A streamlined VPS will require a new approach to working with the executive arm of government and a focus on the capability of departments.</w:t>
      </w:r>
    </w:p>
    <w:p w14:paraId="30C1BD9D" w14:textId="77777777" w:rsidR="00501975" w:rsidRDefault="00D34FA4" w:rsidP="003D1CF8">
      <w:pPr>
        <w:pStyle w:val="Heading2"/>
        <w:spacing w:before="360"/>
      </w:pPr>
      <w:bookmarkStart w:id="54" w:name="_Toc202523979"/>
      <w:bookmarkStart w:id="55" w:name="_Toc214911999"/>
      <w:r>
        <w:t>5.1</w:t>
      </w:r>
      <w:r w:rsidR="001F4A1E">
        <w:t xml:space="preserve">   </w:t>
      </w:r>
      <w:r w:rsidR="004D26BC" w:rsidRPr="0027604A">
        <w:t>Introduction</w:t>
      </w:r>
      <w:bookmarkEnd w:id="54"/>
      <w:bookmarkEnd w:id="55"/>
    </w:p>
    <w:p w14:paraId="75009603" w14:textId="77777777" w:rsidR="006A51AF" w:rsidRDefault="006A51AF" w:rsidP="00737E6B">
      <w:pPr>
        <w:rPr>
          <w:szCs w:val="22"/>
        </w:rPr>
        <w:sectPr w:rsidR="006A51AF" w:rsidSect="00AE6104">
          <w:type w:val="continuous"/>
          <w:pgSz w:w="11906" w:h="16838"/>
          <w:pgMar w:top="1440" w:right="1440" w:bottom="1440" w:left="1440" w:header="708" w:footer="708" w:gutter="0"/>
          <w:cols w:space="708"/>
          <w:docGrid w:linePitch="360"/>
          <w15:footnoteColumns w:val="1"/>
        </w:sectPr>
      </w:pPr>
    </w:p>
    <w:p w14:paraId="39614A04" w14:textId="40F5CCE1" w:rsidR="004D26BC" w:rsidRPr="00E1432E" w:rsidRDefault="004D26BC" w:rsidP="00737E6B">
      <w:pPr>
        <w:rPr>
          <w:szCs w:val="22"/>
        </w:rPr>
      </w:pPr>
      <w:r w:rsidRPr="00E1432E">
        <w:rPr>
          <w:szCs w:val="22"/>
        </w:rPr>
        <w:t xml:space="preserve">This chapter addresses a key element in the Review’s </w:t>
      </w:r>
      <w:r w:rsidR="00F264FD">
        <w:rPr>
          <w:szCs w:val="22"/>
        </w:rPr>
        <w:t>T</w:t>
      </w:r>
      <w:r w:rsidRPr="00E1432E">
        <w:rPr>
          <w:szCs w:val="22"/>
        </w:rPr>
        <w:t xml:space="preserve">erms of </w:t>
      </w:r>
      <w:r w:rsidR="00F264FD">
        <w:rPr>
          <w:szCs w:val="22"/>
        </w:rPr>
        <w:t>R</w:t>
      </w:r>
      <w:r w:rsidRPr="00E1432E">
        <w:rPr>
          <w:szCs w:val="22"/>
        </w:rPr>
        <w:t>eference: reducing the VPS back towards its pre-pandemic share of employment,</w:t>
      </w:r>
      <w:r w:rsidRPr="00793799">
        <w:rPr>
          <w:rStyle w:val="FootnoteReference"/>
          <w:szCs w:val="22"/>
        </w:rPr>
        <w:t xml:space="preserve"> </w:t>
      </w:r>
      <w:r w:rsidRPr="00E1432E">
        <w:rPr>
          <w:szCs w:val="22"/>
        </w:rPr>
        <w:t>including an examination of the appropriate levels of executives.</w:t>
      </w:r>
    </w:p>
    <w:p w14:paraId="785CF54A" w14:textId="6256ECAC" w:rsidR="00367B35" w:rsidRPr="00E1432E" w:rsidRDefault="00367B35" w:rsidP="00737E6B">
      <w:pPr>
        <w:rPr>
          <w:szCs w:val="22"/>
        </w:rPr>
      </w:pPr>
      <w:r w:rsidRPr="006D5522">
        <w:rPr>
          <w:szCs w:val="22"/>
        </w:rPr>
        <w:t xml:space="preserve">The Victorian community is well-served by </w:t>
      </w:r>
      <w:r w:rsidR="009D32DB" w:rsidRPr="006D5522">
        <w:rPr>
          <w:szCs w:val="22"/>
        </w:rPr>
        <w:t>the VPS</w:t>
      </w:r>
      <w:r w:rsidRPr="006D5522">
        <w:rPr>
          <w:szCs w:val="22"/>
        </w:rPr>
        <w:t xml:space="preserve"> and </w:t>
      </w:r>
      <w:r w:rsidR="006D5522" w:rsidRPr="006D5522">
        <w:rPr>
          <w:szCs w:val="22"/>
        </w:rPr>
        <w:t>it is important that it functions well for the benefit of the community</w:t>
      </w:r>
      <w:r w:rsidR="009D32DB" w:rsidRPr="006D5522">
        <w:rPr>
          <w:szCs w:val="22"/>
        </w:rPr>
        <w:t>.</w:t>
      </w:r>
      <w:r w:rsidRPr="006D5522">
        <w:rPr>
          <w:szCs w:val="22"/>
        </w:rPr>
        <w:t xml:space="preserve"> </w:t>
      </w:r>
      <w:r w:rsidR="000931BC" w:rsidRPr="006D5522">
        <w:rPr>
          <w:szCs w:val="22"/>
        </w:rPr>
        <w:t>B</w:t>
      </w:r>
      <w:r w:rsidR="00B44B43" w:rsidRPr="006D5522">
        <w:rPr>
          <w:szCs w:val="22"/>
        </w:rPr>
        <w:t xml:space="preserve">est practice organisational design indicates that change is needed to </w:t>
      </w:r>
      <w:r w:rsidR="00911F28" w:rsidRPr="006D5522">
        <w:rPr>
          <w:szCs w:val="22"/>
        </w:rPr>
        <w:t xml:space="preserve">maintain high quality, </w:t>
      </w:r>
      <w:r w:rsidR="00EE3480" w:rsidRPr="006D5522">
        <w:rPr>
          <w:szCs w:val="22"/>
        </w:rPr>
        <w:t xml:space="preserve">effective </w:t>
      </w:r>
      <w:r w:rsidR="006D5522" w:rsidRPr="006D5522">
        <w:rPr>
          <w:szCs w:val="22"/>
        </w:rPr>
        <w:t xml:space="preserve">VPS </w:t>
      </w:r>
      <w:r w:rsidR="00EE3480" w:rsidRPr="006D5522">
        <w:rPr>
          <w:szCs w:val="22"/>
        </w:rPr>
        <w:t>organ</w:t>
      </w:r>
      <w:r w:rsidR="009E19EC" w:rsidRPr="006D5522">
        <w:rPr>
          <w:szCs w:val="22"/>
        </w:rPr>
        <w:t>isations.</w:t>
      </w:r>
      <w:r w:rsidR="009E19EC">
        <w:rPr>
          <w:szCs w:val="22"/>
        </w:rPr>
        <w:t xml:space="preserve">  </w:t>
      </w:r>
    </w:p>
    <w:p w14:paraId="64615DD5" w14:textId="5EB7C8A2" w:rsidR="004D26BC" w:rsidRPr="00E1432E" w:rsidRDefault="004D26BC" w:rsidP="00737E6B">
      <w:pPr>
        <w:rPr>
          <w:szCs w:val="22"/>
        </w:rPr>
      </w:pPr>
      <w:r w:rsidRPr="00E1432E">
        <w:rPr>
          <w:szCs w:val="22"/>
        </w:rPr>
        <w:t>A focus on a return to the pre-pandemic employment share (2019) makes sense. The impact of COVID</w:t>
      </w:r>
      <w:r>
        <w:rPr>
          <w:szCs w:val="22"/>
        </w:rPr>
        <w:t>-19</w:t>
      </w:r>
      <w:r w:rsidRPr="00E1432E">
        <w:rPr>
          <w:szCs w:val="22"/>
        </w:rPr>
        <w:t xml:space="preserve"> has been significant in many ways, </w:t>
      </w:r>
      <w:r w:rsidR="003D1443">
        <w:rPr>
          <w:szCs w:val="22"/>
        </w:rPr>
        <w:t xml:space="preserve">and </w:t>
      </w:r>
      <w:r>
        <w:rPr>
          <w:szCs w:val="22"/>
        </w:rPr>
        <w:t>therefore</w:t>
      </w:r>
      <w:r w:rsidRPr="00E1432E">
        <w:rPr>
          <w:szCs w:val="22"/>
        </w:rPr>
        <w:t xml:space="preserve"> basing analysis on a date as close as possible to the outbreak is </w:t>
      </w:r>
      <w:r>
        <w:rPr>
          <w:szCs w:val="22"/>
        </w:rPr>
        <w:t>reasonable</w:t>
      </w:r>
      <w:r w:rsidRPr="00E1432E">
        <w:rPr>
          <w:szCs w:val="22"/>
        </w:rPr>
        <w:t xml:space="preserve">. </w:t>
      </w:r>
      <w:r>
        <w:rPr>
          <w:szCs w:val="22"/>
        </w:rPr>
        <w:t xml:space="preserve">In doing so, the Review does not suggest that 2019 </w:t>
      </w:r>
      <w:r>
        <w:rPr>
          <w:szCs w:val="22"/>
        </w:rPr>
        <w:t xml:space="preserve">necessarily represents best practice in organisational design or structure. </w:t>
      </w:r>
    </w:p>
    <w:p w14:paraId="0659A12E" w14:textId="6C4C222B" w:rsidR="004D26BC" w:rsidRPr="00E1432E" w:rsidRDefault="004D26BC" w:rsidP="00737E6B">
      <w:r>
        <w:t xml:space="preserve">In looking at the VPS, the Review has sought to identify sustainable models and appropriate benchmarks to guide departmental </w:t>
      </w:r>
      <w:r w:rsidR="4A310977">
        <w:t>S</w:t>
      </w:r>
      <w:r>
        <w:t xml:space="preserve">ecretaries in the short and medium term. The focus is on management structures and systems that support excellent service delivery and more empowered public servants.   </w:t>
      </w:r>
    </w:p>
    <w:p w14:paraId="37890B4C" w14:textId="240BF5B2" w:rsidR="004D26BC" w:rsidRPr="00E051EA" w:rsidRDefault="004D26BC" w:rsidP="00737E6B">
      <w:pPr>
        <w:rPr>
          <w:szCs w:val="22"/>
        </w:rPr>
      </w:pPr>
      <w:r w:rsidRPr="00E051EA">
        <w:rPr>
          <w:rFonts w:eastAsiaTheme="minorEastAsia"/>
          <w:szCs w:val="22"/>
        </w:rPr>
        <w:t>In this chapter, the Review refers to the organisational concepts of ‘spans’ and ‘</w:t>
      </w:r>
      <w:proofErr w:type="gramStart"/>
      <w:r w:rsidRPr="00E051EA">
        <w:rPr>
          <w:rFonts w:eastAsiaTheme="minorEastAsia"/>
          <w:szCs w:val="22"/>
        </w:rPr>
        <w:t>layers’</w:t>
      </w:r>
      <w:proofErr w:type="gramEnd"/>
      <w:r w:rsidRPr="00E051EA">
        <w:rPr>
          <w:rFonts w:eastAsiaTheme="minorEastAsia"/>
          <w:szCs w:val="22"/>
        </w:rPr>
        <w:t xml:space="preserve">. A ‘span’ or ‘span of control' means the number of direct reports a manager oversees, and 'layers' means the number of levels between the top leadership and </w:t>
      </w:r>
      <w:r w:rsidRPr="00E051EA">
        <w:rPr>
          <w:szCs w:val="22"/>
        </w:rPr>
        <w:t xml:space="preserve">employees at the delivery level. </w:t>
      </w:r>
    </w:p>
    <w:p w14:paraId="1F83352F" w14:textId="77777777" w:rsidR="004D26BC" w:rsidRPr="007F24B5" w:rsidRDefault="004D26BC" w:rsidP="00737E6B">
      <w:pPr>
        <w:rPr>
          <w:szCs w:val="22"/>
        </w:rPr>
      </w:pPr>
      <w:r w:rsidRPr="00E051EA">
        <w:rPr>
          <w:szCs w:val="22"/>
        </w:rPr>
        <w:lastRenderedPageBreak/>
        <w:t xml:space="preserve">The Review encountered significant challenges in </w:t>
      </w:r>
      <w:r w:rsidRPr="00797972">
        <w:rPr>
          <w:szCs w:val="22"/>
        </w:rPr>
        <w:t>assessing</w:t>
      </w:r>
      <w:r w:rsidRPr="00E051EA">
        <w:rPr>
          <w:szCs w:val="22"/>
        </w:rPr>
        <w:t xml:space="preserve"> data on reporting lines, spans of control and layers of hierarchy across departments</w:t>
      </w:r>
      <w:r>
        <w:rPr>
          <w:szCs w:val="22"/>
        </w:rPr>
        <w:t xml:space="preserve"> and non-departmental entities</w:t>
      </w:r>
      <w:r w:rsidRPr="00E051EA">
        <w:rPr>
          <w:szCs w:val="22"/>
        </w:rPr>
        <w:t xml:space="preserve">. Existing data lack </w:t>
      </w:r>
      <w:r w:rsidRPr="00E051EA">
        <w:rPr>
          <w:szCs w:val="22"/>
        </w:rPr>
        <w:t xml:space="preserve">sufficient detail on reporting arrangements, particularly below </w:t>
      </w:r>
      <w:r>
        <w:rPr>
          <w:szCs w:val="22"/>
        </w:rPr>
        <w:t>executive</w:t>
      </w:r>
      <w:r w:rsidRPr="00E051EA">
        <w:rPr>
          <w:szCs w:val="22"/>
        </w:rPr>
        <w:t xml:space="preserve"> level. This currently limits the ability to </w:t>
      </w:r>
      <w:r>
        <w:rPr>
          <w:szCs w:val="22"/>
        </w:rPr>
        <w:t>undertake</w:t>
      </w:r>
      <w:r w:rsidRPr="00E051EA">
        <w:rPr>
          <w:szCs w:val="22"/>
        </w:rPr>
        <w:t xml:space="preserve"> good organisational design, resource allocation and workforce </w:t>
      </w:r>
      <w:r>
        <w:rPr>
          <w:szCs w:val="22"/>
        </w:rPr>
        <w:t>planning</w:t>
      </w:r>
      <w:r w:rsidRPr="00E051EA">
        <w:rPr>
          <w:szCs w:val="22"/>
        </w:rPr>
        <w:t xml:space="preserve"> across the VPS</w:t>
      </w:r>
      <w:r w:rsidRPr="00E051EA">
        <w:rPr>
          <w:color w:val="212121"/>
          <w:szCs w:val="22"/>
        </w:rPr>
        <w:t>.</w:t>
      </w:r>
    </w:p>
    <w:p w14:paraId="3287E0BC" w14:textId="77777777" w:rsidR="006A51AF" w:rsidRDefault="006A51AF" w:rsidP="00514DAC">
      <w:pPr>
        <w:pStyle w:val="Heading2"/>
        <w:sectPr w:rsidR="006A51AF" w:rsidSect="006A51AF">
          <w:type w:val="continuous"/>
          <w:pgSz w:w="11906" w:h="16838"/>
          <w:pgMar w:top="1440" w:right="1440" w:bottom="1440" w:left="1440" w:header="708" w:footer="708" w:gutter="0"/>
          <w:cols w:num="2" w:space="708"/>
          <w:docGrid w:linePitch="360"/>
          <w15:footnoteColumns w:val="1"/>
        </w:sectPr>
      </w:pPr>
      <w:bookmarkStart w:id="56" w:name="_Toc202523980"/>
    </w:p>
    <w:p w14:paraId="443E70A1" w14:textId="77777777" w:rsidR="00514DAC" w:rsidRDefault="001F4A1E" w:rsidP="00514DAC">
      <w:pPr>
        <w:pStyle w:val="Heading2"/>
      </w:pPr>
      <w:bookmarkStart w:id="57" w:name="_Toc214912000"/>
      <w:r>
        <w:t xml:space="preserve">5.2   </w:t>
      </w:r>
      <w:r w:rsidR="004D26BC">
        <w:t>VPS and public sector workforce growth</w:t>
      </w:r>
      <w:bookmarkEnd w:id="56"/>
      <w:bookmarkEnd w:id="57"/>
    </w:p>
    <w:p w14:paraId="21C558A7" w14:textId="77777777" w:rsidR="006A51AF" w:rsidRDefault="006A51AF" w:rsidP="00737E6B">
      <w:pPr>
        <w:rPr>
          <w:szCs w:val="22"/>
        </w:rPr>
        <w:sectPr w:rsidR="006A51AF" w:rsidSect="00AE6104">
          <w:type w:val="continuous"/>
          <w:pgSz w:w="11906" w:h="16838"/>
          <w:pgMar w:top="1440" w:right="1440" w:bottom="1440" w:left="1440" w:header="708" w:footer="708" w:gutter="0"/>
          <w:cols w:space="708"/>
          <w:docGrid w:linePitch="360"/>
          <w15:footnoteColumns w:val="1"/>
        </w:sectPr>
      </w:pPr>
    </w:p>
    <w:p w14:paraId="079ECAC7" w14:textId="3A074713" w:rsidR="004D26BC" w:rsidRDefault="004D26BC" w:rsidP="00737E6B">
      <w:pPr>
        <w:rPr>
          <w:szCs w:val="22"/>
        </w:rPr>
      </w:pPr>
      <w:r w:rsidRPr="007F24B5">
        <w:rPr>
          <w:szCs w:val="22"/>
        </w:rPr>
        <w:t>Since 2019, the public sector workforce in Victoria has grown by around 20 per cent, or more than 54,000 people. This growth has been concentrated outside of the VPS in frontline</w:t>
      </w:r>
      <w:r>
        <w:rPr>
          <w:szCs w:val="22"/>
        </w:rPr>
        <w:t xml:space="preserve"> workforce</w:t>
      </w:r>
      <w:r w:rsidRPr="007F24B5">
        <w:rPr>
          <w:szCs w:val="22"/>
        </w:rPr>
        <w:t xml:space="preserve"> roles, such as health</w:t>
      </w:r>
      <w:r>
        <w:rPr>
          <w:szCs w:val="22"/>
        </w:rPr>
        <w:t xml:space="preserve"> care</w:t>
      </w:r>
      <w:r w:rsidRPr="007F24B5">
        <w:rPr>
          <w:szCs w:val="22"/>
        </w:rPr>
        <w:t xml:space="preserve"> </w:t>
      </w:r>
      <w:r>
        <w:rPr>
          <w:szCs w:val="22"/>
        </w:rPr>
        <w:t xml:space="preserve">workers </w:t>
      </w:r>
      <w:r w:rsidRPr="007F24B5">
        <w:rPr>
          <w:szCs w:val="22"/>
        </w:rPr>
        <w:t>and</w:t>
      </w:r>
      <w:r>
        <w:rPr>
          <w:szCs w:val="22"/>
        </w:rPr>
        <w:t xml:space="preserve"> teachers</w:t>
      </w:r>
      <w:r w:rsidRPr="007F24B5">
        <w:rPr>
          <w:szCs w:val="22"/>
        </w:rPr>
        <w:t>.</w:t>
      </w:r>
      <w:r>
        <w:rPr>
          <w:szCs w:val="22"/>
        </w:rPr>
        <w:t xml:space="preserve">  </w:t>
      </w:r>
    </w:p>
    <w:p w14:paraId="71D5DE2D" w14:textId="169EE272" w:rsidR="004D26BC" w:rsidRPr="00BC5A7B" w:rsidRDefault="004D26BC" w:rsidP="00737E6B">
      <w:pPr>
        <w:rPr>
          <w:szCs w:val="22"/>
        </w:rPr>
      </w:pPr>
      <w:r w:rsidRPr="006A7BCE">
        <w:rPr>
          <w:szCs w:val="22"/>
        </w:rPr>
        <w:t>In the same period, the VPS grew by 16</w:t>
      </w:r>
      <w:r w:rsidR="00A36687">
        <w:rPr>
          <w:szCs w:val="22"/>
        </w:rPr>
        <w:t> </w:t>
      </w:r>
      <w:r w:rsidRPr="006A7BCE">
        <w:rPr>
          <w:szCs w:val="22"/>
        </w:rPr>
        <w:t>per</w:t>
      </w:r>
      <w:r w:rsidR="00A36687">
        <w:rPr>
          <w:szCs w:val="22"/>
        </w:rPr>
        <w:t> </w:t>
      </w:r>
      <w:r w:rsidRPr="006A7BCE">
        <w:rPr>
          <w:szCs w:val="22"/>
        </w:rPr>
        <w:t xml:space="preserve">cent and executive numbers rose by </w:t>
      </w:r>
      <w:r w:rsidRPr="006A7BCE">
        <w:rPr>
          <w:szCs w:val="22"/>
        </w:rPr>
        <w:t>52 per cent.</w:t>
      </w:r>
      <w:r>
        <w:rPr>
          <w:szCs w:val="22"/>
        </w:rPr>
        <w:t xml:space="preserve"> </w:t>
      </w:r>
      <w:r w:rsidRPr="00282B40">
        <w:rPr>
          <w:szCs w:val="22"/>
        </w:rPr>
        <w:t>Growth has stabilised since the COVID-19 response, with only a marginal increase (0.1 per cent) since 2023</w:t>
      </w:r>
      <w:r w:rsidRPr="00837F10">
        <w:rPr>
          <w:szCs w:val="22"/>
        </w:rPr>
        <w:t xml:space="preserve">. </w:t>
      </w:r>
      <w:r>
        <w:rPr>
          <w:szCs w:val="22"/>
        </w:rPr>
        <w:t>While overall</w:t>
      </w:r>
      <w:r w:rsidRPr="00837F10" w:rsidDel="006B6125">
        <w:rPr>
          <w:szCs w:val="22"/>
        </w:rPr>
        <w:t xml:space="preserve"> </w:t>
      </w:r>
      <w:r>
        <w:rPr>
          <w:szCs w:val="22"/>
        </w:rPr>
        <w:t>g</w:t>
      </w:r>
      <w:r w:rsidRPr="00837F10">
        <w:rPr>
          <w:szCs w:val="22"/>
        </w:rPr>
        <w:t xml:space="preserve">rowth </w:t>
      </w:r>
      <w:r w:rsidRPr="00E1432E">
        <w:rPr>
          <w:szCs w:val="22"/>
        </w:rPr>
        <w:t xml:space="preserve">has </w:t>
      </w:r>
      <w:r w:rsidRPr="00837F10">
        <w:rPr>
          <w:szCs w:val="22"/>
        </w:rPr>
        <w:t>been</w:t>
      </w:r>
      <w:r w:rsidRPr="00E1432E">
        <w:rPr>
          <w:szCs w:val="22"/>
        </w:rPr>
        <w:t xml:space="preserve"> largely in line with increased government expenditure and activity</w:t>
      </w:r>
      <w:r>
        <w:rPr>
          <w:szCs w:val="22"/>
        </w:rPr>
        <w:t>,</w:t>
      </w:r>
      <w:r w:rsidRPr="00837F10">
        <w:rPr>
          <w:szCs w:val="22"/>
        </w:rPr>
        <w:t xml:space="preserve"> </w:t>
      </w:r>
      <w:r w:rsidRPr="00E1432E">
        <w:rPr>
          <w:szCs w:val="22"/>
        </w:rPr>
        <w:t>FTE growth in non-departmental entities has outpaced growth in departments</w:t>
      </w:r>
      <w:r w:rsidR="00E5373F">
        <w:rPr>
          <w:szCs w:val="22"/>
        </w:rPr>
        <w:t xml:space="preserve"> (Figure 5.1)</w:t>
      </w:r>
      <w:r w:rsidRPr="00E1432E">
        <w:rPr>
          <w:szCs w:val="22"/>
        </w:rPr>
        <w:t xml:space="preserve">. </w:t>
      </w:r>
    </w:p>
    <w:p w14:paraId="2AE6B5AB" w14:textId="77777777" w:rsidR="006A51AF" w:rsidRDefault="006A51AF" w:rsidP="007815B3">
      <w:pPr>
        <w:pStyle w:val="Figureheading"/>
        <w:sectPr w:rsidR="006A51AF" w:rsidSect="006A51AF">
          <w:type w:val="continuous"/>
          <w:pgSz w:w="11906" w:h="16838"/>
          <w:pgMar w:top="1440" w:right="1440" w:bottom="1440" w:left="1440" w:header="708" w:footer="708" w:gutter="0"/>
          <w:cols w:num="2" w:space="708"/>
          <w:docGrid w:linePitch="360"/>
          <w15:footnoteColumns w:val="1"/>
        </w:sectPr>
      </w:pPr>
    </w:p>
    <w:p w14:paraId="78398C73" w14:textId="0B72C378" w:rsidR="000661DE" w:rsidRPr="004B0A13" w:rsidRDefault="006D261A" w:rsidP="006A51AF">
      <w:pPr>
        <w:pStyle w:val="Figureheading"/>
      </w:pPr>
      <w:r>
        <w:rPr>
          <w:noProof/>
        </w:rPr>
        <w:drawing>
          <wp:anchor distT="0" distB="0" distL="114300" distR="114300" simplePos="0" relativeHeight="251658313" behindDoc="1" locked="0" layoutInCell="1" allowOverlap="1" wp14:anchorId="7D7BE29D" wp14:editId="3830D50A">
            <wp:simplePos x="0" y="0"/>
            <wp:positionH relativeFrom="margin">
              <wp:align>left</wp:align>
            </wp:positionH>
            <wp:positionV relativeFrom="paragraph">
              <wp:posOffset>426085</wp:posOffset>
            </wp:positionV>
            <wp:extent cx="5711190" cy="3667760"/>
            <wp:effectExtent l="0" t="0" r="3810" b="8890"/>
            <wp:wrapTopAndBottom/>
            <wp:docPr id="1085445619" name="Chart 1" descr="A chart displaying growth in the number of VPS FTE from June 2014 to June 2024, measured in number of FTE. The chart separately identifies growth in the number of FTE employed in departments and the number of FTE employed in non departmental entities. ">
              <a:extLst xmlns:a="http://schemas.openxmlformats.org/drawingml/2006/main">
                <a:ext uri="{FF2B5EF4-FFF2-40B4-BE49-F238E27FC236}">
                  <a16:creationId xmlns:a16="http://schemas.microsoft.com/office/drawing/2014/main" id="{E35CDA7B-F01E-82A8-678D-68B404B2A6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anchor>
        </w:drawing>
      </w:r>
      <w:r w:rsidR="00442637">
        <w:rPr>
          <w:noProof/>
        </w:rPr>
        <mc:AlternateContent>
          <mc:Choice Requires="wps">
            <w:drawing>
              <wp:anchor distT="0" distB="0" distL="114300" distR="114300" simplePos="0" relativeHeight="251658323" behindDoc="0" locked="0" layoutInCell="1" allowOverlap="1" wp14:anchorId="5DC08DBE" wp14:editId="5E076070">
                <wp:simplePos x="0" y="0"/>
                <wp:positionH relativeFrom="column">
                  <wp:posOffset>3088640</wp:posOffset>
                </wp:positionH>
                <wp:positionV relativeFrom="paragraph">
                  <wp:posOffset>1543685</wp:posOffset>
                </wp:positionV>
                <wp:extent cx="2235200" cy="859790"/>
                <wp:effectExtent l="0" t="0" r="0" b="0"/>
                <wp:wrapTopAndBottom/>
                <wp:docPr id="743568302" name="TextBox 6"/>
                <wp:cNvGraphicFramePr/>
                <a:graphic xmlns:a="http://schemas.openxmlformats.org/drawingml/2006/main">
                  <a:graphicData uri="http://schemas.microsoft.com/office/word/2010/wordprocessingShape">
                    <wps:wsp>
                      <wps:cNvSpPr txBox="1"/>
                      <wps:spPr>
                        <a:xfrm>
                          <a:off x="0" y="0"/>
                          <a:ext cx="2235200" cy="85979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D825DCC" w14:textId="1D29DF00" w:rsidR="00442637" w:rsidRPr="00E07552" w:rsidRDefault="00442637" w:rsidP="00CE051F">
                            <w:pPr>
                              <w:rPr>
                                <w:rFonts w:ascii="Aptos" w:hAnsi="Aptos"/>
                                <w:color w:val="FFFFFF" w:themeColor="background1"/>
                                <w:kern w:val="0"/>
                                <w:szCs w:val="22"/>
                                <w14:ligatures w14:val="none"/>
                              </w:rPr>
                            </w:pPr>
                            <w:r w:rsidRPr="00E07552">
                              <w:rPr>
                                <w:rFonts w:ascii="Aptos" w:hAnsi="Aptos"/>
                                <w:color w:val="FFFFFF" w:themeColor="background1"/>
                                <w:szCs w:val="22"/>
                              </w:rPr>
                              <w:t xml:space="preserve">VPS </w:t>
                            </w:r>
                            <w:r>
                              <w:rPr>
                                <w:rFonts w:ascii="Aptos" w:hAnsi="Aptos"/>
                                <w:color w:val="FFFFFF" w:themeColor="background1"/>
                                <w:szCs w:val="22"/>
                              </w:rPr>
                              <w:t>non-</w:t>
                            </w:r>
                            <w:r w:rsidR="00B7163E">
                              <w:rPr>
                                <w:rFonts w:ascii="Aptos" w:hAnsi="Aptos"/>
                                <w:color w:val="FFFFFF" w:themeColor="background1"/>
                                <w:szCs w:val="22"/>
                              </w:rPr>
                              <w:t>d</w:t>
                            </w:r>
                            <w:r w:rsidRPr="00E07552">
                              <w:rPr>
                                <w:rFonts w:ascii="Aptos" w:hAnsi="Aptos"/>
                                <w:color w:val="FFFFFF" w:themeColor="background1"/>
                                <w:szCs w:val="22"/>
                              </w:rPr>
                              <w:t>epartment</w:t>
                            </w:r>
                            <w:r w:rsidR="00B7163E">
                              <w:rPr>
                                <w:rFonts w:ascii="Aptos" w:hAnsi="Aptos"/>
                                <w:color w:val="FFFFFF" w:themeColor="background1"/>
                                <w:szCs w:val="22"/>
                              </w:rPr>
                              <w:t xml:space="preserve"> entities</w:t>
                            </w:r>
                          </w:p>
                        </w:txbxContent>
                      </wps:txbx>
                      <wps:bodyPr vertOverflow="clip" horzOverflow="clip" wrap="square" rtlCol="0" anchor="t"/>
                    </wps:wsp>
                  </a:graphicData>
                </a:graphic>
                <wp14:sizeRelH relativeFrom="margin">
                  <wp14:pctWidth>0</wp14:pctWidth>
                </wp14:sizeRelH>
              </wp:anchor>
            </w:drawing>
          </mc:Choice>
          <mc:Fallback>
            <w:pict>
              <v:shape w14:anchorId="5DC08DBE" id="_x0000_s1057" type="#_x0000_t202" style="position:absolute;margin-left:243.2pt;margin-top:121.55pt;width:176pt;height:67.7pt;z-index:2516583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" filled="f" stroked="f">
                <v:textbox>
                  <w:txbxContent>
                    <w:p w14:paraId="1D825DCC" w14:textId="1D29DF00" w:rsidR="00442637" w:rsidRPr="00E07552" w:rsidRDefault="00442637" w:rsidP="00CE051F">
                      <w:pPr>
                        <w:rPr>
                          <w:rFonts w:ascii="Aptos" w:hAnsi="Aptos"/>
                          <w:color w:val="FFFFFF" w:themeColor="background1"/>
                          <w:kern w:val="0"/>
                          <w:szCs w:val="22"/>
                          <w14:ligatures w14:val="none"/>
                        </w:rPr>
                      </w:pPr>
                      <w:r w:rsidRPr="00E07552">
                        <w:rPr>
                          <w:rFonts w:ascii="Aptos" w:hAnsi="Aptos"/>
                          <w:color w:val="FFFFFF" w:themeColor="background1"/>
                          <w:szCs w:val="22"/>
                        </w:rPr>
                        <w:t xml:space="preserve">VPS </w:t>
                      </w:r>
                      <w:r>
                        <w:rPr>
                          <w:rFonts w:ascii="Aptos" w:hAnsi="Aptos"/>
                          <w:color w:val="FFFFFF" w:themeColor="background1"/>
                          <w:szCs w:val="22"/>
                        </w:rPr>
                        <w:t>non-</w:t>
                      </w:r>
                      <w:r w:rsidR="00B7163E">
                        <w:rPr>
                          <w:rFonts w:ascii="Aptos" w:hAnsi="Aptos"/>
                          <w:color w:val="FFFFFF" w:themeColor="background1"/>
                          <w:szCs w:val="22"/>
                        </w:rPr>
                        <w:t>d</w:t>
                      </w:r>
                      <w:r w:rsidRPr="00E07552">
                        <w:rPr>
                          <w:rFonts w:ascii="Aptos" w:hAnsi="Aptos"/>
                          <w:color w:val="FFFFFF" w:themeColor="background1"/>
                          <w:szCs w:val="22"/>
                        </w:rPr>
                        <w:t>epartment</w:t>
                      </w:r>
                      <w:r w:rsidR="00B7163E">
                        <w:rPr>
                          <w:rFonts w:ascii="Aptos" w:hAnsi="Aptos"/>
                          <w:color w:val="FFFFFF" w:themeColor="background1"/>
                          <w:szCs w:val="22"/>
                        </w:rPr>
                        <w:t xml:space="preserve"> entities</w:t>
                      </w:r>
                    </w:p>
                  </w:txbxContent>
                </v:textbox>
                <w10:wrap type="topAndBottom"/>
              </v:shape>
            </w:pict>
          </mc:Fallback>
        </mc:AlternateContent>
      </w:r>
      <w:r w:rsidR="00442637">
        <w:rPr>
          <w:noProof/>
        </w:rPr>
        <mc:AlternateContent>
          <mc:Choice Requires="wps">
            <w:drawing>
              <wp:anchor distT="0" distB="0" distL="114300" distR="114300" simplePos="0" relativeHeight="251658322" behindDoc="0" locked="0" layoutInCell="1" allowOverlap="1" wp14:anchorId="7BF1B3A2" wp14:editId="1274ACE3">
                <wp:simplePos x="0" y="0"/>
                <wp:positionH relativeFrom="column">
                  <wp:posOffset>843280</wp:posOffset>
                </wp:positionH>
                <wp:positionV relativeFrom="paragraph">
                  <wp:posOffset>2590165</wp:posOffset>
                </wp:positionV>
                <wp:extent cx="1793784" cy="859936"/>
                <wp:effectExtent l="0" t="0" r="0" b="0"/>
                <wp:wrapTopAndBottom/>
                <wp:docPr id="993227632" name="TextBox 6"/>
                <wp:cNvGraphicFramePr/>
                <a:graphic xmlns:a="http://schemas.openxmlformats.org/drawingml/2006/main">
                  <a:graphicData uri="http://schemas.microsoft.com/office/word/2010/wordprocessingShape">
                    <wps:wsp>
                      <wps:cNvSpPr txBox="1"/>
                      <wps:spPr>
                        <a:xfrm>
                          <a:off x="0" y="0"/>
                          <a:ext cx="1793784" cy="85993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A76018D" w14:textId="77777777" w:rsidR="00CE051F" w:rsidRPr="00E07552" w:rsidRDefault="00CE051F" w:rsidP="00CE051F">
                            <w:pPr>
                              <w:rPr>
                                <w:rFonts w:ascii="Aptos" w:hAnsi="Aptos"/>
                                <w:color w:val="FFFFFF" w:themeColor="background1"/>
                                <w:kern w:val="0"/>
                                <w:szCs w:val="22"/>
                                <w14:ligatures w14:val="none"/>
                              </w:rPr>
                            </w:pPr>
                            <w:r w:rsidRPr="00E07552">
                              <w:rPr>
                                <w:rFonts w:ascii="Aptos" w:hAnsi="Aptos"/>
                                <w:color w:val="FFFFFF" w:themeColor="background1"/>
                                <w:szCs w:val="22"/>
                              </w:rPr>
                              <w:t>VPS Departments</w:t>
                            </w:r>
                          </w:p>
                        </w:txbxContent>
                      </wps:txbx>
                      <wps:bodyPr vertOverflow="clip" horzOverflow="clip" wrap="square" rtlCol="0" anchor="t"/>
                    </wps:wsp>
                  </a:graphicData>
                </a:graphic>
              </wp:anchor>
            </w:drawing>
          </mc:Choice>
          <mc:Fallback>
            <w:pict>
              <v:shape w14:anchorId="7BF1B3A2" id="_x0000_s1058" type="#_x0000_t202" style="position:absolute;margin-left:66.4pt;margin-top:203.95pt;width:141.25pt;height:67.7pt;z-index:2516583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" filled="f" stroked="f">
                <v:textbox>
                  <w:txbxContent>
                    <w:p w14:paraId="0A76018D" w14:textId="77777777" w:rsidR="00CE051F" w:rsidRPr="00E07552" w:rsidRDefault="00CE051F" w:rsidP="00CE051F">
                      <w:pPr>
                        <w:rPr>
                          <w:rFonts w:ascii="Aptos" w:hAnsi="Aptos"/>
                          <w:color w:val="FFFFFF" w:themeColor="background1"/>
                          <w:kern w:val="0"/>
                          <w:szCs w:val="22"/>
                          <w14:ligatures w14:val="none"/>
                        </w:rPr>
                      </w:pPr>
                      <w:r w:rsidRPr="00E07552">
                        <w:rPr>
                          <w:rFonts w:ascii="Aptos" w:hAnsi="Aptos"/>
                          <w:color w:val="FFFFFF" w:themeColor="background1"/>
                          <w:szCs w:val="22"/>
                        </w:rPr>
                        <w:t>VPS Departments</w:t>
                      </w:r>
                    </w:p>
                  </w:txbxContent>
                </v:textbox>
                <w10:wrap type="topAndBottom"/>
              </v:shape>
            </w:pict>
          </mc:Fallback>
        </mc:AlternateContent>
      </w:r>
      <w:r w:rsidR="004D26BC" w:rsidRPr="004B0A13">
        <w:t>Figure 5.</w:t>
      </w:r>
      <w:r w:rsidR="009D5FCD">
        <w:fldChar w:fldCharType="begin"/>
      </w:r>
      <w:r w:rsidR="009D5FCD">
        <w:instrText xml:space="preserve"> SEQ Figure \* ARABIC \s 1 </w:instrText>
      </w:r>
      <w:r w:rsidR="009D5FCD">
        <w:fldChar w:fldCharType="separate"/>
      </w:r>
      <w:r w:rsidR="009D1283">
        <w:rPr>
          <w:noProof/>
        </w:rPr>
        <w:t>1</w:t>
      </w:r>
      <w:r w:rsidR="009D5FCD">
        <w:rPr>
          <w:noProof/>
        </w:rPr>
        <w:fldChar w:fldCharType="end"/>
      </w:r>
      <w:r w:rsidR="004D26BC" w:rsidRPr="004B0A13">
        <w:t>: VPS growth (Department and non-departmental entities)</w:t>
      </w:r>
      <w:r w:rsidR="000661DE">
        <w:rPr>
          <w:noProof/>
        </w:rPr>
        <mc:AlternateContent>
          <mc:Choice Requires="wps">
            <w:drawing>
              <wp:anchor distT="0" distB="0" distL="114300" distR="114300" simplePos="0" relativeHeight="251658299" behindDoc="0" locked="0" layoutInCell="1" allowOverlap="1" wp14:anchorId="4A727F17" wp14:editId="6E4C9639">
                <wp:simplePos x="0" y="0"/>
                <wp:positionH relativeFrom="margin">
                  <wp:posOffset>2841625</wp:posOffset>
                </wp:positionH>
                <wp:positionV relativeFrom="paragraph">
                  <wp:posOffset>1464310</wp:posOffset>
                </wp:positionV>
                <wp:extent cx="2308225" cy="427990"/>
                <wp:effectExtent l="0" t="0" r="0" b="0"/>
                <wp:wrapTopAndBottom/>
                <wp:docPr id="590122306" name="TextBox 1"/>
                <wp:cNvGraphicFramePr/>
                <a:graphic xmlns:a="http://schemas.openxmlformats.org/drawingml/2006/main">
                  <a:graphicData uri="http://schemas.microsoft.com/office/word/2010/wordprocessingShape">
                    <wps:wsp>
                      <wps:cNvSpPr txBox="1"/>
                      <wps:spPr>
                        <a:xfrm>
                          <a:off x="0" y="0"/>
                          <a:ext cx="2308225" cy="427990"/>
                        </a:xfrm>
                        <a:prstGeom prst="rect">
                          <a:avLst/>
                        </a:prstGeom>
                      </wps:spPr>
                      <wps:txbx>
                        <w:txbxContent>
                          <w:p w14:paraId="2BAA21C0" w14:textId="77777777" w:rsidR="000661DE" w:rsidRPr="00E07552" w:rsidRDefault="000661DE" w:rsidP="000661DE">
                            <w:pPr>
                              <w:rPr>
                                <w:rFonts w:ascii="Aptos" w:hAnsi="Aptos"/>
                                <w:color w:val="FFFFFF" w:themeColor="background1"/>
                                <w:kern w:val="24"/>
                                <w:szCs w:val="22"/>
                                <w14:ligatures w14:val="none"/>
                              </w:rPr>
                            </w:pPr>
                            <w:r w:rsidRPr="00E07552">
                              <w:rPr>
                                <w:rFonts w:ascii="Aptos" w:hAnsi="Aptos"/>
                                <w:color w:val="FFFFFF" w:themeColor="background1"/>
                                <w:kern w:val="24"/>
                                <w:szCs w:val="22"/>
                              </w:rPr>
                              <w:t>VPS non-department entities</w:t>
                            </w:r>
                          </w:p>
                        </w:txbxContent>
                      </wps:txbx>
                      <wps:bodyPr wrap="square" rtlCol="0"/>
                    </wps:wsp>
                  </a:graphicData>
                </a:graphic>
                <wp14:sizeRelH relativeFrom="margin">
                  <wp14:pctWidth>0</wp14:pctWidth>
                </wp14:sizeRelH>
              </wp:anchor>
            </w:drawing>
          </mc:Choice>
          <mc:Fallback>
            <w:pict>
              <v:shape w14:anchorId="4A727F17" id="_x0000_s1059" type="#_x0000_t202" style="position:absolute;margin-left:223.75pt;margin-top:115.3pt;width:181.75pt;height:33.7pt;z-index:25165829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" filled="f" stroked="f">
                <v:textbox>
                  <w:txbxContent>
                    <w:p w14:paraId="2BAA21C0" w14:textId="77777777" w:rsidR="000661DE" w:rsidRPr="00E07552" w:rsidRDefault="000661DE" w:rsidP="000661DE">
                      <w:pPr>
                        <w:rPr>
                          <w:rFonts w:ascii="Aptos" w:hAnsi="Aptos"/>
                          <w:color w:val="FFFFFF" w:themeColor="background1"/>
                          <w:kern w:val="24"/>
                          <w:szCs w:val="22"/>
                          <w14:ligatures w14:val="none"/>
                        </w:rPr>
                      </w:pPr>
                      <w:r w:rsidRPr="00E07552">
                        <w:rPr>
                          <w:rFonts w:ascii="Aptos" w:hAnsi="Aptos"/>
                          <w:color w:val="FFFFFF" w:themeColor="background1"/>
                          <w:kern w:val="24"/>
                          <w:szCs w:val="22"/>
                        </w:rPr>
                        <w:t>VPS non-department entities</w:t>
                      </w:r>
                    </w:p>
                  </w:txbxContent>
                </v:textbox>
                <w10:wrap type="topAndBottom" anchorx="margin"/>
              </v:shape>
            </w:pict>
          </mc:Fallback>
        </mc:AlternateContent>
      </w:r>
    </w:p>
    <w:p w14:paraId="4A813980" w14:textId="0F96A676" w:rsidR="00E84D9E" w:rsidRPr="002E738B" w:rsidRDefault="00E84D9E" w:rsidP="00F84F7F">
      <w:pPr>
        <w:pStyle w:val="Caption"/>
        <w:spacing w:before="360"/>
      </w:pPr>
      <w:r w:rsidRPr="00E84D9E">
        <w:t>Source: VPSC</w:t>
      </w:r>
    </w:p>
    <w:p w14:paraId="2240D20A" w14:textId="77777777" w:rsidR="00C412E9" w:rsidRDefault="00C412E9" w:rsidP="004B0A13">
      <w:pPr>
        <w:rPr>
          <w:szCs w:val="22"/>
        </w:rPr>
      </w:pPr>
      <w:r>
        <w:rPr>
          <w:szCs w:val="22"/>
        </w:rPr>
        <w:br w:type="page"/>
      </w:r>
    </w:p>
    <w:p w14:paraId="41B3FB24" w14:textId="77777777" w:rsidR="007E74B6" w:rsidRDefault="007E74B6" w:rsidP="004B0A13">
      <w:pPr>
        <w:rPr>
          <w:szCs w:val="22"/>
        </w:rPr>
        <w:sectPr w:rsidR="007E74B6" w:rsidSect="00AE6104">
          <w:type w:val="continuous"/>
          <w:pgSz w:w="11906" w:h="16838"/>
          <w:pgMar w:top="1440" w:right="1440" w:bottom="1440" w:left="1440" w:header="708" w:footer="708" w:gutter="0"/>
          <w:cols w:space="708"/>
          <w:docGrid w:linePitch="360"/>
          <w15:footnoteColumns w:val="1"/>
        </w:sectPr>
      </w:pPr>
    </w:p>
    <w:p w14:paraId="49A9503C" w14:textId="0178D6BC" w:rsidR="004D26BC" w:rsidRPr="00E1432E" w:rsidRDefault="004D26BC" w:rsidP="004B0A13">
      <w:pPr>
        <w:rPr>
          <w:szCs w:val="22"/>
        </w:rPr>
      </w:pPr>
      <w:r w:rsidRPr="00E1432E">
        <w:rPr>
          <w:szCs w:val="22"/>
        </w:rPr>
        <w:lastRenderedPageBreak/>
        <w:t xml:space="preserve">While VPS growth has </w:t>
      </w:r>
      <w:r w:rsidRPr="004B4A27">
        <w:rPr>
          <w:szCs w:val="22"/>
        </w:rPr>
        <w:t>slowed</w:t>
      </w:r>
      <w:r w:rsidRPr="00E1432E">
        <w:rPr>
          <w:szCs w:val="22"/>
        </w:rPr>
        <w:t xml:space="preserve">, there has been </w:t>
      </w:r>
      <w:r w:rsidRPr="157C9FD9">
        <w:rPr>
          <w:szCs w:val="22"/>
        </w:rPr>
        <w:t>a</w:t>
      </w:r>
      <w:r w:rsidRPr="00E1432E">
        <w:rPr>
          <w:szCs w:val="22"/>
        </w:rPr>
        <w:t xml:space="preserve"> notable shift in the composition of the workforce: there are </w:t>
      </w:r>
      <w:r>
        <w:rPr>
          <w:szCs w:val="22"/>
        </w:rPr>
        <w:t xml:space="preserve">now </w:t>
      </w:r>
      <w:r w:rsidRPr="157C9FD9">
        <w:rPr>
          <w:szCs w:val="22"/>
        </w:rPr>
        <w:t xml:space="preserve">proportionally </w:t>
      </w:r>
      <w:r w:rsidRPr="00E1432E">
        <w:rPr>
          <w:szCs w:val="22"/>
        </w:rPr>
        <w:t>more executives and senior staff</w:t>
      </w:r>
      <w:r>
        <w:rPr>
          <w:szCs w:val="22"/>
        </w:rPr>
        <w:t xml:space="preserve"> (Figure</w:t>
      </w:r>
      <w:r w:rsidR="00396C5A">
        <w:rPr>
          <w:szCs w:val="22"/>
        </w:rPr>
        <w:t> </w:t>
      </w:r>
      <w:r w:rsidR="001C4412">
        <w:rPr>
          <w:szCs w:val="22"/>
        </w:rPr>
        <w:t>5</w:t>
      </w:r>
      <w:r>
        <w:rPr>
          <w:szCs w:val="22"/>
        </w:rPr>
        <w:t>.2)</w:t>
      </w:r>
      <w:r w:rsidRPr="00E1432E">
        <w:rPr>
          <w:szCs w:val="22"/>
        </w:rPr>
        <w:t xml:space="preserve">. This directly impacts </w:t>
      </w:r>
      <w:r>
        <w:rPr>
          <w:szCs w:val="22"/>
        </w:rPr>
        <w:t xml:space="preserve">the </w:t>
      </w:r>
      <w:r w:rsidRPr="00E1432E">
        <w:rPr>
          <w:szCs w:val="22"/>
        </w:rPr>
        <w:t>cost</w:t>
      </w:r>
      <w:r w:rsidR="007114FD">
        <w:rPr>
          <w:szCs w:val="22"/>
        </w:rPr>
        <w:t> </w:t>
      </w:r>
      <w:r w:rsidRPr="00E1432E">
        <w:rPr>
          <w:szCs w:val="22"/>
        </w:rPr>
        <w:t>of</w:t>
      </w:r>
      <w:r w:rsidR="007114FD">
        <w:rPr>
          <w:szCs w:val="22"/>
        </w:rPr>
        <w:t> </w:t>
      </w:r>
      <w:r w:rsidRPr="00E1432E">
        <w:rPr>
          <w:szCs w:val="22"/>
        </w:rPr>
        <w:t xml:space="preserve">the VPS as well as culture and </w:t>
      </w:r>
      <w:r>
        <w:rPr>
          <w:szCs w:val="22"/>
        </w:rPr>
        <w:t>ways of</w:t>
      </w:r>
      <w:r w:rsidR="007114FD">
        <w:rPr>
          <w:szCs w:val="22"/>
        </w:rPr>
        <w:t> </w:t>
      </w:r>
      <w:r>
        <w:rPr>
          <w:szCs w:val="22"/>
        </w:rPr>
        <w:t>working</w:t>
      </w:r>
      <w:r w:rsidRPr="00E1432E">
        <w:rPr>
          <w:szCs w:val="22"/>
        </w:rPr>
        <w:t>.</w:t>
      </w:r>
      <w:r>
        <w:rPr>
          <w:szCs w:val="22"/>
        </w:rPr>
        <w:t xml:space="preserve"> </w:t>
      </w:r>
    </w:p>
    <w:p w14:paraId="7F77EE14" w14:textId="1AB18185" w:rsidR="004D26BC" w:rsidRPr="00D470A0" w:rsidRDefault="004D26BC" w:rsidP="004B0A13">
      <w:pPr>
        <w:rPr>
          <w:szCs w:val="22"/>
        </w:rPr>
      </w:pPr>
      <w:r>
        <w:rPr>
          <w:szCs w:val="22"/>
        </w:rPr>
        <w:t>In 2019, t</w:t>
      </w:r>
      <w:r w:rsidRPr="00484C8E">
        <w:rPr>
          <w:szCs w:val="22"/>
        </w:rPr>
        <w:t xml:space="preserve">he VPS (including departments and VPS non-departmental entities) </w:t>
      </w:r>
      <w:r>
        <w:rPr>
          <w:szCs w:val="22"/>
        </w:rPr>
        <w:t xml:space="preserve">had a total </w:t>
      </w:r>
      <w:r w:rsidRPr="00484C8E">
        <w:rPr>
          <w:szCs w:val="22"/>
        </w:rPr>
        <w:t xml:space="preserve">of </w:t>
      </w:r>
      <w:r w:rsidRPr="00F60A9F">
        <w:rPr>
          <w:szCs w:val="22"/>
        </w:rPr>
        <w:t>1,241</w:t>
      </w:r>
      <w:r w:rsidRPr="00484C8E">
        <w:rPr>
          <w:szCs w:val="22"/>
        </w:rPr>
        <w:t xml:space="preserve"> </w:t>
      </w:r>
      <w:r>
        <w:rPr>
          <w:szCs w:val="22"/>
        </w:rPr>
        <w:t>SES</w:t>
      </w:r>
      <w:r w:rsidRPr="00484C8E">
        <w:rPr>
          <w:szCs w:val="22"/>
        </w:rPr>
        <w:t xml:space="preserve"> and </w:t>
      </w:r>
      <w:r w:rsidRPr="00F60A9F">
        <w:rPr>
          <w:szCs w:val="22"/>
        </w:rPr>
        <w:t>425</w:t>
      </w:r>
      <w:r w:rsidRPr="00484C8E">
        <w:rPr>
          <w:szCs w:val="22"/>
        </w:rPr>
        <w:t xml:space="preserve"> </w:t>
      </w:r>
      <w:r w:rsidRPr="00D63509">
        <w:rPr>
          <w:szCs w:val="22"/>
        </w:rPr>
        <w:t>STS</w:t>
      </w:r>
      <w:r>
        <w:rPr>
          <w:szCs w:val="22"/>
        </w:rPr>
        <w:t xml:space="preserve">. There has been an increase of </w:t>
      </w:r>
      <w:r w:rsidRPr="00484C8E">
        <w:rPr>
          <w:szCs w:val="22"/>
        </w:rPr>
        <w:t xml:space="preserve">641 </w:t>
      </w:r>
      <w:r>
        <w:rPr>
          <w:szCs w:val="22"/>
        </w:rPr>
        <w:t>SES</w:t>
      </w:r>
      <w:r w:rsidRPr="00484C8E">
        <w:rPr>
          <w:szCs w:val="22"/>
        </w:rPr>
        <w:t xml:space="preserve"> and 727 STS </w:t>
      </w:r>
      <w:r>
        <w:rPr>
          <w:szCs w:val="22"/>
        </w:rPr>
        <w:t>FTE in five years, which</w:t>
      </w:r>
      <w:r w:rsidRPr="00484C8E">
        <w:rPr>
          <w:szCs w:val="22"/>
        </w:rPr>
        <w:t xml:space="preserve"> is a combined 82</w:t>
      </w:r>
      <w:r w:rsidR="00443B58">
        <w:rPr>
          <w:szCs w:val="22"/>
        </w:rPr>
        <w:t> </w:t>
      </w:r>
      <w:r w:rsidRPr="00484C8E">
        <w:rPr>
          <w:szCs w:val="22"/>
        </w:rPr>
        <w:t>per cent increase</w:t>
      </w:r>
      <w:r w:rsidRPr="00D63509">
        <w:rPr>
          <w:szCs w:val="22"/>
        </w:rPr>
        <w:t xml:space="preserve">. As a proportion of the </w:t>
      </w:r>
      <w:r>
        <w:rPr>
          <w:szCs w:val="22"/>
        </w:rPr>
        <w:t xml:space="preserve">VPS </w:t>
      </w:r>
      <w:r w:rsidR="00084CA1">
        <w:rPr>
          <w:szCs w:val="22"/>
        </w:rPr>
        <w:t>grade</w:t>
      </w:r>
      <w:r>
        <w:rPr>
          <w:szCs w:val="22"/>
        </w:rPr>
        <w:t xml:space="preserve"> </w:t>
      </w:r>
      <w:r w:rsidRPr="00D63509">
        <w:rPr>
          <w:szCs w:val="22"/>
        </w:rPr>
        <w:t>workforce</w:t>
      </w:r>
      <w:r>
        <w:rPr>
          <w:szCs w:val="22"/>
        </w:rPr>
        <w:t xml:space="preserve">, </w:t>
      </w:r>
      <w:r w:rsidRPr="00EC46C2">
        <w:rPr>
          <w:szCs w:val="22"/>
        </w:rPr>
        <w:t>in 2024</w:t>
      </w:r>
      <w:r>
        <w:rPr>
          <w:szCs w:val="22"/>
        </w:rPr>
        <w:t>, SES</w:t>
      </w:r>
      <w:r w:rsidRPr="00EC46C2">
        <w:rPr>
          <w:szCs w:val="22"/>
        </w:rPr>
        <w:t xml:space="preserve"> and STS made up </w:t>
      </w:r>
      <w:r w:rsidR="00466178">
        <w:rPr>
          <w:szCs w:val="22"/>
        </w:rPr>
        <w:t>7.2</w:t>
      </w:r>
      <w:r w:rsidRPr="00F60A9F">
        <w:rPr>
          <w:szCs w:val="22"/>
        </w:rPr>
        <w:t xml:space="preserve"> per</w:t>
      </w:r>
      <w:r w:rsidRPr="00EC46C2">
        <w:rPr>
          <w:szCs w:val="22"/>
        </w:rPr>
        <w:t xml:space="preserve"> cent, compared to </w:t>
      </w:r>
      <w:r w:rsidR="00466178">
        <w:rPr>
          <w:szCs w:val="22"/>
        </w:rPr>
        <w:t>5</w:t>
      </w:r>
      <w:r w:rsidRPr="00EC46C2">
        <w:rPr>
          <w:szCs w:val="22"/>
        </w:rPr>
        <w:t>.5</w:t>
      </w:r>
      <w:r w:rsidR="00443B58">
        <w:rPr>
          <w:szCs w:val="22"/>
        </w:rPr>
        <w:t> </w:t>
      </w:r>
      <w:r w:rsidRPr="00EC46C2">
        <w:rPr>
          <w:szCs w:val="22"/>
        </w:rPr>
        <w:t>per</w:t>
      </w:r>
      <w:r w:rsidR="00443B58">
        <w:rPr>
          <w:szCs w:val="22"/>
        </w:rPr>
        <w:t> </w:t>
      </w:r>
      <w:r w:rsidRPr="00EC46C2">
        <w:rPr>
          <w:szCs w:val="22"/>
        </w:rPr>
        <w:t>cent in 201</w:t>
      </w:r>
      <w:r>
        <w:rPr>
          <w:szCs w:val="22"/>
        </w:rPr>
        <w:t>9</w:t>
      </w:r>
      <w:r w:rsidRPr="00EC46C2">
        <w:rPr>
          <w:szCs w:val="22"/>
        </w:rPr>
        <w:t>.</w:t>
      </w:r>
      <w:r w:rsidR="003869DC" w:rsidRPr="000722AC">
        <w:rPr>
          <w:rStyle w:val="FootnoteReference"/>
          <w:bCs/>
          <w:szCs w:val="22"/>
        </w:rPr>
        <w:footnoteReference w:id="14"/>
      </w:r>
    </w:p>
    <w:p w14:paraId="36F55EC4" w14:textId="77777777" w:rsidR="004D26BC" w:rsidRPr="00484C8E" w:rsidRDefault="004D26BC" w:rsidP="004B0A13">
      <w:pPr>
        <w:rPr>
          <w:szCs w:val="22"/>
        </w:rPr>
      </w:pPr>
      <w:r w:rsidRPr="00484C8E">
        <w:rPr>
          <w:szCs w:val="22"/>
        </w:rPr>
        <w:t>Even accounting for growth</w:t>
      </w:r>
      <w:r>
        <w:rPr>
          <w:szCs w:val="22"/>
        </w:rPr>
        <w:t>,</w:t>
      </w:r>
      <w:r w:rsidRPr="00484C8E">
        <w:rPr>
          <w:szCs w:val="22"/>
        </w:rPr>
        <w:t xml:space="preserve"> there appears to be little basis for such a disproportionate increase</w:t>
      </w:r>
      <w:r>
        <w:rPr>
          <w:szCs w:val="22"/>
        </w:rPr>
        <w:t xml:space="preserve"> since 2019</w:t>
      </w:r>
      <w:r w:rsidRPr="00484C8E">
        <w:rPr>
          <w:szCs w:val="22"/>
        </w:rPr>
        <w:t>.</w:t>
      </w:r>
      <w:r>
        <w:rPr>
          <w:szCs w:val="22"/>
        </w:rPr>
        <w:t xml:space="preserve"> While the trend to greater executive numbers was already underway, the pandemic led to even more </w:t>
      </w:r>
      <w:r>
        <w:rPr>
          <w:szCs w:val="22"/>
        </w:rPr>
        <w:t>executive and specialist-level oversight in response to the urgency, increased complexity and volume of work.</w:t>
      </w:r>
      <w:r w:rsidRPr="00484C8E">
        <w:rPr>
          <w:szCs w:val="22"/>
        </w:rPr>
        <w:t xml:space="preserve"> Risk, technical complexity and leadership requirements may have changed</w:t>
      </w:r>
      <w:r>
        <w:rPr>
          <w:szCs w:val="22"/>
        </w:rPr>
        <w:t xml:space="preserve"> since the pandemic</w:t>
      </w:r>
      <w:r w:rsidRPr="00484C8E">
        <w:rPr>
          <w:szCs w:val="22"/>
        </w:rPr>
        <w:t xml:space="preserve"> but </w:t>
      </w:r>
      <w:r>
        <w:rPr>
          <w:szCs w:val="22"/>
        </w:rPr>
        <w:t>not to the extent reflected in the increased numbers</w:t>
      </w:r>
      <w:r w:rsidRPr="00484C8E">
        <w:rPr>
          <w:szCs w:val="22"/>
        </w:rPr>
        <w:t xml:space="preserve">.  </w:t>
      </w:r>
    </w:p>
    <w:p w14:paraId="7E415573" w14:textId="34CB863F" w:rsidR="004D26BC" w:rsidRPr="00E1432E" w:rsidRDefault="004D26BC" w:rsidP="004B0A13">
      <w:pPr>
        <w:rPr>
          <w:szCs w:val="22"/>
        </w:rPr>
      </w:pPr>
      <w:r w:rsidRPr="00484C8E">
        <w:rPr>
          <w:szCs w:val="22"/>
        </w:rPr>
        <w:t>Similarly, there has been a disproportionate increase</w:t>
      </w:r>
      <w:r>
        <w:rPr>
          <w:szCs w:val="22"/>
        </w:rPr>
        <w:t xml:space="preserve"> </w:t>
      </w:r>
      <w:r w:rsidRPr="00484C8E">
        <w:rPr>
          <w:szCs w:val="22"/>
        </w:rPr>
        <w:t xml:space="preserve">at the senior VPS levels. There </w:t>
      </w:r>
      <w:r w:rsidRPr="00E1432E">
        <w:rPr>
          <w:szCs w:val="22"/>
        </w:rPr>
        <w:t>are</w:t>
      </w:r>
      <w:r w:rsidRPr="00484C8E">
        <w:rPr>
          <w:szCs w:val="22"/>
        </w:rPr>
        <w:t xml:space="preserve"> 2,910</w:t>
      </w:r>
      <w:r w:rsidR="00A4299A">
        <w:rPr>
          <w:szCs w:val="22"/>
        </w:rPr>
        <w:t> </w:t>
      </w:r>
      <w:r w:rsidRPr="00484C8E">
        <w:rPr>
          <w:szCs w:val="22"/>
        </w:rPr>
        <w:t>more VPS6</w:t>
      </w:r>
      <w:r>
        <w:rPr>
          <w:szCs w:val="22"/>
        </w:rPr>
        <w:t xml:space="preserve"> staff </w:t>
      </w:r>
      <w:r w:rsidRPr="00484C8E">
        <w:rPr>
          <w:szCs w:val="22"/>
        </w:rPr>
        <w:t>today than in 2019, an increase of 54 per cent. The number of VPS5</w:t>
      </w:r>
      <w:r>
        <w:rPr>
          <w:szCs w:val="22"/>
        </w:rPr>
        <w:t xml:space="preserve"> staff</w:t>
      </w:r>
      <w:r w:rsidRPr="00484C8E">
        <w:rPr>
          <w:szCs w:val="22"/>
        </w:rPr>
        <w:t xml:space="preserve"> has increased from 8,058 to 11,795, a 46 </w:t>
      </w:r>
      <w:r>
        <w:rPr>
          <w:szCs w:val="22"/>
        </w:rPr>
        <w:t>per cent</w:t>
      </w:r>
      <w:r w:rsidRPr="00484C8E">
        <w:rPr>
          <w:szCs w:val="22"/>
        </w:rPr>
        <w:t xml:space="preserve"> increase</w:t>
      </w:r>
      <w:r>
        <w:rPr>
          <w:szCs w:val="22"/>
        </w:rPr>
        <w:t xml:space="preserve"> from 2019</w:t>
      </w:r>
      <w:r w:rsidRPr="00484C8E">
        <w:rPr>
          <w:szCs w:val="22"/>
        </w:rPr>
        <w:t>. </w:t>
      </w:r>
    </w:p>
    <w:p w14:paraId="2B780B39" w14:textId="0E4C785D" w:rsidR="004D26BC" w:rsidRPr="00765A8B" w:rsidRDefault="004D26BC" w:rsidP="004B0A13">
      <w:pPr>
        <w:rPr>
          <w:szCs w:val="22"/>
        </w:rPr>
      </w:pPr>
      <w:r>
        <w:rPr>
          <w:szCs w:val="22"/>
        </w:rPr>
        <w:t xml:space="preserve">Looking back to 2014, the level of growth is even more stark. </w:t>
      </w:r>
      <w:r w:rsidR="00AD166B">
        <w:rPr>
          <w:szCs w:val="22"/>
        </w:rPr>
        <w:t>VPS5</w:t>
      </w:r>
      <w:r w:rsidRPr="005B7FE7">
        <w:rPr>
          <w:szCs w:val="22"/>
        </w:rPr>
        <w:t xml:space="preserve"> and 6</w:t>
      </w:r>
      <w:r>
        <w:rPr>
          <w:szCs w:val="22"/>
        </w:rPr>
        <w:t xml:space="preserve"> </w:t>
      </w:r>
      <w:r w:rsidR="00AD166B">
        <w:rPr>
          <w:szCs w:val="22"/>
        </w:rPr>
        <w:t xml:space="preserve">accounted for 47.9 per cent of the </w:t>
      </w:r>
      <w:r w:rsidR="00255DEA">
        <w:rPr>
          <w:szCs w:val="22"/>
        </w:rPr>
        <w:t xml:space="preserve">VPS grade </w:t>
      </w:r>
      <w:r w:rsidR="00AD166B">
        <w:rPr>
          <w:szCs w:val="22"/>
        </w:rPr>
        <w:t>workforce in 2024, up</w:t>
      </w:r>
      <w:r>
        <w:rPr>
          <w:szCs w:val="22"/>
        </w:rPr>
        <w:t xml:space="preserve"> from 40.7</w:t>
      </w:r>
      <w:r w:rsidRPr="005B7FE7">
        <w:rPr>
          <w:szCs w:val="22"/>
        </w:rPr>
        <w:t xml:space="preserve"> per cent </w:t>
      </w:r>
      <w:r>
        <w:rPr>
          <w:szCs w:val="22"/>
        </w:rPr>
        <w:t xml:space="preserve">in </w:t>
      </w:r>
      <w:r w:rsidR="00AD166B">
        <w:rPr>
          <w:szCs w:val="22"/>
        </w:rPr>
        <w:t>2014</w:t>
      </w:r>
      <w:r w:rsidRPr="005B7FE7">
        <w:rPr>
          <w:szCs w:val="22"/>
        </w:rPr>
        <w:t>.</w:t>
      </w:r>
      <w:r w:rsidRPr="021EABDA">
        <w:rPr>
          <w:szCs w:val="22"/>
        </w:rPr>
        <w:t xml:space="preserve"> </w:t>
      </w:r>
      <w:r>
        <w:rPr>
          <w:szCs w:val="22"/>
        </w:rPr>
        <w:t>Similarly, the proportion of SES and STS has increased markedly over the decade: from 4.3 per cent to 7.2</w:t>
      </w:r>
      <w:r w:rsidR="00234D07">
        <w:rPr>
          <w:szCs w:val="22"/>
        </w:rPr>
        <w:t> </w:t>
      </w:r>
      <w:r w:rsidRPr="005B7FE7">
        <w:rPr>
          <w:szCs w:val="22"/>
        </w:rPr>
        <w:t>per</w:t>
      </w:r>
      <w:r w:rsidR="00234D07">
        <w:rPr>
          <w:szCs w:val="22"/>
        </w:rPr>
        <w:t> </w:t>
      </w:r>
      <w:r w:rsidRPr="005B7FE7">
        <w:rPr>
          <w:szCs w:val="22"/>
        </w:rPr>
        <w:t>cent.</w:t>
      </w:r>
      <w:r w:rsidRPr="021EABDA">
        <w:rPr>
          <w:szCs w:val="22"/>
        </w:rPr>
        <w:t xml:space="preserve">  </w:t>
      </w:r>
    </w:p>
    <w:p w14:paraId="30B66587" w14:textId="77777777" w:rsidR="007E74B6" w:rsidRDefault="007E74B6">
      <w:pPr>
        <w:sectPr w:rsidR="007E74B6" w:rsidSect="007E74B6">
          <w:type w:val="continuous"/>
          <w:pgSz w:w="11906" w:h="16838"/>
          <w:pgMar w:top="1440" w:right="1440" w:bottom="1440" w:left="1440" w:header="708" w:footer="708" w:gutter="0"/>
          <w:cols w:num="2" w:space="708"/>
          <w:docGrid w:linePitch="360"/>
          <w15:footnoteColumns w:val="1"/>
        </w:sectPr>
      </w:pPr>
    </w:p>
    <w:p w14:paraId="69E8C5F7" w14:textId="77777777" w:rsidR="009A71AE" w:rsidRDefault="009A71AE">
      <w:pPr>
        <w:rPr>
          <w:i/>
          <w:iCs/>
          <w:color w:val="0E2841" w:themeColor="text2"/>
          <w:sz w:val="26"/>
          <w:szCs w:val="18"/>
        </w:rPr>
      </w:pPr>
      <w:r>
        <w:br w:type="page"/>
      </w:r>
    </w:p>
    <w:p w14:paraId="375359A8" w14:textId="527EB8DA" w:rsidR="004D26BC" w:rsidRPr="00BC5A7B" w:rsidRDefault="004D26BC" w:rsidP="009A71AE">
      <w:pPr>
        <w:pStyle w:val="Figureheading"/>
      </w:pPr>
      <w:r w:rsidRPr="00BC5A7B">
        <w:lastRenderedPageBreak/>
        <w:t xml:space="preserve">Figure </w:t>
      </w:r>
      <w:r w:rsidR="00FE6F35">
        <w:t>5</w:t>
      </w:r>
      <w:r>
        <w:t>.</w:t>
      </w:r>
      <w:r w:rsidR="009D5FCD">
        <w:fldChar w:fldCharType="begin"/>
      </w:r>
      <w:r w:rsidR="009D5FCD">
        <w:instrText xml:space="preserve"> SEQ Figure \* ARABIC \s 1 </w:instrText>
      </w:r>
      <w:r w:rsidR="009D5FCD">
        <w:fldChar w:fldCharType="separate"/>
      </w:r>
      <w:r w:rsidR="009D1283">
        <w:rPr>
          <w:noProof/>
        </w:rPr>
        <w:t>2</w:t>
      </w:r>
      <w:r w:rsidR="009D5FCD">
        <w:rPr>
          <w:noProof/>
        </w:rPr>
        <w:fldChar w:fldCharType="end"/>
      </w:r>
      <w:r w:rsidRPr="00BC5A7B">
        <w:t>: VPS composition 2014, 2019, 2024</w:t>
      </w:r>
    </w:p>
    <w:p w14:paraId="13A3549B" w14:textId="0B040CAC" w:rsidR="004D26BC" w:rsidRDefault="009B5FC6" w:rsidP="004D26BC">
      <w:r>
        <w:rPr>
          <w:noProof/>
        </w:rPr>
        <w:drawing>
          <wp:inline distT="0" distB="0" distL="0" distR="0" wp14:anchorId="3566C9D3" wp14:editId="4B938754">
            <wp:extent cx="5731510" cy="4031615"/>
            <wp:effectExtent l="0" t="0" r="2540" b="0"/>
            <wp:docPr id="1374550270" name="Chart 1" descr="A chart illustrating the change in the level composition of the VPS between 2014, 2019 and 2024. Individual bars show the share of the VPS made up by Executive Officers, VPS Grade 7s, VPS Grade 6s, VPS Grade 5s, VPS Grade 4s, VPS Grade 3s and VPS Grade 1 and 2s in each of these years. ">
              <a:extLst xmlns:a="http://schemas.openxmlformats.org/drawingml/2006/main">
                <a:ext uri="{FF2B5EF4-FFF2-40B4-BE49-F238E27FC236}">
                  <a16:creationId xmlns:a16="http://schemas.microsoft.com/office/drawing/2014/main" id="{593217E6-C611-0782-72C0-E43C38DE9D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3CFE7B0" w14:textId="3D61BFF9" w:rsidR="002E738B" w:rsidRPr="002E738B" w:rsidRDefault="002E738B" w:rsidP="00F8313F">
      <w:pPr>
        <w:pStyle w:val="Caption"/>
      </w:pPr>
      <w:r w:rsidRPr="00E84D9E">
        <w:t>Source: VPSC</w:t>
      </w:r>
    </w:p>
    <w:p w14:paraId="6061B087" w14:textId="77777777" w:rsidR="007E74B6" w:rsidRDefault="007E74B6" w:rsidP="004D26BC">
      <w:pPr>
        <w:rPr>
          <w:szCs w:val="22"/>
        </w:rPr>
        <w:sectPr w:rsidR="007E74B6" w:rsidSect="00AE6104">
          <w:type w:val="continuous"/>
          <w:pgSz w:w="11906" w:h="16838"/>
          <w:pgMar w:top="1440" w:right="1440" w:bottom="1440" w:left="1440" w:header="708" w:footer="708" w:gutter="0"/>
          <w:cols w:space="708"/>
          <w:docGrid w:linePitch="360"/>
          <w15:footnoteColumns w:val="1"/>
        </w:sectPr>
      </w:pPr>
    </w:p>
    <w:p w14:paraId="7BF1783A" w14:textId="7D6F053E" w:rsidR="004D26BC" w:rsidRPr="005B7FE7" w:rsidRDefault="004D26BC" w:rsidP="004D26BC">
      <w:pPr>
        <w:rPr>
          <w:szCs w:val="22"/>
        </w:rPr>
      </w:pPr>
      <w:r w:rsidRPr="005B7FE7">
        <w:rPr>
          <w:szCs w:val="22"/>
        </w:rPr>
        <w:t>Consistent</w:t>
      </w:r>
      <w:r w:rsidRPr="005B7FE7" w:rsidDel="001D4A5B">
        <w:rPr>
          <w:szCs w:val="22"/>
        </w:rPr>
        <w:t xml:space="preserve"> </w:t>
      </w:r>
      <w:r w:rsidRPr="005B7FE7">
        <w:rPr>
          <w:szCs w:val="22"/>
        </w:rPr>
        <w:t>data was not available</w:t>
      </w:r>
      <w:r>
        <w:rPr>
          <w:szCs w:val="22"/>
        </w:rPr>
        <w:t xml:space="preserve"> to the Review</w:t>
      </w:r>
      <w:r w:rsidRPr="005B7FE7">
        <w:rPr>
          <w:szCs w:val="22"/>
        </w:rPr>
        <w:t xml:space="preserve"> below </w:t>
      </w:r>
      <w:r>
        <w:rPr>
          <w:szCs w:val="22"/>
        </w:rPr>
        <w:t xml:space="preserve">executive </w:t>
      </w:r>
      <w:r w:rsidRPr="005B7FE7">
        <w:rPr>
          <w:szCs w:val="22"/>
        </w:rPr>
        <w:t>level</w:t>
      </w:r>
      <w:r>
        <w:rPr>
          <w:szCs w:val="22"/>
        </w:rPr>
        <w:t xml:space="preserve"> </w:t>
      </w:r>
      <w:r w:rsidRPr="005B7FE7">
        <w:rPr>
          <w:szCs w:val="22"/>
        </w:rPr>
        <w:t>for most departments to</w:t>
      </w:r>
      <w:r>
        <w:rPr>
          <w:szCs w:val="22"/>
        </w:rPr>
        <w:t xml:space="preserve"> be able to</w:t>
      </w:r>
      <w:r w:rsidRPr="005B7FE7">
        <w:rPr>
          <w:szCs w:val="22"/>
        </w:rPr>
        <w:t xml:space="preserve"> assess </w:t>
      </w:r>
      <w:r>
        <w:rPr>
          <w:szCs w:val="22"/>
        </w:rPr>
        <w:t xml:space="preserve">spans and </w:t>
      </w:r>
      <w:r w:rsidRPr="005B7FE7">
        <w:rPr>
          <w:szCs w:val="22"/>
        </w:rPr>
        <w:t>layers. However, observations based on</w:t>
      </w:r>
      <w:r w:rsidR="00794886">
        <w:rPr>
          <w:szCs w:val="22"/>
        </w:rPr>
        <w:t> </w:t>
      </w:r>
      <w:r w:rsidRPr="005B7FE7">
        <w:rPr>
          <w:szCs w:val="22"/>
        </w:rPr>
        <w:t>a study of organisational charts identified narrow spans of control and many layers of hierarchy in some departments. Some departments were observed to have up to six layers between VPS</w:t>
      </w:r>
      <w:r>
        <w:rPr>
          <w:szCs w:val="22"/>
        </w:rPr>
        <w:t xml:space="preserve"> staff</w:t>
      </w:r>
      <w:r w:rsidRPr="005B7FE7">
        <w:rPr>
          <w:szCs w:val="22"/>
        </w:rPr>
        <w:t xml:space="preserve"> and the</w:t>
      </w:r>
      <w:r w:rsidR="00692CE6">
        <w:rPr>
          <w:szCs w:val="22"/>
        </w:rPr>
        <w:t> </w:t>
      </w:r>
      <w:r w:rsidRPr="005B7FE7">
        <w:rPr>
          <w:szCs w:val="22"/>
        </w:rPr>
        <w:t xml:space="preserve">Secretary.  </w:t>
      </w:r>
    </w:p>
    <w:p w14:paraId="799E3291" w14:textId="020E7324" w:rsidR="004D26BC" w:rsidRDefault="004D26BC" w:rsidP="004D26BC">
      <w:pPr>
        <w:rPr>
          <w:szCs w:val="22"/>
        </w:rPr>
      </w:pPr>
      <w:r w:rsidRPr="005B7FE7">
        <w:rPr>
          <w:szCs w:val="22"/>
        </w:rPr>
        <w:t xml:space="preserve">The </w:t>
      </w:r>
      <w:r w:rsidR="006C6EDD">
        <w:rPr>
          <w:szCs w:val="22"/>
        </w:rPr>
        <w:t>VPS</w:t>
      </w:r>
      <w:r w:rsidRPr="00C21B3E">
        <w:rPr>
          <w:szCs w:val="22"/>
        </w:rPr>
        <w:t xml:space="preserve"> Executive Classification</w:t>
      </w:r>
      <w:r w:rsidRPr="005B7FE7">
        <w:rPr>
          <w:i/>
          <w:szCs w:val="22"/>
        </w:rPr>
        <w:t xml:space="preserve"> </w:t>
      </w:r>
      <w:r w:rsidRPr="00C21B3E">
        <w:rPr>
          <w:szCs w:val="22"/>
        </w:rPr>
        <w:t>Framework</w:t>
      </w:r>
      <w:r w:rsidRPr="005B7FE7">
        <w:rPr>
          <w:i/>
          <w:szCs w:val="22"/>
        </w:rPr>
        <w:t xml:space="preserve"> </w:t>
      </w:r>
      <w:r w:rsidRPr="005B7FE7">
        <w:rPr>
          <w:szCs w:val="22"/>
        </w:rPr>
        <w:t xml:space="preserve">establishes three executive classification bands, and a consistent application of position titles connected to these bands. The framework is not being </w:t>
      </w:r>
      <w:r w:rsidRPr="005B7FE7">
        <w:rPr>
          <w:szCs w:val="22"/>
        </w:rPr>
        <w:t xml:space="preserve">adhered to </w:t>
      </w:r>
      <w:r w:rsidR="006C6EDD">
        <w:rPr>
          <w:szCs w:val="22"/>
        </w:rPr>
        <w:t>by</w:t>
      </w:r>
      <w:r w:rsidRPr="005B7FE7">
        <w:rPr>
          <w:szCs w:val="22"/>
        </w:rPr>
        <w:t xml:space="preserve"> all departments. The Review identified the us</w:t>
      </w:r>
      <w:r>
        <w:rPr>
          <w:szCs w:val="22"/>
        </w:rPr>
        <w:t>e</w:t>
      </w:r>
      <w:r w:rsidRPr="005B7FE7">
        <w:rPr>
          <w:szCs w:val="22"/>
        </w:rPr>
        <w:t xml:space="preserve"> of non-standard executive roles sitting outside the framework such as Assistant Deputy Secretaries, Senior Executive Directors and Associate/Assistant Directors</w:t>
      </w:r>
      <w:r>
        <w:rPr>
          <w:szCs w:val="22"/>
        </w:rPr>
        <w:t xml:space="preserve"> (Figure 5.3)</w:t>
      </w:r>
      <w:r w:rsidRPr="005B7FE7">
        <w:rPr>
          <w:szCs w:val="22"/>
        </w:rPr>
        <w:t>. Structures with additional layers increase cost and slow down decision-making.</w:t>
      </w:r>
    </w:p>
    <w:p w14:paraId="33176E0A" w14:textId="593EA87E" w:rsidR="004D26BC" w:rsidRPr="00E703E2" w:rsidRDefault="004D26BC" w:rsidP="00E703E2">
      <w:pPr>
        <w:rPr>
          <w:szCs w:val="22"/>
        </w:rPr>
      </w:pPr>
      <w:r w:rsidRPr="00E1432E">
        <w:rPr>
          <w:szCs w:val="22"/>
        </w:rPr>
        <w:t>The VPS classification structure is broadly</w:t>
      </w:r>
      <w:r w:rsidR="004F4E0A">
        <w:rPr>
          <w:szCs w:val="22"/>
        </w:rPr>
        <w:t> </w:t>
      </w:r>
      <w:r w:rsidRPr="00E1432E">
        <w:rPr>
          <w:szCs w:val="22"/>
        </w:rPr>
        <w:t>in line with other jurisdictions. While improvements to the classification framework may be beneficial, it is not the source of hierarchy or expenditure pressures.</w:t>
      </w:r>
    </w:p>
    <w:p w14:paraId="1EBE05A2" w14:textId="77777777" w:rsidR="007E74B6" w:rsidRDefault="007E74B6">
      <w:pPr>
        <w:sectPr w:rsidR="007E74B6" w:rsidSect="007E74B6">
          <w:type w:val="continuous"/>
          <w:pgSz w:w="11906" w:h="16838"/>
          <w:pgMar w:top="1440" w:right="1440" w:bottom="1440" w:left="1440" w:header="708" w:footer="708" w:gutter="0"/>
          <w:cols w:num="2" w:space="708"/>
          <w:docGrid w:linePitch="360"/>
          <w15:footnoteColumns w:val="1"/>
        </w:sectPr>
      </w:pPr>
    </w:p>
    <w:p w14:paraId="52173ED8" w14:textId="77777777" w:rsidR="00841CBD" w:rsidRDefault="00841CBD">
      <w:pPr>
        <w:rPr>
          <w:i/>
          <w:iCs/>
          <w:color w:val="0E2841" w:themeColor="text2"/>
          <w:sz w:val="26"/>
          <w:szCs w:val="18"/>
        </w:rPr>
      </w:pPr>
      <w:r>
        <w:br w:type="page"/>
      </w:r>
    </w:p>
    <w:p w14:paraId="24E54C67" w14:textId="65EE9F34" w:rsidR="004D26BC" w:rsidRPr="00BC5A7B" w:rsidRDefault="009327AE" w:rsidP="00D7074A">
      <w:pPr>
        <w:pStyle w:val="Figureheading"/>
      </w:pPr>
      <w:r>
        <w:rPr>
          <w:noProof/>
        </w:rPr>
        <w:lastRenderedPageBreak/>
        <mc:AlternateContent>
          <mc:Choice Requires="wpg">
            <w:drawing>
              <wp:anchor distT="0" distB="0" distL="114300" distR="114300" simplePos="0" relativeHeight="251658314" behindDoc="0" locked="0" layoutInCell="1" allowOverlap="1" wp14:anchorId="35185E93" wp14:editId="65CF3C87">
                <wp:simplePos x="0" y="0"/>
                <wp:positionH relativeFrom="column">
                  <wp:posOffset>0</wp:posOffset>
                </wp:positionH>
                <wp:positionV relativeFrom="paragraph">
                  <wp:posOffset>297815</wp:posOffset>
                </wp:positionV>
                <wp:extent cx="5808345" cy="5269230"/>
                <wp:effectExtent l="0" t="0" r="1905" b="7620"/>
                <wp:wrapTopAndBottom/>
                <wp:docPr id="1898694191" name="Group 2" descr="Displays a stylised example of current reporting layers in two large VPS departments. Illustrates the different levels between policy and program staff through to the Secretary. "/>
                <wp:cNvGraphicFramePr/>
                <a:graphic xmlns:a="http://schemas.openxmlformats.org/drawingml/2006/main">
                  <a:graphicData uri="http://schemas.microsoft.com/office/word/2010/wordprocessingGroup">
                    <wpg:wgp>
                      <wpg:cNvGrpSpPr/>
                      <wpg:grpSpPr>
                        <a:xfrm>
                          <a:off x="0" y="0"/>
                          <a:ext cx="5808345" cy="5269230"/>
                          <a:chOff x="0" y="0"/>
                          <a:chExt cx="5808668" cy="5269693"/>
                        </a:xfrm>
                      </wpg:grpSpPr>
                      <wps:wsp>
                        <wps:cNvPr id="1299374334" name="Rectangle 6"/>
                        <wps:cNvSpPr/>
                        <wps:spPr>
                          <a:xfrm>
                            <a:off x="3012763" y="163852"/>
                            <a:ext cx="2795905" cy="51054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20645071" name="Rectangle 20"/>
                        <wps:cNvSpPr/>
                        <wps:spPr>
                          <a:xfrm>
                            <a:off x="3129045" y="0"/>
                            <a:ext cx="2071935" cy="401702"/>
                          </a:xfrm>
                          <a:prstGeom prst="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F6D81D" w14:textId="77777777" w:rsidR="00CF5BC5" w:rsidRPr="0011161E" w:rsidRDefault="00CF5BC5" w:rsidP="00CF5BC5">
                              <w:pPr>
                                <w:jc w:val="center"/>
                                <w:textAlignment w:val="baseline"/>
                                <w:rPr>
                                  <w:rFonts w:ascii="Aptos" w:hAnsi="Aptos"/>
                                  <w:color w:val="FFFFFF"/>
                                  <w:kern w:val="24"/>
                                  <w:szCs w:val="22"/>
                                  <w14:ligatures w14:val="none"/>
                                </w:rPr>
                              </w:pPr>
                              <w:r w:rsidRPr="0011161E">
                                <w:rPr>
                                  <w:rFonts w:ascii="Aptos" w:hAnsi="Aptos"/>
                                  <w:color w:val="FFFFFF"/>
                                  <w:kern w:val="24"/>
                                  <w:szCs w:val="22"/>
                                </w:rPr>
                                <w:t xml:space="preserve">Secretary </w:t>
                              </w:r>
                            </w:p>
                          </w:txbxContent>
                        </wps:txbx>
                        <wps:bodyPr wrap="square" rtlCol="0" anchor="ctr">
                          <a:noAutofit/>
                        </wps:bodyPr>
                      </wps:wsp>
                      <wpg:grpSp>
                        <wpg:cNvPr id="1958403469" name="Group 27"/>
                        <wpg:cNvGrpSpPr/>
                        <wpg:grpSpPr>
                          <a:xfrm>
                            <a:off x="3144902" y="1368956"/>
                            <a:ext cx="2054860" cy="774665"/>
                            <a:chOff x="1776413" y="957858"/>
                            <a:chExt cx="1208553" cy="352273"/>
                          </a:xfrm>
                          <a:solidFill>
                            <a:srgbClr val="00B0F0"/>
                          </a:solidFill>
                        </wpg:grpSpPr>
                        <wps:wsp>
                          <wps:cNvPr id="2019163898" name="Rectangle 2019163898"/>
                          <wps:cNvSpPr/>
                          <wps:spPr>
                            <a:xfrm>
                              <a:off x="1776413" y="957858"/>
                              <a:ext cx="1208553" cy="213728"/>
                            </a:xfrm>
                            <a:prstGeom prst="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CDCC78" w14:textId="77777777" w:rsidR="00CF5BC5" w:rsidRPr="0011161E" w:rsidRDefault="00CF5BC5" w:rsidP="00CF5BC5">
                                <w:pPr>
                                  <w:jc w:val="center"/>
                                  <w:textAlignment w:val="baseline"/>
                                  <w:rPr>
                                    <w:rFonts w:ascii="Aptos" w:hAnsi="Aptos"/>
                                    <w:color w:val="FFFFFF"/>
                                    <w:kern w:val="24"/>
                                    <w:szCs w:val="22"/>
                                    <w14:ligatures w14:val="none"/>
                                  </w:rPr>
                                </w:pPr>
                                <w:r w:rsidRPr="0011161E">
                                  <w:rPr>
                                    <w:rFonts w:ascii="Aptos" w:hAnsi="Aptos"/>
                                    <w:color w:val="FFFFFF"/>
                                    <w:kern w:val="24"/>
                                    <w:szCs w:val="22"/>
                                  </w:rPr>
                                  <w:t>Executive Director</w:t>
                                </w:r>
                              </w:p>
                            </w:txbxContent>
                          </wps:txbx>
                          <wps:bodyPr rtlCol="0" anchor="ctr"/>
                        </wps:wsp>
                        <wps:wsp>
                          <wps:cNvPr id="654729032" name="Rectangle 654729032"/>
                          <wps:cNvSpPr/>
                          <wps:spPr>
                            <a:xfrm>
                              <a:off x="2458689" y="1174066"/>
                              <a:ext cx="526217" cy="136065"/>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29DBDA" w14:textId="77777777" w:rsidR="00CF5BC5" w:rsidRPr="0011161E" w:rsidRDefault="00CF5BC5" w:rsidP="00CF5BC5">
                                <w:pPr>
                                  <w:jc w:val="center"/>
                                  <w:textAlignment w:val="baseline"/>
                                  <w:rPr>
                                    <w:rFonts w:ascii="Aptos" w:hAnsi="Aptos"/>
                                    <w:color w:val="000000"/>
                                    <w:kern w:val="24"/>
                                    <w:szCs w:val="22"/>
                                    <w14:ligatures w14:val="none"/>
                                  </w:rPr>
                                </w:pPr>
                                <w:r w:rsidRPr="0011161E">
                                  <w:rPr>
                                    <w:rFonts w:ascii="Aptos" w:hAnsi="Aptos"/>
                                    <w:color w:val="000000"/>
                                    <w:kern w:val="24"/>
                                    <w:szCs w:val="22"/>
                                  </w:rPr>
                                  <w:t>Span: 6</w:t>
                                </w:r>
                              </w:p>
                            </w:txbxContent>
                          </wps:txbx>
                          <wps:bodyPr rtlCol="0" anchor="ctr"/>
                        </wps:wsp>
                      </wpg:grpSp>
                      <wpg:grpSp>
                        <wpg:cNvPr id="2028260578" name="Group 30"/>
                        <wpg:cNvGrpSpPr/>
                        <wpg:grpSpPr>
                          <a:xfrm>
                            <a:off x="3139616" y="523272"/>
                            <a:ext cx="2055495" cy="728278"/>
                            <a:chOff x="1776413" y="519310"/>
                            <a:chExt cx="1208553" cy="351058"/>
                          </a:xfrm>
                          <a:solidFill>
                            <a:srgbClr val="00B0F0"/>
                          </a:solidFill>
                        </wpg:grpSpPr>
                        <wps:wsp>
                          <wps:cNvPr id="1695654287" name="Rectangle 1695654287"/>
                          <wps:cNvSpPr/>
                          <wps:spPr>
                            <a:xfrm>
                              <a:off x="1776413" y="519310"/>
                              <a:ext cx="1208553" cy="213728"/>
                            </a:xfrm>
                            <a:prstGeom prst="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E4263E" w14:textId="77777777" w:rsidR="00CF5BC5" w:rsidRPr="0011161E" w:rsidRDefault="00CF5BC5" w:rsidP="00CF5BC5">
                                <w:pPr>
                                  <w:jc w:val="center"/>
                                  <w:textAlignment w:val="baseline"/>
                                  <w:rPr>
                                    <w:rFonts w:ascii="Aptos" w:hAnsi="Aptos"/>
                                    <w:color w:val="FFFFFF"/>
                                    <w:kern w:val="24"/>
                                    <w:szCs w:val="22"/>
                                    <w14:ligatures w14:val="none"/>
                                  </w:rPr>
                                </w:pPr>
                                <w:r w:rsidRPr="0011161E">
                                  <w:rPr>
                                    <w:rFonts w:ascii="Aptos" w:hAnsi="Aptos"/>
                                    <w:color w:val="FFFFFF"/>
                                    <w:kern w:val="24"/>
                                    <w:szCs w:val="22"/>
                                  </w:rPr>
                                  <w:t>Deputy Secretary</w:t>
                                </w:r>
                              </w:p>
                            </w:txbxContent>
                          </wps:txbx>
                          <wps:bodyPr rtlCol="0" anchor="ctr"/>
                        </wps:wsp>
                        <wps:wsp>
                          <wps:cNvPr id="811516723" name="Rectangle 811516723"/>
                          <wps:cNvSpPr/>
                          <wps:spPr>
                            <a:xfrm>
                              <a:off x="2458748" y="734303"/>
                              <a:ext cx="526217" cy="136065"/>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9BEF83" w14:textId="77777777" w:rsidR="00CF5BC5" w:rsidRPr="0011161E" w:rsidRDefault="00CF5BC5" w:rsidP="00CF5BC5">
                                <w:pPr>
                                  <w:jc w:val="center"/>
                                  <w:textAlignment w:val="baseline"/>
                                  <w:rPr>
                                    <w:rFonts w:ascii="Aptos" w:hAnsi="Aptos"/>
                                    <w:color w:val="000000"/>
                                    <w:kern w:val="24"/>
                                    <w:szCs w:val="22"/>
                                    <w14:ligatures w14:val="none"/>
                                  </w:rPr>
                                </w:pPr>
                                <w:r w:rsidRPr="0011161E">
                                  <w:rPr>
                                    <w:rFonts w:ascii="Aptos" w:hAnsi="Aptos"/>
                                    <w:color w:val="000000"/>
                                    <w:kern w:val="24"/>
                                    <w:szCs w:val="22"/>
                                  </w:rPr>
                                  <w:t>Span: 2</w:t>
                                </w:r>
                              </w:p>
                            </w:txbxContent>
                          </wps:txbx>
                          <wps:bodyPr rtlCol="0" anchor="ctr"/>
                        </wps:wsp>
                      </wpg:grpSp>
                      <wps:wsp>
                        <wps:cNvPr id="204684858" name="Rectangle 33"/>
                        <wps:cNvSpPr/>
                        <wps:spPr>
                          <a:xfrm>
                            <a:off x="3139616" y="4085730"/>
                            <a:ext cx="2071370" cy="443211"/>
                          </a:xfrm>
                          <a:prstGeom prst="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407060" w14:textId="6FA213E5" w:rsidR="00CF5BC5" w:rsidRPr="0011161E" w:rsidRDefault="00CF5BC5" w:rsidP="00CF5BC5">
                              <w:pPr>
                                <w:jc w:val="center"/>
                                <w:textAlignment w:val="baseline"/>
                                <w:rPr>
                                  <w:rFonts w:ascii="Aptos" w:hAnsi="Aptos"/>
                                  <w:color w:val="FFFFFF"/>
                                  <w:kern w:val="24"/>
                                  <w:szCs w:val="22"/>
                                  <w14:ligatures w14:val="none"/>
                                </w:rPr>
                              </w:pPr>
                              <w:r w:rsidRPr="0011161E">
                                <w:rPr>
                                  <w:rFonts w:ascii="Aptos" w:hAnsi="Aptos"/>
                                  <w:color w:val="FFFFFF"/>
                                  <w:kern w:val="24"/>
                                  <w:szCs w:val="22"/>
                                </w:rPr>
                                <w:t xml:space="preserve">Analysts </w:t>
                              </w:r>
                              <w:r w:rsidR="00480582" w:rsidRPr="0011161E">
                                <w:rPr>
                                  <w:rFonts w:ascii="Aptos" w:hAnsi="Aptos"/>
                                  <w:color w:val="FFFFFF"/>
                                  <w:kern w:val="24"/>
                                  <w:szCs w:val="22"/>
                                </w:rPr>
                                <w:t>×</w:t>
                              </w:r>
                              <w:r w:rsidRPr="0011161E">
                                <w:rPr>
                                  <w:rFonts w:ascii="Aptos" w:hAnsi="Aptos"/>
                                  <w:color w:val="FFFFFF"/>
                                  <w:kern w:val="24"/>
                                  <w:szCs w:val="22"/>
                                </w:rPr>
                                <w:t xml:space="preserve"> 2 </w:t>
                              </w:r>
                            </w:p>
                          </w:txbxContent>
                        </wps:txbx>
                        <wps:bodyPr wrap="square" rtlCol="0" anchor="ctr">
                          <a:noAutofit/>
                        </wps:bodyPr>
                      </wps:wsp>
                      <wpg:grpSp>
                        <wpg:cNvPr id="232424006" name="Group 27"/>
                        <wpg:cNvGrpSpPr/>
                        <wpg:grpSpPr>
                          <a:xfrm>
                            <a:off x="3144902" y="2272786"/>
                            <a:ext cx="2055535" cy="1692220"/>
                            <a:chOff x="1801667" y="961024"/>
                            <a:chExt cx="1208950" cy="769122"/>
                          </a:xfrm>
                          <a:solidFill>
                            <a:srgbClr val="00B0F0"/>
                          </a:solidFill>
                        </wpg:grpSpPr>
                        <wps:wsp>
                          <wps:cNvPr id="2045445079" name="Rectangle 2045445079"/>
                          <wps:cNvSpPr/>
                          <wps:spPr>
                            <a:xfrm>
                              <a:off x="1801667" y="961024"/>
                              <a:ext cx="1208553" cy="213728"/>
                            </a:xfrm>
                            <a:prstGeom prst="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23C90C" w14:textId="77777777" w:rsidR="00CF5BC5" w:rsidRPr="0011161E" w:rsidRDefault="00CF5BC5" w:rsidP="00CF5BC5">
                                <w:pPr>
                                  <w:jc w:val="center"/>
                                  <w:textAlignment w:val="baseline"/>
                                  <w:rPr>
                                    <w:rFonts w:ascii="Aptos" w:hAnsi="Aptos"/>
                                    <w:color w:val="FFFFFF"/>
                                    <w:kern w:val="24"/>
                                    <w:szCs w:val="22"/>
                                    <w14:ligatures w14:val="none"/>
                                  </w:rPr>
                                </w:pPr>
                                <w:r w:rsidRPr="0011161E">
                                  <w:rPr>
                                    <w:rFonts w:ascii="Aptos" w:hAnsi="Aptos"/>
                                    <w:color w:val="FFFFFF"/>
                                    <w:kern w:val="24"/>
                                    <w:szCs w:val="22"/>
                                  </w:rPr>
                                  <w:t>Director</w:t>
                                </w:r>
                              </w:p>
                            </w:txbxContent>
                          </wps:txbx>
                          <wps:bodyPr rtlCol="0" anchor="ctr"/>
                        </wps:wsp>
                        <wps:wsp>
                          <wps:cNvPr id="130191266" name="Rectangle 130191266"/>
                          <wps:cNvSpPr/>
                          <wps:spPr>
                            <a:xfrm>
                              <a:off x="2483943" y="1176888"/>
                              <a:ext cx="526217" cy="136065"/>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E4B7B6" w14:textId="77777777" w:rsidR="00CF5BC5" w:rsidRPr="0011161E" w:rsidRDefault="00CF5BC5" w:rsidP="00CF5BC5">
                                <w:pPr>
                                  <w:jc w:val="center"/>
                                  <w:textAlignment w:val="baseline"/>
                                  <w:rPr>
                                    <w:rFonts w:ascii="Aptos" w:hAnsi="Aptos"/>
                                    <w:color w:val="000000"/>
                                    <w:kern w:val="24"/>
                                    <w:szCs w:val="22"/>
                                    <w14:ligatures w14:val="none"/>
                                  </w:rPr>
                                </w:pPr>
                                <w:r w:rsidRPr="0011161E">
                                  <w:rPr>
                                    <w:rFonts w:ascii="Aptos" w:hAnsi="Aptos"/>
                                    <w:color w:val="000000"/>
                                    <w:kern w:val="24"/>
                                    <w:szCs w:val="22"/>
                                  </w:rPr>
                                  <w:t>Span: 3</w:t>
                                </w:r>
                              </w:p>
                            </w:txbxContent>
                          </wps:txbx>
                          <wps:bodyPr rtlCol="0" anchor="ctr"/>
                        </wps:wsp>
                        <wps:wsp>
                          <wps:cNvPr id="1544178433" name="Rectangle 1544178433"/>
                          <wps:cNvSpPr/>
                          <wps:spPr>
                            <a:xfrm>
                              <a:off x="1802051" y="1376223"/>
                              <a:ext cx="1208553" cy="213728"/>
                            </a:xfrm>
                            <a:prstGeom prst="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689F9A" w14:textId="77777777" w:rsidR="00CF5BC5" w:rsidRPr="0011161E" w:rsidRDefault="00CF5BC5" w:rsidP="00CF5BC5">
                                <w:pPr>
                                  <w:jc w:val="center"/>
                                  <w:textAlignment w:val="baseline"/>
                                  <w:rPr>
                                    <w:rFonts w:ascii="Aptos" w:hAnsi="Aptos"/>
                                    <w:color w:val="FFFFFF"/>
                                    <w:kern w:val="24"/>
                                    <w:szCs w:val="22"/>
                                    <w14:ligatures w14:val="none"/>
                                  </w:rPr>
                                </w:pPr>
                                <w:r w:rsidRPr="0011161E">
                                  <w:rPr>
                                    <w:rFonts w:ascii="Aptos" w:hAnsi="Aptos"/>
                                    <w:color w:val="FFFFFF"/>
                                    <w:kern w:val="24"/>
                                    <w:szCs w:val="22"/>
                                  </w:rPr>
                                  <w:t>Manager</w:t>
                                </w:r>
                              </w:p>
                            </w:txbxContent>
                          </wps:txbx>
                          <wps:bodyPr rtlCol="0" anchor="ctr"/>
                        </wps:wsp>
                        <wps:wsp>
                          <wps:cNvPr id="11228105" name="Rectangle 11228105"/>
                          <wps:cNvSpPr/>
                          <wps:spPr>
                            <a:xfrm>
                              <a:off x="2484400" y="1594081"/>
                              <a:ext cx="526217" cy="136065"/>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BFB2A7" w14:textId="77777777" w:rsidR="00CF5BC5" w:rsidRPr="0011161E" w:rsidRDefault="00CF5BC5" w:rsidP="00CF5BC5">
                                <w:pPr>
                                  <w:jc w:val="center"/>
                                  <w:textAlignment w:val="baseline"/>
                                  <w:rPr>
                                    <w:rFonts w:ascii="Aptos" w:hAnsi="Aptos"/>
                                    <w:color w:val="000000"/>
                                    <w:kern w:val="24"/>
                                    <w:szCs w:val="22"/>
                                    <w14:ligatures w14:val="none"/>
                                  </w:rPr>
                                </w:pPr>
                                <w:r w:rsidRPr="0011161E">
                                  <w:rPr>
                                    <w:rFonts w:ascii="Aptos" w:hAnsi="Aptos"/>
                                    <w:color w:val="000000"/>
                                    <w:kern w:val="24"/>
                                    <w:szCs w:val="22"/>
                                  </w:rPr>
                                  <w:t>Span: 2</w:t>
                                </w:r>
                              </w:p>
                            </w:txbxContent>
                          </wps:txbx>
                          <wps:bodyPr rtlCol="0" anchor="ctr"/>
                        </wps:wsp>
                      </wpg:grpSp>
                      <wps:wsp>
                        <wps:cNvPr id="505451423" name="Rectangle 6"/>
                        <wps:cNvSpPr/>
                        <wps:spPr>
                          <a:xfrm>
                            <a:off x="0" y="163852"/>
                            <a:ext cx="2795905" cy="5105841"/>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77814260" name="Rectangle 20"/>
                        <wps:cNvSpPr/>
                        <wps:spPr>
                          <a:xfrm>
                            <a:off x="116282" y="0"/>
                            <a:ext cx="2071370" cy="401320"/>
                          </a:xfrm>
                          <a:prstGeom prst="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35BD76" w14:textId="77777777" w:rsidR="00CF5BC5" w:rsidRPr="0011161E" w:rsidRDefault="00CF5BC5" w:rsidP="00CF5BC5">
                              <w:pPr>
                                <w:jc w:val="center"/>
                                <w:textAlignment w:val="baseline"/>
                                <w:rPr>
                                  <w:rFonts w:ascii="Aptos" w:hAnsi="Aptos"/>
                                  <w:color w:val="FFFFFF"/>
                                  <w:kern w:val="24"/>
                                  <w:szCs w:val="22"/>
                                  <w14:ligatures w14:val="none"/>
                                </w:rPr>
                              </w:pPr>
                              <w:r w:rsidRPr="0011161E">
                                <w:rPr>
                                  <w:rFonts w:ascii="Aptos" w:hAnsi="Aptos"/>
                                  <w:color w:val="FFFFFF"/>
                                  <w:kern w:val="24"/>
                                  <w:szCs w:val="22"/>
                                </w:rPr>
                                <w:t xml:space="preserve">Secretary </w:t>
                              </w:r>
                            </w:p>
                          </w:txbxContent>
                        </wps:txbx>
                        <wps:bodyPr wrap="square" rtlCol="0" anchor="ctr">
                          <a:noAutofit/>
                        </wps:bodyPr>
                      </wps:wsp>
                      <wpg:grpSp>
                        <wpg:cNvPr id="1212566719" name="Group 27"/>
                        <wpg:cNvGrpSpPr/>
                        <wpg:grpSpPr>
                          <a:xfrm>
                            <a:off x="132139" y="1300245"/>
                            <a:ext cx="2054860" cy="773799"/>
                            <a:chOff x="1776413" y="957858"/>
                            <a:chExt cx="1208553" cy="351879"/>
                          </a:xfrm>
                          <a:solidFill>
                            <a:srgbClr val="00B0F0"/>
                          </a:solidFill>
                        </wpg:grpSpPr>
                        <wps:wsp>
                          <wps:cNvPr id="1184453058" name="Rectangle 1184453058"/>
                          <wps:cNvSpPr/>
                          <wps:spPr>
                            <a:xfrm>
                              <a:off x="1776413" y="957858"/>
                              <a:ext cx="1208553" cy="213728"/>
                            </a:xfrm>
                            <a:prstGeom prst="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B21708" w14:textId="77777777" w:rsidR="00CF5BC5" w:rsidRPr="0011161E" w:rsidRDefault="00CF5BC5" w:rsidP="00CF5BC5">
                                <w:pPr>
                                  <w:jc w:val="center"/>
                                  <w:textAlignment w:val="baseline"/>
                                  <w:rPr>
                                    <w:rFonts w:ascii="Aptos" w:hAnsi="Aptos"/>
                                    <w:color w:val="FFFFFF"/>
                                    <w:kern w:val="24"/>
                                    <w:szCs w:val="22"/>
                                    <w14:ligatures w14:val="none"/>
                                  </w:rPr>
                                </w:pPr>
                                <w:r w:rsidRPr="0011161E">
                                  <w:rPr>
                                    <w:rFonts w:ascii="Aptos" w:hAnsi="Aptos"/>
                                    <w:color w:val="FFFFFF"/>
                                    <w:kern w:val="24"/>
                                    <w:szCs w:val="22"/>
                                  </w:rPr>
                                  <w:t>Assistant Deputy Secretary</w:t>
                                </w:r>
                              </w:p>
                            </w:txbxContent>
                          </wps:txbx>
                          <wps:bodyPr rtlCol="0" anchor="ctr"/>
                        </wps:wsp>
                        <wps:wsp>
                          <wps:cNvPr id="421880527" name="Rectangle 421880527"/>
                          <wps:cNvSpPr/>
                          <wps:spPr>
                            <a:xfrm>
                              <a:off x="2458689" y="1173672"/>
                              <a:ext cx="526217" cy="136065"/>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2A6C77" w14:textId="77777777" w:rsidR="00CF5BC5" w:rsidRPr="0011161E" w:rsidRDefault="00CF5BC5" w:rsidP="00CF5BC5">
                                <w:pPr>
                                  <w:jc w:val="center"/>
                                  <w:textAlignment w:val="baseline"/>
                                  <w:rPr>
                                    <w:rFonts w:ascii="Aptos" w:hAnsi="Aptos"/>
                                    <w:color w:val="000000"/>
                                    <w:kern w:val="24"/>
                                    <w:szCs w:val="22"/>
                                    <w14:ligatures w14:val="none"/>
                                  </w:rPr>
                                </w:pPr>
                                <w:r w:rsidRPr="0011161E">
                                  <w:rPr>
                                    <w:rFonts w:ascii="Aptos" w:hAnsi="Aptos"/>
                                    <w:color w:val="000000"/>
                                    <w:kern w:val="24"/>
                                    <w:szCs w:val="22"/>
                                  </w:rPr>
                                  <w:t>Span: 7</w:t>
                                </w:r>
                              </w:p>
                            </w:txbxContent>
                          </wps:txbx>
                          <wps:bodyPr rtlCol="0" anchor="ctr"/>
                        </wps:wsp>
                      </wpg:grpSp>
                      <wpg:grpSp>
                        <wpg:cNvPr id="326765470" name="Group 30"/>
                        <wpg:cNvGrpSpPr/>
                        <wpg:grpSpPr>
                          <a:xfrm>
                            <a:off x="126853" y="523272"/>
                            <a:ext cx="2055495" cy="728278"/>
                            <a:chOff x="1776413" y="519310"/>
                            <a:chExt cx="1208553" cy="351058"/>
                          </a:xfrm>
                          <a:solidFill>
                            <a:srgbClr val="00B0F0"/>
                          </a:solidFill>
                        </wpg:grpSpPr>
                        <wps:wsp>
                          <wps:cNvPr id="1992631620" name="Rectangle 1992631620"/>
                          <wps:cNvSpPr/>
                          <wps:spPr>
                            <a:xfrm>
                              <a:off x="1776413" y="519310"/>
                              <a:ext cx="1208553" cy="213728"/>
                            </a:xfrm>
                            <a:prstGeom prst="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8FF3E9" w14:textId="77777777" w:rsidR="00CF5BC5" w:rsidRPr="0011161E" w:rsidRDefault="00CF5BC5" w:rsidP="00CF5BC5">
                                <w:pPr>
                                  <w:jc w:val="center"/>
                                  <w:textAlignment w:val="baseline"/>
                                  <w:rPr>
                                    <w:rFonts w:ascii="Aptos" w:hAnsi="Aptos"/>
                                    <w:color w:val="FFFFFF"/>
                                    <w:kern w:val="24"/>
                                    <w:szCs w:val="22"/>
                                    <w14:ligatures w14:val="none"/>
                                  </w:rPr>
                                </w:pPr>
                                <w:r w:rsidRPr="0011161E">
                                  <w:rPr>
                                    <w:rFonts w:ascii="Aptos" w:hAnsi="Aptos"/>
                                    <w:color w:val="FFFFFF"/>
                                    <w:kern w:val="24"/>
                                    <w:szCs w:val="22"/>
                                  </w:rPr>
                                  <w:t>Deputy Secretary</w:t>
                                </w:r>
                              </w:p>
                            </w:txbxContent>
                          </wps:txbx>
                          <wps:bodyPr rtlCol="0" anchor="ctr"/>
                        </wps:wsp>
                        <wps:wsp>
                          <wps:cNvPr id="712201285" name="Rectangle 712201285"/>
                          <wps:cNvSpPr/>
                          <wps:spPr>
                            <a:xfrm>
                              <a:off x="2458748" y="734303"/>
                              <a:ext cx="526217" cy="136065"/>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8D1407" w14:textId="77777777" w:rsidR="00CF5BC5" w:rsidRPr="0011161E" w:rsidRDefault="00CF5BC5" w:rsidP="00CF5BC5">
                                <w:pPr>
                                  <w:jc w:val="center"/>
                                  <w:textAlignment w:val="baseline"/>
                                  <w:rPr>
                                    <w:rFonts w:ascii="Aptos" w:hAnsi="Aptos"/>
                                    <w:color w:val="000000"/>
                                    <w:kern w:val="24"/>
                                    <w:szCs w:val="22"/>
                                    <w14:ligatures w14:val="none"/>
                                  </w:rPr>
                                </w:pPr>
                                <w:r w:rsidRPr="0011161E">
                                  <w:rPr>
                                    <w:rFonts w:ascii="Aptos" w:hAnsi="Aptos"/>
                                    <w:color w:val="000000"/>
                                    <w:kern w:val="24"/>
                                    <w:szCs w:val="22"/>
                                  </w:rPr>
                                  <w:t>Span: 6</w:t>
                                </w:r>
                              </w:p>
                            </w:txbxContent>
                          </wps:txbx>
                          <wps:bodyPr rtlCol="0" anchor="ctr"/>
                        </wps:wsp>
                      </wpg:grpSp>
                      <wps:wsp>
                        <wps:cNvPr id="366239735" name="Rectangle 33"/>
                        <wps:cNvSpPr/>
                        <wps:spPr>
                          <a:xfrm>
                            <a:off x="126853" y="4661855"/>
                            <a:ext cx="2054758" cy="442595"/>
                          </a:xfrm>
                          <a:prstGeom prst="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4616F9" w14:textId="77777777" w:rsidR="00CF5BC5" w:rsidRPr="0011161E" w:rsidRDefault="00CF5BC5" w:rsidP="00CF5BC5">
                              <w:pPr>
                                <w:jc w:val="center"/>
                                <w:textAlignment w:val="baseline"/>
                                <w:rPr>
                                  <w:rFonts w:ascii="Aptos" w:hAnsi="Aptos"/>
                                  <w:color w:val="FFFFFF"/>
                                  <w:kern w:val="24"/>
                                  <w:szCs w:val="22"/>
                                  <w14:ligatures w14:val="none"/>
                                </w:rPr>
                              </w:pPr>
                              <w:r w:rsidRPr="0011161E">
                                <w:rPr>
                                  <w:rFonts w:ascii="Aptos" w:hAnsi="Aptos"/>
                                  <w:color w:val="FFFFFF"/>
                                  <w:kern w:val="24"/>
                                  <w:szCs w:val="22"/>
                                </w:rPr>
                                <w:t xml:space="preserve">Policy and program staff </w:t>
                              </w:r>
                            </w:p>
                          </w:txbxContent>
                        </wps:txbx>
                        <wps:bodyPr wrap="square" rtlCol="0" anchor="ctr">
                          <a:noAutofit/>
                        </wps:bodyPr>
                      </wps:wsp>
                      <wpg:grpSp>
                        <wpg:cNvPr id="2037959858" name="Group 27"/>
                        <wpg:cNvGrpSpPr/>
                        <wpg:grpSpPr>
                          <a:xfrm>
                            <a:off x="132139" y="2135362"/>
                            <a:ext cx="2055495" cy="1616221"/>
                            <a:chOff x="1801667" y="961024"/>
                            <a:chExt cx="1208950" cy="734750"/>
                          </a:xfrm>
                          <a:solidFill>
                            <a:srgbClr val="00B0F0"/>
                          </a:solidFill>
                        </wpg:grpSpPr>
                        <wps:wsp>
                          <wps:cNvPr id="483981558" name="Rectangle 483981558"/>
                          <wps:cNvSpPr/>
                          <wps:spPr>
                            <a:xfrm>
                              <a:off x="1801667" y="961024"/>
                              <a:ext cx="1208553" cy="213728"/>
                            </a:xfrm>
                            <a:prstGeom prst="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EC44C5" w14:textId="77777777" w:rsidR="00CF5BC5" w:rsidRPr="0011161E" w:rsidRDefault="00CF5BC5" w:rsidP="00CF5BC5">
                                <w:pPr>
                                  <w:jc w:val="center"/>
                                  <w:textAlignment w:val="baseline"/>
                                  <w:rPr>
                                    <w:rFonts w:ascii="Aptos" w:hAnsi="Aptos"/>
                                    <w:color w:val="FFFFFF"/>
                                    <w:kern w:val="24"/>
                                    <w:szCs w:val="22"/>
                                    <w14:ligatures w14:val="none"/>
                                  </w:rPr>
                                </w:pPr>
                                <w:r w:rsidRPr="0011161E">
                                  <w:rPr>
                                    <w:rFonts w:ascii="Aptos" w:hAnsi="Aptos"/>
                                    <w:color w:val="FFFFFF"/>
                                    <w:kern w:val="24"/>
                                    <w:szCs w:val="22"/>
                                  </w:rPr>
                                  <w:t>Executive Director</w:t>
                                </w:r>
                              </w:p>
                            </w:txbxContent>
                          </wps:txbx>
                          <wps:bodyPr rtlCol="0" anchor="ctr"/>
                        </wps:wsp>
                        <wps:wsp>
                          <wps:cNvPr id="1580651944" name="Rectangle 1580651944"/>
                          <wps:cNvSpPr/>
                          <wps:spPr>
                            <a:xfrm>
                              <a:off x="2483943" y="1176473"/>
                              <a:ext cx="526217" cy="136065"/>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170C37" w14:textId="77777777" w:rsidR="00CF5BC5" w:rsidRPr="0011161E" w:rsidRDefault="00CF5BC5" w:rsidP="00CF5BC5">
                                <w:pPr>
                                  <w:jc w:val="center"/>
                                  <w:textAlignment w:val="baseline"/>
                                  <w:rPr>
                                    <w:rFonts w:ascii="Aptos" w:hAnsi="Aptos"/>
                                    <w:color w:val="000000"/>
                                    <w:kern w:val="24"/>
                                    <w:szCs w:val="22"/>
                                    <w14:ligatures w14:val="none"/>
                                  </w:rPr>
                                </w:pPr>
                                <w:r w:rsidRPr="0011161E">
                                  <w:rPr>
                                    <w:rFonts w:ascii="Aptos" w:hAnsi="Aptos"/>
                                    <w:color w:val="000000"/>
                                    <w:kern w:val="24"/>
                                    <w:szCs w:val="22"/>
                                  </w:rPr>
                                  <w:t>Span: 3</w:t>
                                </w:r>
                              </w:p>
                            </w:txbxContent>
                          </wps:txbx>
                          <wps:bodyPr rtlCol="0" anchor="ctr"/>
                        </wps:wsp>
                        <wps:wsp>
                          <wps:cNvPr id="1950117094" name="Rectangle 1950117094"/>
                          <wps:cNvSpPr/>
                          <wps:spPr>
                            <a:xfrm>
                              <a:off x="1802051" y="1344984"/>
                              <a:ext cx="1208553" cy="213728"/>
                            </a:xfrm>
                            <a:prstGeom prst="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3C5ADF" w14:textId="77777777" w:rsidR="00CF5BC5" w:rsidRPr="0011161E" w:rsidRDefault="00CF5BC5" w:rsidP="00CF5BC5">
                                <w:pPr>
                                  <w:jc w:val="center"/>
                                  <w:textAlignment w:val="baseline"/>
                                  <w:rPr>
                                    <w:rFonts w:ascii="Aptos" w:hAnsi="Aptos"/>
                                    <w:color w:val="FFFFFF"/>
                                    <w:kern w:val="24"/>
                                    <w:szCs w:val="22"/>
                                    <w14:ligatures w14:val="none"/>
                                  </w:rPr>
                                </w:pPr>
                                <w:r w:rsidRPr="0011161E">
                                  <w:rPr>
                                    <w:rFonts w:ascii="Aptos" w:hAnsi="Aptos"/>
                                    <w:color w:val="FFFFFF"/>
                                    <w:kern w:val="24"/>
                                    <w:szCs w:val="22"/>
                                  </w:rPr>
                                  <w:t>Director</w:t>
                                </w:r>
                              </w:p>
                            </w:txbxContent>
                          </wps:txbx>
                          <wps:bodyPr rtlCol="0" anchor="ctr"/>
                        </wps:wsp>
                        <wps:wsp>
                          <wps:cNvPr id="979041585" name="Rectangle 979041585"/>
                          <wps:cNvSpPr/>
                          <wps:spPr>
                            <a:xfrm>
                              <a:off x="2484400" y="1559709"/>
                              <a:ext cx="526217" cy="136065"/>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76DC06" w14:textId="77777777" w:rsidR="00CF5BC5" w:rsidRPr="0011161E" w:rsidRDefault="00CF5BC5" w:rsidP="00CF5BC5">
                                <w:pPr>
                                  <w:jc w:val="center"/>
                                  <w:textAlignment w:val="baseline"/>
                                  <w:rPr>
                                    <w:rFonts w:ascii="Aptos" w:hAnsi="Aptos"/>
                                    <w:color w:val="000000"/>
                                    <w:kern w:val="24"/>
                                    <w:szCs w:val="22"/>
                                    <w14:ligatures w14:val="none"/>
                                  </w:rPr>
                                </w:pPr>
                                <w:r w:rsidRPr="0011161E">
                                  <w:rPr>
                                    <w:rFonts w:ascii="Aptos" w:hAnsi="Aptos"/>
                                    <w:color w:val="000000"/>
                                    <w:kern w:val="24"/>
                                    <w:szCs w:val="22"/>
                                  </w:rPr>
                                  <w:t>Span: 6</w:t>
                                </w:r>
                              </w:p>
                            </w:txbxContent>
                          </wps:txbx>
                          <wps:bodyPr rtlCol="0" anchor="ctr"/>
                        </wps:wsp>
                      </wpg:grpSp>
                      <wpg:grpSp>
                        <wpg:cNvPr id="1733890417" name="Group 27"/>
                        <wpg:cNvGrpSpPr/>
                        <wpg:grpSpPr>
                          <a:xfrm>
                            <a:off x="126853" y="3805596"/>
                            <a:ext cx="2054860" cy="772475"/>
                            <a:chOff x="1776413" y="957858"/>
                            <a:chExt cx="1208553" cy="351277"/>
                          </a:xfrm>
                          <a:solidFill>
                            <a:srgbClr val="00B0F0"/>
                          </a:solidFill>
                        </wpg:grpSpPr>
                        <wps:wsp>
                          <wps:cNvPr id="1198441424" name="Rectangle 1198441424"/>
                          <wps:cNvSpPr/>
                          <wps:spPr>
                            <a:xfrm>
                              <a:off x="1776413" y="957858"/>
                              <a:ext cx="1208553" cy="213728"/>
                            </a:xfrm>
                            <a:prstGeom prst="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E3C92B" w14:textId="77777777" w:rsidR="00CF5BC5" w:rsidRPr="0011161E" w:rsidRDefault="00CF5BC5" w:rsidP="00CF5BC5">
                                <w:pPr>
                                  <w:jc w:val="center"/>
                                  <w:textAlignment w:val="baseline"/>
                                  <w:rPr>
                                    <w:rFonts w:ascii="Aptos" w:hAnsi="Aptos"/>
                                    <w:color w:val="FFFFFF"/>
                                    <w:kern w:val="24"/>
                                    <w:szCs w:val="22"/>
                                    <w14:ligatures w14:val="none"/>
                                  </w:rPr>
                                </w:pPr>
                                <w:r w:rsidRPr="0011161E">
                                  <w:rPr>
                                    <w:rFonts w:ascii="Aptos" w:hAnsi="Aptos"/>
                                    <w:color w:val="FFFFFF"/>
                                    <w:kern w:val="24"/>
                                    <w:szCs w:val="22"/>
                                  </w:rPr>
                                  <w:t>Manager</w:t>
                                </w:r>
                              </w:p>
                            </w:txbxContent>
                          </wps:txbx>
                          <wps:bodyPr rtlCol="0" anchor="ctr"/>
                        </wps:wsp>
                        <wps:wsp>
                          <wps:cNvPr id="1560171623" name="Rectangle 1560171623"/>
                          <wps:cNvSpPr/>
                          <wps:spPr>
                            <a:xfrm>
                              <a:off x="2458689" y="1173070"/>
                              <a:ext cx="526217" cy="136065"/>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A93B2F" w14:textId="77777777" w:rsidR="00CF5BC5" w:rsidRPr="0011161E" w:rsidRDefault="00CF5BC5" w:rsidP="00CF5BC5">
                                <w:pPr>
                                  <w:jc w:val="center"/>
                                  <w:textAlignment w:val="baseline"/>
                                  <w:rPr>
                                    <w:rFonts w:ascii="Aptos" w:hAnsi="Aptos"/>
                                    <w:color w:val="000000"/>
                                    <w:kern w:val="24"/>
                                    <w:szCs w:val="22"/>
                                    <w14:ligatures w14:val="none"/>
                                  </w:rPr>
                                </w:pPr>
                                <w:r w:rsidRPr="0011161E">
                                  <w:rPr>
                                    <w:rFonts w:ascii="Aptos" w:hAnsi="Aptos"/>
                                    <w:color w:val="000000"/>
                                    <w:kern w:val="24"/>
                                    <w:szCs w:val="22"/>
                                  </w:rPr>
                                  <w:t>Span</w:t>
                                </w:r>
                                <w:proofErr w:type="gramStart"/>
                                <w:r w:rsidRPr="0011161E">
                                  <w:rPr>
                                    <w:rFonts w:ascii="Aptos" w:hAnsi="Aptos"/>
                                    <w:color w:val="000000"/>
                                    <w:kern w:val="24"/>
                                    <w:szCs w:val="22"/>
                                  </w:rPr>
                                  <w:t>: ?</w:t>
                                </w:r>
                                <w:proofErr w:type="gramEnd"/>
                              </w:p>
                            </w:txbxContent>
                          </wps:txbx>
                          <wps:bodyPr rtlCol="0" anchor="ctr"/>
                        </wps:wsp>
                      </wpg:grpSp>
                    </wpg:wgp>
                  </a:graphicData>
                </a:graphic>
              </wp:anchor>
            </w:drawing>
          </mc:Choice>
          <mc:Fallback>
            <w:pict>
              <v:group w14:anchorId="35185E93" id="Group 2" o:spid="_x0000_s1060" alt="Displays a stylised example of current reporting layers in two large VPS departments. Illustrates the different levels between policy and program staff through to the Secretary. " style="position:absolute;margin-left:0;margin-top:23.45pt;width:457.35pt;height:414.9pt;z-index:251658314" coordsize="58086,52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">
                <v:rect id="Rectangle 6" o:spid="_x0000_s1061" style="position:absolute;left:30127;top:1638;width:27959;height:5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" fillcolor="#f2f2f2 [3052]" stroked="f" strokeweight="1pt"/>
                <v:rect id="Rectangle 20" o:spid="_x0000_s1062" style="position:absolute;left:31290;width:20719;height:4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" fillcolor="#0f4761 [2404]" stroked="f" strokeweight="1pt">
                  <v:textbox>
                    <w:txbxContent>
                      <w:p w14:paraId="71F6D81D" w14:textId="77777777" w:rsidR="00CF5BC5" w:rsidRPr="0011161E" w:rsidRDefault="00CF5BC5" w:rsidP="00CF5BC5">
                        <w:pPr>
                          <w:jc w:val="center"/>
                          <w:textAlignment w:val="baseline"/>
                          <w:rPr>
                            <w:rFonts w:ascii="Aptos" w:hAnsi="Aptos"/>
                            <w:color w:val="FFFFFF"/>
                            <w:kern w:val="24"/>
                            <w:szCs w:val="22"/>
                            <w14:ligatures w14:val="none"/>
                          </w:rPr>
                        </w:pPr>
                        <w:r w:rsidRPr="0011161E">
                          <w:rPr>
                            <w:rFonts w:ascii="Aptos" w:hAnsi="Aptos"/>
                            <w:color w:val="FFFFFF"/>
                            <w:kern w:val="24"/>
                            <w:szCs w:val="22"/>
                          </w:rPr>
                          <w:t xml:space="preserve">Secretary </w:t>
                        </w:r>
                      </w:p>
                    </w:txbxContent>
                  </v:textbox>
                </v:rect>
                <v:group id="Group 27" o:spid="_x0000_s1063" style="position:absolute;left:31449;top:13689;width:20548;height:7747" coordorigin="17764,9578" coordsize="12085,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">
                  <v:rect id="Rectangle 2019163898" o:spid="_x0000_s1064" style="position:absolute;left:17764;top:9578;width:12085;height:2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" fillcolor="#0f4761 [2404]" stroked="f" strokeweight="1pt">
                    <v:textbox>
                      <w:txbxContent>
                        <w:p w14:paraId="25CDCC78" w14:textId="77777777" w:rsidR="00CF5BC5" w:rsidRPr="0011161E" w:rsidRDefault="00CF5BC5" w:rsidP="00CF5BC5">
                          <w:pPr>
                            <w:jc w:val="center"/>
                            <w:textAlignment w:val="baseline"/>
                            <w:rPr>
                              <w:rFonts w:ascii="Aptos" w:hAnsi="Aptos"/>
                              <w:color w:val="FFFFFF"/>
                              <w:kern w:val="24"/>
                              <w:szCs w:val="22"/>
                              <w14:ligatures w14:val="none"/>
                            </w:rPr>
                          </w:pPr>
                          <w:r w:rsidRPr="0011161E">
                            <w:rPr>
                              <w:rFonts w:ascii="Aptos" w:hAnsi="Aptos"/>
                              <w:color w:val="FFFFFF"/>
                              <w:kern w:val="24"/>
                              <w:szCs w:val="22"/>
                            </w:rPr>
                            <w:t>Executive Director</w:t>
                          </w:r>
                        </w:p>
                      </w:txbxContent>
                    </v:textbox>
                  </v:rect>
                  <v:rect id="Rectangle 654729032" o:spid="_x0000_s1065" style="position:absolute;left:24586;top:11740;width:5263;height:1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" fillcolor="#c1e4f5 [660]" stroked="f" strokeweight="1pt">
                    <v:textbox>
                      <w:txbxContent>
                        <w:p w14:paraId="6329DBDA" w14:textId="77777777" w:rsidR="00CF5BC5" w:rsidRPr="0011161E" w:rsidRDefault="00CF5BC5" w:rsidP="00CF5BC5">
                          <w:pPr>
                            <w:jc w:val="center"/>
                            <w:textAlignment w:val="baseline"/>
                            <w:rPr>
                              <w:rFonts w:ascii="Aptos" w:hAnsi="Aptos"/>
                              <w:color w:val="000000"/>
                              <w:kern w:val="24"/>
                              <w:szCs w:val="22"/>
                              <w14:ligatures w14:val="none"/>
                            </w:rPr>
                          </w:pPr>
                          <w:r w:rsidRPr="0011161E">
                            <w:rPr>
                              <w:rFonts w:ascii="Aptos" w:hAnsi="Aptos"/>
                              <w:color w:val="000000"/>
                              <w:kern w:val="24"/>
                              <w:szCs w:val="22"/>
                            </w:rPr>
                            <w:t>Span: 6</w:t>
                          </w:r>
                        </w:p>
                      </w:txbxContent>
                    </v:textbox>
                  </v:rect>
                </v:group>
                <v:group id="Group 30" o:spid="_x0000_s1066" style="position:absolute;left:31396;top:5232;width:20555;height:7283" coordorigin="17764,5193" coordsize="12085,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">
                  <v:rect id="Rectangle 1695654287" o:spid="_x0000_s1067" style="position:absolute;left:17764;top:5193;width:12085;height:2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" fillcolor="#0f4761 [2404]" stroked="f" strokeweight="1pt">
                    <v:textbox>
                      <w:txbxContent>
                        <w:p w14:paraId="57E4263E" w14:textId="77777777" w:rsidR="00CF5BC5" w:rsidRPr="0011161E" w:rsidRDefault="00CF5BC5" w:rsidP="00CF5BC5">
                          <w:pPr>
                            <w:jc w:val="center"/>
                            <w:textAlignment w:val="baseline"/>
                            <w:rPr>
                              <w:rFonts w:ascii="Aptos" w:hAnsi="Aptos"/>
                              <w:color w:val="FFFFFF"/>
                              <w:kern w:val="24"/>
                              <w:szCs w:val="22"/>
                              <w14:ligatures w14:val="none"/>
                            </w:rPr>
                          </w:pPr>
                          <w:r w:rsidRPr="0011161E">
                            <w:rPr>
                              <w:rFonts w:ascii="Aptos" w:hAnsi="Aptos"/>
                              <w:color w:val="FFFFFF"/>
                              <w:kern w:val="24"/>
                              <w:szCs w:val="22"/>
                            </w:rPr>
                            <w:t>Deputy Secretary</w:t>
                          </w:r>
                        </w:p>
                      </w:txbxContent>
                    </v:textbox>
                  </v:rect>
                  <v:rect id="Rectangle 811516723" o:spid="_x0000_s1068" style="position:absolute;left:24587;top:7343;width:5262;height:1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" fillcolor="#c1e4f5 [660]" stroked="f" strokeweight="1pt">
                    <v:textbox>
                      <w:txbxContent>
                        <w:p w14:paraId="669BEF83" w14:textId="77777777" w:rsidR="00CF5BC5" w:rsidRPr="0011161E" w:rsidRDefault="00CF5BC5" w:rsidP="00CF5BC5">
                          <w:pPr>
                            <w:jc w:val="center"/>
                            <w:textAlignment w:val="baseline"/>
                            <w:rPr>
                              <w:rFonts w:ascii="Aptos" w:hAnsi="Aptos"/>
                              <w:color w:val="000000"/>
                              <w:kern w:val="24"/>
                              <w:szCs w:val="22"/>
                              <w14:ligatures w14:val="none"/>
                            </w:rPr>
                          </w:pPr>
                          <w:r w:rsidRPr="0011161E">
                            <w:rPr>
                              <w:rFonts w:ascii="Aptos" w:hAnsi="Aptos"/>
                              <w:color w:val="000000"/>
                              <w:kern w:val="24"/>
                              <w:szCs w:val="22"/>
                            </w:rPr>
                            <w:t>Span: 2</w:t>
                          </w:r>
                        </w:p>
                      </w:txbxContent>
                    </v:textbox>
                  </v:rect>
                </v:group>
                <v:rect id="Rectangle 33" o:spid="_x0000_s1069" style="position:absolute;left:31396;top:40857;width:20713;height:4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" fillcolor="#0f4761 [2404]" stroked="f" strokeweight="1pt">
                  <v:textbox>
                    <w:txbxContent>
                      <w:p w14:paraId="07407060" w14:textId="6FA213E5" w:rsidR="00CF5BC5" w:rsidRPr="0011161E" w:rsidRDefault="00CF5BC5" w:rsidP="00CF5BC5">
                        <w:pPr>
                          <w:jc w:val="center"/>
                          <w:textAlignment w:val="baseline"/>
                          <w:rPr>
                            <w:rFonts w:ascii="Aptos" w:hAnsi="Aptos"/>
                            <w:color w:val="FFFFFF"/>
                            <w:kern w:val="24"/>
                            <w:szCs w:val="22"/>
                            <w14:ligatures w14:val="none"/>
                          </w:rPr>
                        </w:pPr>
                        <w:r w:rsidRPr="0011161E">
                          <w:rPr>
                            <w:rFonts w:ascii="Aptos" w:hAnsi="Aptos"/>
                            <w:color w:val="FFFFFF"/>
                            <w:kern w:val="24"/>
                            <w:szCs w:val="22"/>
                          </w:rPr>
                          <w:t xml:space="preserve">Analysts </w:t>
                        </w:r>
                        <w:r w:rsidR="00480582" w:rsidRPr="0011161E">
                          <w:rPr>
                            <w:rFonts w:ascii="Aptos" w:hAnsi="Aptos"/>
                            <w:color w:val="FFFFFF"/>
                            <w:kern w:val="24"/>
                            <w:szCs w:val="22"/>
                          </w:rPr>
                          <w:t>×</w:t>
                        </w:r>
                        <w:r w:rsidRPr="0011161E">
                          <w:rPr>
                            <w:rFonts w:ascii="Aptos" w:hAnsi="Aptos"/>
                            <w:color w:val="FFFFFF"/>
                            <w:kern w:val="24"/>
                            <w:szCs w:val="22"/>
                          </w:rPr>
                          <w:t xml:space="preserve"> 2 </w:t>
                        </w:r>
                      </w:p>
                    </w:txbxContent>
                  </v:textbox>
                </v:rect>
                <v:group id="Group 27" o:spid="_x0000_s1070" style="position:absolute;left:31449;top:22727;width:20555;height:16923" coordorigin="18016,9610" coordsize="12089,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">
                  <v:rect id="Rectangle 2045445079" o:spid="_x0000_s1071" style="position:absolute;left:18016;top:9610;width:12086;height:2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" fillcolor="#0f4761 [2404]" stroked="f" strokeweight="1pt">
                    <v:textbox>
                      <w:txbxContent>
                        <w:p w14:paraId="4E23C90C" w14:textId="77777777" w:rsidR="00CF5BC5" w:rsidRPr="0011161E" w:rsidRDefault="00CF5BC5" w:rsidP="00CF5BC5">
                          <w:pPr>
                            <w:jc w:val="center"/>
                            <w:textAlignment w:val="baseline"/>
                            <w:rPr>
                              <w:rFonts w:ascii="Aptos" w:hAnsi="Aptos"/>
                              <w:color w:val="FFFFFF"/>
                              <w:kern w:val="24"/>
                              <w:szCs w:val="22"/>
                              <w14:ligatures w14:val="none"/>
                            </w:rPr>
                          </w:pPr>
                          <w:r w:rsidRPr="0011161E">
                            <w:rPr>
                              <w:rFonts w:ascii="Aptos" w:hAnsi="Aptos"/>
                              <w:color w:val="FFFFFF"/>
                              <w:kern w:val="24"/>
                              <w:szCs w:val="22"/>
                            </w:rPr>
                            <w:t>Director</w:t>
                          </w:r>
                        </w:p>
                      </w:txbxContent>
                    </v:textbox>
                  </v:rect>
                  <v:rect id="Rectangle 130191266" o:spid="_x0000_s1072" style="position:absolute;left:24839;top:11768;width:5262;height:1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" fillcolor="#c1e4f5 [660]" stroked="f" strokeweight="1pt">
                    <v:textbox>
                      <w:txbxContent>
                        <w:p w14:paraId="4DE4B7B6" w14:textId="77777777" w:rsidR="00CF5BC5" w:rsidRPr="0011161E" w:rsidRDefault="00CF5BC5" w:rsidP="00CF5BC5">
                          <w:pPr>
                            <w:jc w:val="center"/>
                            <w:textAlignment w:val="baseline"/>
                            <w:rPr>
                              <w:rFonts w:ascii="Aptos" w:hAnsi="Aptos"/>
                              <w:color w:val="000000"/>
                              <w:kern w:val="24"/>
                              <w:szCs w:val="22"/>
                              <w14:ligatures w14:val="none"/>
                            </w:rPr>
                          </w:pPr>
                          <w:r w:rsidRPr="0011161E">
                            <w:rPr>
                              <w:rFonts w:ascii="Aptos" w:hAnsi="Aptos"/>
                              <w:color w:val="000000"/>
                              <w:kern w:val="24"/>
                              <w:szCs w:val="22"/>
                            </w:rPr>
                            <w:t>Span: 3</w:t>
                          </w:r>
                        </w:p>
                      </w:txbxContent>
                    </v:textbox>
                  </v:rect>
                  <v:rect id="Rectangle 1544178433" o:spid="_x0000_s1073" style="position:absolute;left:18020;top:13762;width:12086;height:2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" fillcolor="#0f4761 [2404]" stroked="f" strokeweight="1pt">
                    <v:textbox>
                      <w:txbxContent>
                        <w:p w14:paraId="5A689F9A" w14:textId="77777777" w:rsidR="00CF5BC5" w:rsidRPr="0011161E" w:rsidRDefault="00CF5BC5" w:rsidP="00CF5BC5">
                          <w:pPr>
                            <w:jc w:val="center"/>
                            <w:textAlignment w:val="baseline"/>
                            <w:rPr>
                              <w:rFonts w:ascii="Aptos" w:hAnsi="Aptos"/>
                              <w:color w:val="FFFFFF"/>
                              <w:kern w:val="24"/>
                              <w:szCs w:val="22"/>
                              <w14:ligatures w14:val="none"/>
                            </w:rPr>
                          </w:pPr>
                          <w:r w:rsidRPr="0011161E">
                            <w:rPr>
                              <w:rFonts w:ascii="Aptos" w:hAnsi="Aptos"/>
                              <w:color w:val="FFFFFF"/>
                              <w:kern w:val="24"/>
                              <w:szCs w:val="22"/>
                            </w:rPr>
                            <w:t>Manager</w:t>
                          </w:r>
                        </w:p>
                      </w:txbxContent>
                    </v:textbox>
                  </v:rect>
                  <v:rect id="Rectangle 11228105" o:spid="_x0000_s1074" style="position:absolute;left:24844;top:15940;width:5262;height:1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" fillcolor="#c1e4f5 [660]" stroked="f" strokeweight="1pt">
                    <v:textbox>
                      <w:txbxContent>
                        <w:p w14:paraId="7ABFB2A7" w14:textId="77777777" w:rsidR="00CF5BC5" w:rsidRPr="0011161E" w:rsidRDefault="00CF5BC5" w:rsidP="00CF5BC5">
                          <w:pPr>
                            <w:jc w:val="center"/>
                            <w:textAlignment w:val="baseline"/>
                            <w:rPr>
                              <w:rFonts w:ascii="Aptos" w:hAnsi="Aptos"/>
                              <w:color w:val="000000"/>
                              <w:kern w:val="24"/>
                              <w:szCs w:val="22"/>
                              <w14:ligatures w14:val="none"/>
                            </w:rPr>
                          </w:pPr>
                          <w:r w:rsidRPr="0011161E">
                            <w:rPr>
                              <w:rFonts w:ascii="Aptos" w:hAnsi="Aptos"/>
                              <w:color w:val="000000"/>
                              <w:kern w:val="24"/>
                              <w:szCs w:val="22"/>
                            </w:rPr>
                            <w:t>Span: 2</w:t>
                          </w:r>
                        </w:p>
                      </w:txbxContent>
                    </v:textbox>
                  </v:rect>
                </v:group>
                <v:rect id="Rectangle 6" o:spid="_x0000_s1075" style="position:absolute;top:1638;width:27959;height:51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" fillcolor="#f2f2f2 [3052]" stroked="f" strokeweight="1pt"/>
                <v:rect id="Rectangle 20" o:spid="_x0000_s1076" style="position:absolute;left:1162;width:20714;height:4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" fillcolor="#0f4761 [2404]" stroked="f" strokeweight="1pt">
                  <v:textbox>
                    <w:txbxContent>
                      <w:p w14:paraId="2735BD76" w14:textId="77777777" w:rsidR="00CF5BC5" w:rsidRPr="0011161E" w:rsidRDefault="00CF5BC5" w:rsidP="00CF5BC5">
                        <w:pPr>
                          <w:jc w:val="center"/>
                          <w:textAlignment w:val="baseline"/>
                          <w:rPr>
                            <w:rFonts w:ascii="Aptos" w:hAnsi="Aptos"/>
                            <w:color w:val="FFFFFF"/>
                            <w:kern w:val="24"/>
                            <w:szCs w:val="22"/>
                            <w14:ligatures w14:val="none"/>
                          </w:rPr>
                        </w:pPr>
                        <w:r w:rsidRPr="0011161E">
                          <w:rPr>
                            <w:rFonts w:ascii="Aptos" w:hAnsi="Aptos"/>
                            <w:color w:val="FFFFFF"/>
                            <w:kern w:val="24"/>
                            <w:szCs w:val="22"/>
                          </w:rPr>
                          <w:t xml:space="preserve">Secretary </w:t>
                        </w:r>
                      </w:p>
                    </w:txbxContent>
                  </v:textbox>
                </v:rect>
                <v:group id="Group 27" o:spid="_x0000_s1077" style="position:absolute;left:1321;top:13002;width:20548;height:7738" coordorigin="17764,9578" coordsize="12085,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">
                  <v:rect id="Rectangle 1184453058" o:spid="_x0000_s1078" style="position:absolute;left:17764;top:9578;width:12085;height:2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" fillcolor="#0f4761 [2404]" stroked="f" strokeweight="1pt">
                    <v:textbox>
                      <w:txbxContent>
                        <w:p w14:paraId="53B21708" w14:textId="77777777" w:rsidR="00CF5BC5" w:rsidRPr="0011161E" w:rsidRDefault="00CF5BC5" w:rsidP="00CF5BC5">
                          <w:pPr>
                            <w:jc w:val="center"/>
                            <w:textAlignment w:val="baseline"/>
                            <w:rPr>
                              <w:rFonts w:ascii="Aptos" w:hAnsi="Aptos"/>
                              <w:color w:val="FFFFFF"/>
                              <w:kern w:val="24"/>
                              <w:szCs w:val="22"/>
                              <w14:ligatures w14:val="none"/>
                            </w:rPr>
                          </w:pPr>
                          <w:r w:rsidRPr="0011161E">
                            <w:rPr>
                              <w:rFonts w:ascii="Aptos" w:hAnsi="Aptos"/>
                              <w:color w:val="FFFFFF"/>
                              <w:kern w:val="24"/>
                              <w:szCs w:val="22"/>
                            </w:rPr>
                            <w:t>Assistant Deputy Secretary</w:t>
                          </w:r>
                        </w:p>
                      </w:txbxContent>
                    </v:textbox>
                  </v:rect>
                  <v:rect id="Rectangle 421880527" o:spid="_x0000_s1079" style="position:absolute;left:24586;top:11736;width:5263;height:1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" fillcolor="#c1e4f5 [660]" stroked="f" strokeweight="1pt">
                    <v:textbox>
                      <w:txbxContent>
                        <w:p w14:paraId="722A6C77" w14:textId="77777777" w:rsidR="00CF5BC5" w:rsidRPr="0011161E" w:rsidRDefault="00CF5BC5" w:rsidP="00CF5BC5">
                          <w:pPr>
                            <w:jc w:val="center"/>
                            <w:textAlignment w:val="baseline"/>
                            <w:rPr>
                              <w:rFonts w:ascii="Aptos" w:hAnsi="Aptos"/>
                              <w:color w:val="000000"/>
                              <w:kern w:val="24"/>
                              <w:szCs w:val="22"/>
                              <w14:ligatures w14:val="none"/>
                            </w:rPr>
                          </w:pPr>
                          <w:r w:rsidRPr="0011161E">
                            <w:rPr>
                              <w:rFonts w:ascii="Aptos" w:hAnsi="Aptos"/>
                              <w:color w:val="000000"/>
                              <w:kern w:val="24"/>
                              <w:szCs w:val="22"/>
                            </w:rPr>
                            <w:t>Span: 7</w:t>
                          </w:r>
                        </w:p>
                      </w:txbxContent>
                    </v:textbox>
                  </v:rect>
                </v:group>
                <v:group id="Group 30" o:spid="_x0000_s1080" style="position:absolute;left:1268;top:5232;width:20555;height:7283" coordorigin="17764,5193" coordsize="12085,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">
                  <v:rect id="Rectangle 1992631620" o:spid="_x0000_s1081" style="position:absolute;left:17764;top:5193;width:12085;height:2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" fillcolor="#0f4761 [2404]" stroked="f" strokeweight="1pt">
                    <v:textbox>
                      <w:txbxContent>
                        <w:p w14:paraId="608FF3E9" w14:textId="77777777" w:rsidR="00CF5BC5" w:rsidRPr="0011161E" w:rsidRDefault="00CF5BC5" w:rsidP="00CF5BC5">
                          <w:pPr>
                            <w:jc w:val="center"/>
                            <w:textAlignment w:val="baseline"/>
                            <w:rPr>
                              <w:rFonts w:ascii="Aptos" w:hAnsi="Aptos"/>
                              <w:color w:val="FFFFFF"/>
                              <w:kern w:val="24"/>
                              <w:szCs w:val="22"/>
                              <w14:ligatures w14:val="none"/>
                            </w:rPr>
                          </w:pPr>
                          <w:r w:rsidRPr="0011161E">
                            <w:rPr>
                              <w:rFonts w:ascii="Aptos" w:hAnsi="Aptos"/>
                              <w:color w:val="FFFFFF"/>
                              <w:kern w:val="24"/>
                              <w:szCs w:val="22"/>
                            </w:rPr>
                            <w:t>Deputy Secretary</w:t>
                          </w:r>
                        </w:p>
                      </w:txbxContent>
                    </v:textbox>
                  </v:rect>
                  <v:rect id="Rectangle 712201285" o:spid="_x0000_s1082" style="position:absolute;left:24587;top:7343;width:5262;height:1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" fillcolor="#c1e4f5 [660]" stroked="f" strokeweight="1pt">
                    <v:textbox>
                      <w:txbxContent>
                        <w:p w14:paraId="0D8D1407" w14:textId="77777777" w:rsidR="00CF5BC5" w:rsidRPr="0011161E" w:rsidRDefault="00CF5BC5" w:rsidP="00CF5BC5">
                          <w:pPr>
                            <w:jc w:val="center"/>
                            <w:textAlignment w:val="baseline"/>
                            <w:rPr>
                              <w:rFonts w:ascii="Aptos" w:hAnsi="Aptos"/>
                              <w:color w:val="000000"/>
                              <w:kern w:val="24"/>
                              <w:szCs w:val="22"/>
                              <w14:ligatures w14:val="none"/>
                            </w:rPr>
                          </w:pPr>
                          <w:r w:rsidRPr="0011161E">
                            <w:rPr>
                              <w:rFonts w:ascii="Aptos" w:hAnsi="Aptos"/>
                              <w:color w:val="000000"/>
                              <w:kern w:val="24"/>
                              <w:szCs w:val="22"/>
                            </w:rPr>
                            <w:t>Span: 6</w:t>
                          </w:r>
                        </w:p>
                      </w:txbxContent>
                    </v:textbox>
                  </v:rect>
                </v:group>
                <v:rect id="Rectangle 33" o:spid="_x0000_s1083" style="position:absolute;left:1268;top:46618;width:20548;height:4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" fillcolor="#0f4761 [2404]" stroked="f" strokeweight="1pt">
                  <v:textbox>
                    <w:txbxContent>
                      <w:p w14:paraId="784616F9" w14:textId="77777777" w:rsidR="00CF5BC5" w:rsidRPr="0011161E" w:rsidRDefault="00CF5BC5" w:rsidP="00CF5BC5">
                        <w:pPr>
                          <w:jc w:val="center"/>
                          <w:textAlignment w:val="baseline"/>
                          <w:rPr>
                            <w:rFonts w:ascii="Aptos" w:hAnsi="Aptos"/>
                            <w:color w:val="FFFFFF"/>
                            <w:kern w:val="24"/>
                            <w:szCs w:val="22"/>
                            <w14:ligatures w14:val="none"/>
                          </w:rPr>
                        </w:pPr>
                        <w:r w:rsidRPr="0011161E">
                          <w:rPr>
                            <w:rFonts w:ascii="Aptos" w:hAnsi="Aptos"/>
                            <w:color w:val="FFFFFF"/>
                            <w:kern w:val="24"/>
                            <w:szCs w:val="22"/>
                          </w:rPr>
                          <w:t xml:space="preserve">Policy and program staff </w:t>
                        </w:r>
                      </w:p>
                    </w:txbxContent>
                  </v:textbox>
                </v:rect>
                <v:group id="Group 27" o:spid="_x0000_s1084" style="position:absolute;left:1321;top:21353;width:20555;height:16162" coordorigin="18016,9610" coordsize="12089,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">
                  <v:rect id="Rectangle 483981558" o:spid="_x0000_s1085" style="position:absolute;left:18016;top:9610;width:12086;height:2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" fillcolor="#0f4761 [2404]" stroked="f" strokeweight="1pt">
                    <v:textbox>
                      <w:txbxContent>
                        <w:p w14:paraId="33EC44C5" w14:textId="77777777" w:rsidR="00CF5BC5" w:rsidRPr="0011161E" w:rsidRDefault="00CF5BC5" w:rsidP="00CF5BC5">
                          <w:pPr>
                            <w:jc w:val="center"/>
                            <w:textAlignment w:val="baseline"/>
                            <w:rPr>
                              <w:rFonts w:ascii="Aptos" w:hAnsi="Aptos"/>
                              <w:color w:val="FFFFFF"/>
                              <w:kern w:val="24"/>
                              <w:szCs w:val="22"/>
                              <w14:ligatures w14:val="none"/>
                            </w:rPr>
                          </w:pPr>
                          <w:r w:rsidRPr="0011161E">
                            <w:rPr>
                              <w:rFonts w:ascii="Aptos" w:hAnsi="Aptos"/>
                              <w:color w:val="FFFFFF"/>
                              <w:kern w:val="24"/>
                              <w:szCs w:val="22"/>
                            </w:rPr>
                            <w:t>Executive Director</w:t>
                          </w:r>
                        </w:p>
                      </w:txbxContent>
                    </v:textbox>
                  </v:rect>
                  <v:rect id="Rectangle 1580651944" o:spid="_x0000_s1086" style="position:absolute;left:24839;top:11764;width:5262;height:1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" fillcolor="#c1e4f5 [660]" stroked="f" strokeweight="1pt">
                    <v:textbox>
                      <w:txbxContent>
                        <w:p w14:paraId="0A170C37" w14:textId="77777777" w:rsidR="00CF5BC5" w:rsidRPr="0011161E" w:rsidRDefault="00CF5BC5" w:rsidP="00CF5BC5">
                          <w:pPr>
                            <w:jc w:val="center"/>
                            <w:textAlignment w:val="baseline"/>
                            <w:rPr>
                              <w:rFonts w:ascii="Aptos" w:hAnsi="Aptos"/>
                              <w:color w:val="000000"/>
                              <w:kern w:val="24"/>
                              <w:szCs w:val="22"/>
                              <w14:ligatures w14:val="none"/>
                            </w:rPr>
                          </w:pPr>
                          <w:r w:rsidRPr="0011161E">
                            <w:rPr>
                              <w:rFonts w:ascii="Aptos" w:hAnsi="Aptos"/>
                              <w:color w:val="000000"/>
                              <w:kern w:val="24"/>
                              <w:szCs w:val="22"/>
                            </w:rPr>
                            <w:t>Span: 3</w:t>
                          </w:r>
                        </w:p>
                      </w:txbxContent>
                    </v:textbox>
                  </v:rect>
                  <v:rect id="Rectangle 1950117094" o:spid="_x0000_s1087" style="position:absolute;left:18020;top:13449;width:12086;height:2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" fillcolor="#0f4761 [2404]" stroked="f" strokeweight="1pt">
                    <v:textbox>
                      <w:txbxContent>
                        <w:p w14:paraId="313C5ADF" w14:textId="77777777" w:rsidR="00CF5BC5" w:rsidRPr="0011161E" w:rsidRDefault="00CF5BC5" w:rsidP="00CF5BC5">
                          <w:pPr>
                            <w:jc w:val="center"/>
                            <w:textAlignment w:val="baseline"/>
                            <w:rPr>
                              <w:rFonts w:ascii="Aptos" w:hAnsi="Aptos"/>
                              <w:color w:val="FFFFFF"/>
                              <w:kern w:val="24"/>
                              <w:szCs w:val="22"/>
                              <w14:ligatures w14:val="none"/>
                            </w:rPr>
                          </w:pPr>
                          <w:r w:rsidRPr="0011161E">
                            <w:rPr>
                              <w:rFonts w:ascii="Aptos" w:hAnsi="Aptos"/>
                              <w:color w:val="FFFFFF"/>
                              <w:kern w:val="24"/>
                              <w:szCs w:val="22"/>
                            </w:rPr>
                            <w:t>Director</w:t>
                          </w:r>
                        </w:p>
                      </w:txbxContent>
                    </v:textbox>
                  </v:rect>
                  <v:rect id="Rectangle 979041585" o:spid="_x0000_s1088" style="position:absolute;left:24844;top:15597;width:5262;height:1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" fillcolor="#c1e4f5 [660]" stroked="f" strokeweight="1pt">
                    <v:textbox>
                      <w:txbxContent>
                        <w:p w14:paraId="7376DC06" w14:textId="77777777" w:rsidR="00CF5BC5" w:rsidRPr="0011161E" w:rsidRDefault="00CF5BC5" w:rsidP="00CF5BC5">
                          <w:pPr>
                            <w:jc w:val="center"/>
                            <w:textAlignment w:val="baseline"/>
                            <w:rPr>
                              <w:rFonts w:ascii="Aptos" w:hAnsi="Aptos"/>
                              <w:color w:val="000000"/>
                              <w:kern w:val="24"/>
                              <w:szCs w:val="22"/>
                              <w14:ligatures w14:val="none"/>
                            </w:rPr>
                          </w:pPr>
                          <w:r w:rsidRPr="0011161E">
                            <w:rPr>
                              <w:rFonts w:ascii="Aptos" w:hAnsi="Aptos"/>
                              <w:color w:val="000000"/>
                              <w:kern w:val="24"/>
                              <w:szCs w:val="22"/>
                            </w:rPr>
                            <w:t>Span: 6</w:t>
                          </w:r>
                        </w:p>
                      </w:txbxContent>
                    </v:textbox>
                  </v:rect>
                </v:group>
                <v:group id="Group 27" o:spid="_x0000_s1089" style="position:absolute;left:1268;top:38055;width:20549;height:7725" coordorigin="17764,9578" coordsize="12085,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">
                  <v:rect id="Rectangle 1198441424" o:spid="_x0000_s1090" style="position:absolute;left:17764;top:9578;width:12085;height:2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" fillcolor="#0f4761 [2404]" stroked="f" strokeweight="1pt">
                    <v:textbox>
                      <w:txbxContent>
                        <w:p w14:paraId="31E3C92B" w14:textId="77777777" w:rsidR="00CF5BC5" w:rsidRPr="0011161E" w:rsidRDefault="00CF5BC5" w:rsidP="00CF5BC5">
                          <w:pPr>
                            <w:jc w:val="center"/>
                            <w:textAlignment w:val="baseline"/>
                            <w:rPr>
                              <w:rFonts w:ascii="Aptos" w:hAnsi="Aptos"/>
                              <w:color w:val="FFFFFF"/>
                              <w:kern w:val="24"/>
                              <w:szCs w:val="22"/>
                              <w14:ligatures w14:val="none"/>
                            </w:rPr>
                          </w:pPr>
                          <w:r w:rsidRPr="0011161E">
                            <w:rPr>
                              <w:rFonts w:ascii="Aptos" w:hAnsi="Aptos"/>
                              <w:color w:val="FFFFFF"/>
                              <w:kern w:val="24"/>
                              <w:szCs w:val="22"/>
                            </w:rPr>
                            <w:t>Manager</w:t>
                          </w:r>
                        </w:p>
                      </w:txbxContent>
                    </v:textbox>
                  </v:rect>
                  <v:rect id="Rectangle 1560171623" o:spid="_x0000_s1091" style="position:absolute;left:24586;top:11730;width:5263;height:1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" fillcolor="#c1e4f5 [660]" stroked="f" strokeweight="1pt">
                    <v:textbox>
                      <w:txbxContent>
                        <w:p w14:paraId="0AA93B2F" w14:textId="77777777" w:rsidR="00CF5BC5" w:rsidRPr="0011161E" w:rsidRDefault="00CF5BC5" w:rsidP="00CF5BC5">
                          <w:pPr>
                            <w:jc w:val="center"/>
                            <w:textAlignment w:val="baseline"/>
                            <w:rPr>
                              <w:rFonts w:ascii="Aptos" w:hAnsi="Aptos"/>
                              <w:color w:val="000000"/>
                              <w:kern w:val="24"/>
                              <w:szCs w:val="22"/>
                              <w14:ligatures w14:val="none"/>
                            </w:rPr>
                          </w:pPr>
                          <w:r w:rsidRPr="0011161E">
                            <w:rPr>
                              <w:rFonts w:ascii="Aptos" w:hAnsi="Aptos"/>
                              <w:color w:val="000000"/>
                              <w:kern w:val="24"/>
                              <w:szCs w:val="22"/>
                            </w:rPr>
                            <w:t>Span</w:t>
                          </w:r>
                          <w:proofErr w:type="gramStart"/>
                          <w:r w:rsidRPr="0011161E">
                            <w:rPr>
                              <w:rFonts w:ascii="Aptos" w:hAnsi="Aptos"/>
                              <w:color w:val="000000"/>
                              <w:kern w:val="24"/>
                              <w:szCs w:val="22"/>
                            </w:rPr>
                            <w:t>: ?</w:t>
                          </w:r>
                          <w:proofErr w:type="gramEnd"/>
                        </w:p>
                      </w:txbxContent>
                    </v:textbox>
                  </v:rect>
                </v:group>
                <w10:wrap type="topAndBottom"/>
              </v:group>
            </w:pict>
          </mc:Fallback>
        </mc:AlternateContent>
      </w:r>
      <w:r w:rsidR="004D26BC" w:rsidRPr="00BC5A7B">
        <w:t xml:space="preserve">Figure </w:t>
      </w:r>
      <w:r w:rsidR="00525B20">
        <w:t>5</w:t>
      </w:r>
      <w:r w:rsidR="004D26BC" w:rsidRPr="00BC5A7B">
        <w:t>.</w:t>
      </w:r>
      <w:r w:rsidR="009D5FCD">
        <w:fldChar w:fldCharType="begin"/>
      </w:r>
      <w:r w:rsidR="009D5FCD">
        <w:instrText xml:space="preserve"> SEQ Figure \* ARABIC \s 1 </w:instrText>
      </w:r>
      <w:r w:rsidR="009D5FCD">
        <w:fldChar w:fldCharType="separate"/>
      </w:r>
      <w:r w:rsidR="009D1283">
        <w:rPr>
          <w:noProof/>
        </w:rPr>
        <w:t>3</w:t>
      </w:r>
      <w:r w:rsidR="009D5FCD">
        <w:rPr>
          <w:noProof/>
        </w:rPr>
        <w:fldChar w:fldCharType="end"/>
      </w:r>
      <w:r w:rsidR="004D26BC" w:rsidRPr="00BC5A7B">
        <w:t>: Current reporting layers in two large VPS departments</w:t>
      </w:r>
    </w:p>
    <w:p w14:paraId="188C525D" w14:textId="59AF927E" w:rsidR="004D26BC" w:rsidRDefault="004D26BC" w:rsidP="00BE2C83">
      <w:pPr>
        <w:pStyle w:val="Caption"/>
        <w:spacing w:before="480" w:after="120"/>
      </w:pPr>
      <w:r w:rsidRPr="00926946">
        <w:t>Source: Independent Review</w:t>
      </w:r>
      <w:r>
        <w:t xml:space="preserve"> of the VPS, 2025</w:t>
      </w:r>
    </w:p>
    <w:p w14:paraId="5A4078A6" w14:textId="77777777" w:rsidR="004D26BC" w:rsidRPr="00926946" w:rsidRDefault="004D26BC" w:rsidP="00841CBD">
      <w:pPr>
        <w:pStyle w:val="Caption"/>
      </w:pPr>
      <w:r>
        <w:t>Note: Data issues did not allow the Review to determine manager spans of control in some departments.</w:t>
      </w:r>
    </w:p>
    <w:p w14:paraId="52D7645A" w14:textId="77777777" w:rsidR="00F8313F" w:rsidRDefault="00F8313F" w:rsidP="004B0A13">
      <w:pPr>
        <w:rPr>
          <w:szCs w:val="22"/>
        </w:rPr>
        <w:sectPr w:rsidR="00F8313F" w:rsidSect="00AE6104">
          <w:type w:val="continuous"/>
          <w:pgSz w:w="11906" w:h="16838"/>
          <w:pgMar w:top="1440" w:right="1440" w:bottom="1440" w:left="1440" w:header="708" w:footer="708" w:gutter="0"/>
          <w:cols w:space="708"/>
          <w:docGrid w:linePitch="360"/>
          <w15:footnoteColumns w:val="1"/>
        </w:sectPr>
      </w:pPr>
    </w:p>
    <w:p w14:paraId="7661615A" w14:textId="22C98D8C" w:rsidR="004D26BC" w:rsidRPr="00E1432E" w:rsidRDefault="004D26BC" w:rsidP="004B0A13">
      <w:pPr>
        <w:rPr>
          <w:szCs w:val="22"/>
        </w:rPr>
      </w:pPr>
      <w:r w:rsidRPr="00E1432E">
        <w:rPr>
          <w:szCs w:val="22"/>
        </w:rPr>
        <w:t xml:space="preserve">While there is no doubt the VPS is </w:t>
      </w:r>
      <w:r>
        <w:rPr>
          <w:szCs w:val="22"/>
        </w:rPr>
        <w:t xml:space="preserve">generally </w:t>
      </w:r>
      <w:r w:rsidRPr="00E1432E">
        <w:rPr>
          <w:szCs w:val="22"/>
        </w:rPr>
        <w:t>working hard</w:t>
      </w:r>
      <w:r>
        <w:rPr>
          <w:szCs w:val="22"/>
        </w:rPr>
        <w:t>, e</w:t>
      </w:r>
      <w:r w:rsidRPr="00E1432E">
        <w:rPr>
          <w:szCs w:val="22"/>
        </w:rPr>
        <w:t>xcessive hierarch</w:t>
      </w:r>
      <w:r>
        <w:rPr>
          <w:szCs w:val="22"/>
        </w:rPr>
        <w:t>y and</w:t>
      </w:r>
      <w:r w:rsidRPr="00E1432E">
        <w:rPr>
          <w:szCs w:val="22"/>
        </w:rPr>
        <w:t xml:space="preserve"> layering create unnecessary distance between decision-makers and advisors. It</w:t>
      </w:r>
      <w:r w:rsidR="00F96E39">
        <w:rPr>
          <w:szCs w:val="22"/>
        </w:rPr>
        <w:t> </w:t>
      </w:r>
      <w:r w:rsidRPr="00E1432E">
        <w:rPr>
          <w:szCs w:val="22"/>
        </w:rPr>
        <w:t xml:space="preserve">slows decisions, reduces agility, blurs accountability and inhibits learning. It also limits career pathways and </w:t>
      </w:r>
      <w:r>
        <w:rPr>
          <w:szCs w:val="22"/>
        </w:rPr>
        <w:t>places a higher priority on risk avoidance</w:t>
      </w:r>
      <w:r w:rsidRPr="00E1432E">
        <w:rPr>
          <w:szCs w:val="22"/>
        </w:rPr>
        <w:t>, which ultimately weakens capability and culture. It also costs more.</w:t>
      </w:r>
    </w:p>
    <w:p w14:paraId="5183488B" w14:textId="6FC5F944" w:rsidR="001C51CE" w:rsidRDefault="004D26BC" w:rsidP="004B0A13">
      <w:pPr>
        <w:rPr>
          <w:szCs w:val="22"/>
        </w:rPr>
      </w:pPr>
      <w:r w:rsidRPr="00E1432E">
        <w:rPr>
          <w:szCs w:val="22"/>
        </w:rPr>
        <w:t xml:space="preserve">The principle of subsidiarity holds that decision-making should be delegated to the lowest appropriate level, but the Review finds this principle has eroded somewhat over time, with decision-making being pushed up the hierarchy. The Review’s </w:t>
      </w:r>
      <w:r>
        <w:rPr>
          <w:szCs w:val="22"/>
        </w:rPr>
        <w:t>discussions</w:t>
      </w:r>
      <w:r w:rsidRPr="00E1432E">
        <w:rPr>
          <w:szCs w:val="22"/>
        </w:rPr>
        <w:t xml:space="preserve"> with </w:t>
      </w:r>
      <w:r>
        <w:rPr>
          <w:szCs w:val="22"/>
        </w:rPr>
        <w:t>d</w:t>
      </w:r>
      <w:r w:rsidRPr="00E1432E">
        <w:rPr>
          <w:szCs w:val="22"/>
        </w:rPr>
        <w:t>epartment</w:t>
      </w:r>
      <w:r>
        <w:rPr>
          <w:szCs w:val="22"/>
        </w:rPr>
        <w:t>al</w:t>
      </w:r>
      <w:r w:rsidRPr="00E1432E">
        <w:rPr>
          <w:szCs w:val="22"/>
        </w:rPr>
        <w:t xml:space="preserve"> officers and</w:t>
      </w:r>
      <w:r w:rsidR="002B7C76">
        <w:rPr>
          <w:szCs w:val="22"/>
        </w:rPr>
        <w:t> </w:t>
      </w:r>
      <w:r w:rsidRPr="00E1432E">
        <w:rPr>
          <w:szCs w:val="22"/>
        </w:rPr>
        <w:t xml:space="preserve">ministers </w:t>
      </w:r>
      <w:proofErr w:type="gramStart"/>
      <w:r w:rsidRPr="00E1432E">
        <w:rPr>
          <w:szCs w:val="22"/>
        </w:rPr>
        <w:t>confirm</w:t>
      </w:r>
      <w:proofErr w:type="gramEnd"/>
      <w:r w:rsidRPr="00E1432E">
        <w:rPr>
          <w:szCs w:val="22"/>
        </w:rPr>
        <w:t xml:space="preserve"> this change.</w:t>
      </w:r>
    </w:p>
    <w:p w14:paraId="783AB6A0" w14:textId="77777777" w:rsidR="008A3A21" w:rsidRDefault="008A3A21" w:rsidP="004B0A13">
      <w:pPr>
        <w:rPr>
          <w:szCs w:val="22"/>
        </w:rPr>
      </w:pPr>
      <w:r>
        <w:rPr>
          <w:szCs w:val="22"/>
        </w:rPr>
        <w:br w:type="page"/>
      </w:r>
    </w:p>
    <w:p w14:paraId="165454CF" w14:textId="6AB33665" w:rsidR="004D26BC" w:rsidRPr="00E1432E" w:rsidRDefault="004D26BC" w:rsidP="004B0A13">
      <w:pPr>
        <w:rPr>
          <w:szCs w:val="22"/>
        </w:rPr>
      </w:pPr>
      <w:r w:rsidRPr="00E1432E">
        <w:rPr>
          <w:szCs w:val="22"/>
        </w:rPr>
        <w:lastRenderedPageBreak/>
        <w:t>The Review has heard that</w:t>
      </w:r>
      <w:r>
        <w:rPr>
          <w:szCs w:val="22"/>
        </w:rPr>
        <w:t>,</w:t>
      </w:r>
      <w:r w:rsidRPr="00E1432E">
        <w:rPr>
          <w:szCs w:val="22"/>
        </w:rPr>
        <w:t xml:space="preserve"> over time</w:t>
      </w:r>
      <w:r>
        <w:rPr>
          <w:szCs w:val="22"/>
        </w:rPr>
        <w:t>,</w:t>
      </w:r>
      <w:r w:rsidRPr="00E1432E">
        <w:rPr>
          <w:szCs w:val="22"/>
        </w:rPr>
        <w:t xml:space="preserve"> staff</w:t>
      </w:r>
      <w:r w:rsidR="00480582">
        <w:rPr>
          <w:szCs w:val="22"/>
        </w:rPr>
        <w:t> </w:t>
      </w:r>
      <w:r w:rsidRPr="00E1432E">
        <w:rPr>
          <w:szCs w:val="22"/>
        </w:rPr>
        <w:t>at VPS</w:t>
      </w:r>
      <w:r>
        <w:rPr>
          <w:szCs w:val="22"/>
        </w:rPr>
        <w:t xml:space="preserve">5 and 6 </w:t>
      </w:r>
      <w:r w:rsidRPr="00E1432E">
        <w:rPr>
          <w:szCs w:val="22"/>
        </w:rPr>
        <w:t>level</w:t>
      </w:r>
      <w:r>
        <w:rPr>
          <w:szCs w:val="22"/>
        </w:rPr>
        <w:t>s have been disempowered by increased layers of hierarchy and oversight, resulting in a diminution of their professional agency and discretion</w:t>
      </w:r>
      <w:r w:rsidRPr="00E1432E">
        <w:rPr>
          <w:szCs w:val="22"/>
        </w:rPr>
        <w:t xml:space="preserve">. These </w:t>
      </w:r>
      <w:r w:rsidRPr="008C47C5">
        <w:rPr>
          <w:szCs w:val="22"/>
        </w:rPr>
        <w:t>are well</w:t>
      </w:r>
      <w:r w:rsidRPr="00E1432E">
        <w:rPr>
          <w:szCs w:val="22"/>
        </w:rPr>
        <w:t xml:space="preserve"> paid, senior roles and should be </w:t>
      </w:r>
      <w:r>
        <w:rPr>
          <w:szCs w:val="22"/>
        </w:rPr>
        <w:t>recognised as such through appropriate delegation of responsibility</w:t>
      </w:r>
      <w:r w:rsidRPr="00E1432E">
        <w:rPr>
          <w:szCs w:val="22"/>
        </w:rPr>
        <w:t xml:space="preserve">. </w:t>
      </w:r>
    </w:p>
    <w:p w14:paraId="3C46375B" w14:textId="77777777" w:rsidR="004D26BC" w:rsidRPr="00484C8E" w:rsidRDefault="004D26BC" w:rsidP="004B0A13">
      <w:pPr>
        <w:rPr>
          <w:szCs w:val="22"/>
        </w:rPr>
      </w:pPr>
      <w:r w:rsidRPr="00E1432E">
        <w:rPr>
          <w:szCs w:val="22"/>
        </w:rPr>
        <w:t xml:space="preserve">Realigning </w:t>
      </w:r>
      <w:r>
        <w:rPr>
          <w:szCs w:val="22"/>
        </w:rPr>
        <w:t>departmental structures</w:t>
      </w:r>
      <w:r w:rsidRPr="00E1432E">
        <w:rPr>
          <w:szCs w:val="22"/>
        </w:rPr>
        <w:t xml:space="preserve"> to reflect sound organisational design principles will not only support more efficient and effective service delivery, </w:t>
      </w:r>
      <w:proofErr w:type="gramStart"/>
      <w:r w:rsidRPr="00E1432E">
        <w:rPr>
          <w:szCs w:val="22"/>
        </w:rPr>
        <w:t>it</w:t>
      </w:r>
      <w:proofErr w:type="gramEnd"/>
      <w:r w:rsidRPr="00E1432E">
        <w:rPr>
          <w:szCs w:val="22"/>
        </w:rPr>
        <w:t xml:space="preserve"> will also help embed a purpose-driven, accountable culture that cultivates future public service leaders.</w:t>
      </w:r>
    </w:p>
    <w:p w14:paraId="2C31A750" w14:textId="77777777" w:rsidR="00F8313F" w:rsidRDefault="00F8313F" w:rsidP="00514DAC">
      <w:pPr>
        <w:pStyle w:val="Heading2"/>
        <w:sectPr w:rsidR="00F8313F" w:rsidSect="00F8313F">
          <w:type w:val="continuous"/>
          <w:pgSz w:w="11906" w:h="16838"/>
          <w:pgMar w:top="1440" w:right="1440" w:bottom="1440" w:left="1440" w:header="708" w:footer="708" w:gutter="0"/>
          <w:cols w:num="2" w:space="708"/>
          <w:docGrid w:linePitch="360"/>
          <w15:footnoteColumns w:val="1"/>
        </w:sectPr>
      </w:pPr>
      <w:bookmarkStart w:id="58" w:name="_Toc202523981"/>
    </w:p>
    <w:p w14:paraId="777156CD" w14:textId="77777777" w:rsidR="00514DAC" w:rsidRDefault="001F4A1E" w:rsidP="00514DAC">
      <w:pPr>
        <w:pStyle w:val="Heading2"/>
      </w:pPr>
      <w:bookmarkStart w:id="59" w:name="_Toc214912001"/>
      <w:r>
        <w:t xml:space="preserve">5.3   </w:t>
      </w:r>
      <w:r w:rsidR="004D26BC" w:rsidRPr="00531DFF">
        <w:t xml:space="preserve">Spans and layers: </w:t>
      </w:r>
      <w:r w:rsidR="00C9200F">
        <w:t>good</w:t>
      </w:r>
      <w:r w:rsidR="004D26BC" w:rsidRPr="00531DFF">
        <w:t xml:space="preserve"> organisational design</w:t>
      </w:r>
      <w:bookmarkEnd w:id="58"/>
      <w:bookmarkEnd w:id="59"/>
      <w:r w:rsidR="00514DAC">
        <w:t xml:space="preserve"> </w:t>
      </w:r>
    </w:p>
    <w:p w14:paraId="7F7D1494" w14:textId="77777777" w:rsidR="008A3A21" w:rsidRDefault="008A3A21" w:rsidP="004B0A13">
      <w:pPr>
        <w:rPr>
          <w:szCs w:val="22"/>
        </w:rPr>
        <w:sectPr w:rsidR="008A3A21" w:rsidSect="00AE6104">
          <w:type w:val="continuous"/>
          <w:pgSz w:w="11906" w:h="16838"/>
          <w:pgMar w:top="1440" w:right="1440" w:bottom="1440" w:left="1440" w:header="708" w:footer="708" w:gutter="0"/>
          <w:cols w:space="708"/>
          <w:docGrid w:linePitch="360"/>
          <w15:footnoteColumns w:val="1"/>
        </w:sectPr>
      </w:pPr>
    </w:p>
    <w:p w14:paraId="14518B79" w14:textId="0C782007" w:rsidR="004D26BC" w:rsidRPr="00E1432E" w:rsidRDefault="004D26BC" w:rsidP="004B0A13">
      <w:pPr>
        <w:rPr>
          <w:szCs w:val="22"/>
        </w:rPr>
      </w:pPr>
      <w:r w:rsidRPr="00CA41D7">
        <w:rPr>
          <w:szCs w:val="22"/>
        </w:rPr>
        <w:t xml:space="preserve">Analysis of good organisational design research and practice undertaken by the Review confirms </w:t>
      </w:r>
      <w:r>
        <w:rPr>
          <w:szCs w:val="22"/>
        </w:rPr>
        <w:t>that it</w:t>
      </w:r>
      <w:r w:rsidRPr="00CA41D7">
        <w:rPr>
          <w:szCs w:val="22"/>
        </w:rPr>
        <w:t xml:space="preserve"> is essential to enable clear decision-making, accountability, efficiency and a high-performing public service culture. When done well,</w:t>
      </w:r>
      <w:r>
        <w:rPr>
          <w:szCs w:val="22"/>
        </w:rPr>
        <w:t xml:space="preserve"> appropriate</w:t>
      </w:r>
      <w:r w:rsidRPr="00CA41D7">
        <w:rPr>
          <w:szCs w:val="22"/>
        </w:rPr>
        <w:t xml:space="preserve"> organisational design supports innovation, agility and effective service delivery</w:t>
      </w:r>
      <w:r>
        <w:rPr>
          <w:szCs w:val="22"/>
        </w:rPr>
        <w:t>.</w:t>
      </w:r>
    </w:p>
    <w:p w14:paraId="176054BC" w14:textId="4848A181" w:rsidR="004D26BC" w:rsidRPr="00E1432E" w:rsidRDefault="004D26BC" w:rsidP="004B0A13">
      <w:pPr>
        <w:rPr>
          <w:szCs w:val="22"/>
        </w:rPr>
      </w:pPr>
      <w:r w:rsidRPr="00E1432E">
        <w:rPr>
          <w:szCs w:val="22"/>
        </w:rPr>
        <w:t>There are standard models to assist good organisational design</w:t>
      </w:r>
      <w:r>
        <w:rPr>
          <w:szCs w:val="22"/>
        </w:rPr>
        <w:t xml:space="preserve"> in the </w:t>
      </w:r>
      <w:proofErr w:type="gramStart"/>
      <w:r>
        <w:rPr>
          <w:szCs w:val="22"/>
        </w:rPr>
        <w:t>VPS</w:t>
      </w:r>
      <w:proofErr w:type="gramEnd"/>
      <w:r>
        <w:rPr>
          <w:szCs w:val="22"/>
        </w:rPr>
        <w:t xml:space="preserve"> but</w:t>
      </w:r>
      <w:r w:rsidRPr="00E1432E">
        <w:rPr>
          <w:szCs w:val="22"/>
        </w:rPr>
        <w:t xml:space="preserve"> </w:t>
      </w:r>
      <w:r>
        <w:rPr>
          <w:szCs w:val="22"/>
        </w:rPr>
        <w:t>structures must</w:t>
      </w:r>
      <w:r w:rsidRPr="00E1432E">
        <w:rPr>
          <w:szCs w:val="22"/>
        </w:rPr>
        <w:t xml:space="preserve"> be tailored to departmental function</w:t>
      </w:r>
      <w:r>
        <w:rPr>
          <w:szCs w:val="22"/>
        </w:rPr>
        <w:t xml:space="preserve">. </w:t>
      </w:r>
      <w:r w:rsidRPr="00E1432E">
        <w:rPr>
          <w:szCs w:val="22"/>
        </w:rPr>
        <w:t xml:space="preserve">The optimal span of control depends on work and context. The optimal number of layers is dependent on organisational complexity and size.  </w:t>
      </w:r>
    </w:p>
    <w:p w14:paraId="659F777A" w14:textId="77777777" w:rsidR="004D26BC" w:rsidRPr="00E1432E" w:rsidRDefault="004D26BC" w:rsidP="004B0A13">
      <w:pPr>
        <w:rPr>
          <w:szCs w:val="22"/>
        </w:rPr>
      </w:pPr>
      <w:r w:rsidRPr="00E1432E">
        <w:rPr>
          <w:szCs w:val="22"/>
        </w:rPr>
        <w:t>Departments and non-department</w:t>
      </w:r>
      <w:r>
        <w:rPr>
          <w:szCs w:val="22"/>
        </w:rPr>
        <w:t>al</w:t>
      </w:r>
      <w:r w:rsidRPr="00E1432E">
        <w:rPr>
          <w:szCs w:val="22"/>
        </w:rPr>
        <w:t xml:space="preserve"> entities vary in shape depending on their mix of service delivery, policy and oversight roles.</w:t>
      </w:r>
      <w:r w:rsidRPr="00E1432E" w:rsidDel="00516503">
        <w:rPr>
          <w:szCs w:val="22"/>
        </w:rPr>
        <w:t xml:space="preserve"> </w:t>
      </w:r>
      <w:r w:rsidRPr="00E1432E">
        <w:rPr>
          <w:szCs w:val="22"/>
        </w:rPr>
        <w:t xml:space="preserve">Nevertheless, it is conceptually possible to define and test model spans and layers for different functional areas and progressively close the gap between current structures and best practice. </w:t>
      </w:r>
    </w:p>
    <w:p w14:paraId="31B77297" w14:textId="6F153370" w:rsidR="004D26BC" w:rsidRDefault="004D26BC" w:rsidP="004B0A13">
      <w:pPr>
        <w:rPr>
          <w:szCs w:val="22"/>
        </w:rPr>
      </w:pPr>
      <w:r w:rsidRPr="00E1432E">
        <w:rPr>
          <w:szCs w:val="22"/>
        </w:rPr>
        <w:t>A more</w:t>
      </w:r>
      <w:r w:rsidRPr="00E1432E" w:rsidDel="00535E87">
        <w:rPr>
          <w:szCs w:val="22"/>
        </w:rPr>
        <w:t xml:space="preserve"> </w:t>
      </w:r>
      <w:r w:rsidRPr="00E1432E">
        <w:rPr>
          <w:szCs w:val="22"/>
        </w:rPr>
        <w:t xml:space="preserve">disciplined approach to spans and layers across the VPS would enable clearer </w:t>
      </w:r>
      <w:r w:rsidRPr="00E1432E">
        <w:rPr>
          <w:szCs w:val="22"/>
        </w:rPr>
        <w:t>career pathways, strengthen accountability, improve the effectiveness of leadership and deliver efficiencies.</w:t>
      </w:r>
      <w:r>
        <w:rPr>
          <w:szCs w:val="22"/>
        </w:rPr>
        <w:t xml:space="preserve"> </w:t>
      </w:r>
      <w:r w:rsidRPr="00E1432E">
        <w:rPr>
          <w:szCs w:val="22"/>
        </w:rPr>
        <w:t xml:space="preserve">A more balanced structure would </w:t>
      </w:r>
      <w:r>
        <w:rPr>
          <w:szCs w:val="22"/>
        </w:rPr>
        <w:t>also mean</w:t>
      </w:r>
      <w:r w:rsidRPr="00E1432E">
        <w:rPr>
          <w:szCs w:val="22"/>
        </w:rPr>
        <w:t xml:space="preserve"> that work is not unnecessarily escalated to higher levels. It</w:t>
      </w:r>
      <w:r w:rsidR="00254E00">
        <w:rPr>
          <w:szCs w:val="22"/>
        </w:rPr>
        <w:t> </w:t>
      </w:r>
      <w:r w:rsidRPr="00E1432E">
        <w:rPr>
          <w:szCs w:val="22"/>
        </w:rPr>
        <w:t>would help</w:t>
      </w:r>
      <w:r w:rsidRPr="00E1432E" w:rsidDel="00C7426A">
        <w:rPr>
          <w:szCs w:val="22"/>
        </w:rPr>
        <w:t xml:space="preserve"> </w:t>
      </w:r>
      <w:r w:rsidRPr="00E1432E">
        <w:rPr>
          <w:szCs w:val="22"/>
        </w:rPr>
        <w:t xml:space="preserve">restore the integrity of classification boundaries and reduce duplication of effort. It should speed up decision-making: moving from a watching culture to a doing culture.  </w:t>
      </w:r>
    </w:p>
    <w:p w14:paraId="7BF3F1A6" w14:textId="16519890" w:rsidR="00C970E5" w:rsidRDefault="004D26BC" w:rsidP="004B0A13">
      <w:pPr>
        <w:rPr>
          <w:szCs w:val="22"/>
        </w:rPr>
      </w:pPr>
      <w:r>
        <w:rPr>
          <w:szCs w:val="22"/>
        </w:rPr>
        <w:t>Box 5.1 describes recommended</w:t>
      </w:r>
      <w:r w:rsidRPr="00095B8E">
        <w:rPr>
          <w:szCs w:val="22"/>
        </w:rPr>
        <w:t xml:space="preserve"> </w:t>
      </w:r>
      <w:r>
        <w:rPr>
          <w:szCs w:val="22"/>
        </w:rPr>
        <w:t>guidelines as a starting point for future organisational design, depending on the functions undertaken by a department o</w:t>
      </w:r>
      <w:r w:rsidR="00B04DDB">
        <w:rPr>
          <w:szCs w:val="22"/>
        </w:rPr>
        <w:t>r</w:t>
      </w:r>
      <w:r>
        <w:rPr>
          <w:szCs w:val="22"/>
        </w:rPr>
        <w:t xml:space="preserve"> entity. </w:t>
      </w:r>
      <w:r w:rsidRPr="00E1432E" w:rsidDel="00705396">
        <w:rPr>
          <w:szCs w:val="22"/>
        </w:rPr>
        <w:t xml:space="preserve">These are drawn primarily from the Review’s work and other jurisdictions, including the Australian Public Service (APS), which has strong evidence-based guidelines. They are not prescriptive but provide a guide for departments to evaluate their structures </w:t>
      </w:r>
      <w:proofErr w:type="gramStart"/>
      <w:r w:rsidRPr="00E1432E" w:rsidDel="00705396">
        <w:rPr>
          <w:szCs w:val="22"/>
        </w:rPr>
        <w:t>in light of</w:t>
      </w:r>
      <w:proofErr w:type="gramEnd"/>
      <w:r w:rsidRPr="00E1432E" w:rsidDel="00705396">
        <w:rPr>
          <w:szCs w:val="22"/>
        </w:rPr>
        <w:t xml:space="preserve"> the work being delivered. These guidelines have assisted departmental </w:t>
      </w:r>
      <w:r w:rsidR="00053A79">
        <w:rPr>
          <w:szCs w:val="22"/>
        </w:rPr>
        <w:t>S</w:t>
      </w:r>
      <w:r w:rsidRPr="00E1432E" w:rsidDel="00705396">
        <w:rPr>
          <w:szCs w:val="22"/>
        </w:rPr>
        <w:t xml:space="preserve">ecretaries in other jurisdictions to assess </w:t>
      </w:r>
      <w:r w:rsidR="000C3C1B">
        <w:rPr>
          <w:szCs w:val="22"/>
        </w:rPr>
        <w:t>and clarify</w:t>
      </w:r>
      <w:r w:rsidRPr="00E1432E" w:rsidDel="00705396">
        <w:rPr>
          <w:szCs w:val="22"/>
        </w:rPr>
        <w:t xml:space="preserve"> their organisational structures</w:t>
      </w:r>
      <w:r w:rsidR="00475524">
        <w:rPr>
          <w:szCs w:val="22"/>
        </w:rPr>
        <w:t>,</w:t>
      </w:r>
      <w:r w:rsidRPr="00E1432E" w:rsidDel="00705396">
        <w:rPr>
          <w:szCs w:val="22"/>
        </w:rPr>
        <w:t xml:space="preserve"> especially at times of machinery of government or other changes.</w:t>
      </w:r>
    </w:p>
    <w:p w14:paraId="7C8B66BA" w14:textId="77777777" w:rsidR="008A3A21" w:rsidRDefault="008A3A21" w:rsidP="004B0A13">
      <w:pPr>
        <w:rPr>
          <w:szCs w:val="22"/>
        </w:rPr>
        <w:sectPr w:rsidR="008A3A21" w:rsidSect="008A3A21">
          <w:type w:val="continuous"/>
          <w:pgSz w:w="11906" w:h="16838"/>
          <w:pgMar w:top="1440" w:right="1440" w:bottom="1440" w:left="1440" w:header="708" w:footer="708" w:gutter="0"/>
          <w:cols w:num="2" w:space="708"/>
          <w:docGrid w:linePitch="360"/>
          <w15:footnoteColumns w:val="1"/>
        </w:sectPr>
      </w:pPr>
    </w:p>
    <w:p w14:paraId="6E20D67E" w14:textId="1EE1E839" w:rsidR="000722AC" w:rsidRDefault="000722AC" w:rsidP="004B0A13">
      <w:pPr>
        <w:rPr>
          <w:szCs w:val="22"/>
        </w:rPr>
      </w:pPr>
      <w:r>
        <w:rPr>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blLook w:val="04A0" w:firstRow="1" w:lastRow="0" w:firstColumn="1" w:lastColumn="0" w:noHBand="0" w:noVBand="1"/>
      </w:tblPr>
      <w:tblGrid>
        <w:gridCol w:w="9016"/>
      </w:tblGrid>
      <w:tr w:rsidR="004D26BC" w14:paraId="3F6A7A7E" w14:textId="77777777" w:rsidTr="00655AD3">
        <w:tc>
          <w:tcPr>
            <w:tcW w:w="9016" w:type="dxa"/>
            <w:shd w:val="clear" w:color="auto" w:fill="E7E6E6"/>
          </w:tcPr>
          <w:p w14:paraId="3FD543CC" w14:textId="75390B2E" w:rsidR="004D26BC" w:rsidRPr="00972A86" w:rsidRDefault="004D26BC" w:rsidP="008F5BBE">
            <w:pPr>
              <w:spacing w:before="120"/>
              <w:rPr>
                <w:b/>
                <w:szCs w:val="22"/>
              </w:rPr>
            </w:pPr>
            <w:r w:rsidRPr="00926946">
              <w:rPr>
                <w:b/>
                <w:szCs w:val="22"/>
              </w:rPr>
              <w:lastRenderedPageBreak/>
              <w:t xml:space="preserve">Box </w:t>
            </w:r>
            <w:r>
              <w:rPr>
                <w:b/>
                <w:szCs w:val="22"/>
              </w:rPr>
              <w:t>5</w:t>
            </w:r>
            <w:r w:rsidRPr="00926946">
              <w:rPr>
                <w:b/>
                <w:szCs w:val="22"/>
              </w:rPr>
              <w:t xml:space="preserve">.1: </w:t>
            </w:r>
            <w:r>
              <w:rPr>
                <w:b/>
                <w:bCs/>
                <w:szCs w:val="22"/>
              </w:rPr>
              <w:t>I</w:t>
            </w:r>
            <w:r w:rsidRPr="00926946">
              <w:rPr>
                <w:b/>
                <w:szCs w:val="22"/>
              </w:rPr>
              <w:t xml:space="preserve">ndicative spans of control and </w:t>
            </w:r>
            <w:proofErr w:type="spellStart"/>
            <w:r w:rsidRPr="00926946">
              <w:rPr>
                <w:b/>
                <w:szCs w:val="22"/>
              </w:rPr>
              <w:t>organisational</w:t>
            </w:r>
            <w:proofErr w:type="spellEnd"/>
            <w:r w:rsidRPr="00926946">
              <w:rPr>
                <w:b/>
                <w:szCs w:val="22"/>
              </w:rPr>
              <w:t xml:space="preserve"> layers</w:t>
            </w:r>
          </w:p>
          <w:p w14:paraId="317513CE" w14:textId="77777777" w:rsidR="00D405EE" w:rsidRDefault="00D405EE" w:rsidP="00352512">
            <w:pPr>
              <w:rPr>
                <w:szCs w:val="22"/>
              </w:rPr>
            </w:pPr>
          </w:p>
          <w:p w14:paraId="7396AF64" w14:textId="7AAC37BA" w:rsidR="004D26BC" w:rsidRDefault="004D26BC" w:rsidP="00352512">
            <w:pPr>
              <w:rPr>
                <w:szCs w:val="22"/>
              </w:rPr>
            </w:pPr>
            <w:r>
              <w:rPr>
                <w:szCs w:val="22"/>
              </w:rPr>
              <w:t xml:space="preserve">The following guidelines should be a starting point for future </w:t>
            </w:r>
            <w:proofErr w:type="spellStart"/>
            <w:r>
              <w:rPr>
                <w:szCs w:val="22"/>
              </w:rPr>
              <w:t>organisational</w:t>
            </w:r>
            <w:proofErr w:type="spellEnd"/>
            <w:r>
              <w:rPr>
                <w:szCs w:val="22"/>
              </w:rPr>
              <w:t xml:space="preserve"> design:</w:t>
            </w:r>
            <w:r w:rsidR="00C10F68">
              <w:rPr>
                <w:rStyle w:val="FootnoteReference"/>
                <w:szCs w:val="22"/>
              </w:rPr>
              <w:footnoteReference w:id="15"/>
            </w:r>
            <w:r>
              <w:rPr>
                <w:szCs w:val="22"/>
              </w:rPr>
              <w:t xml:space="preserve"> </w:t>
            </w:r>
          </w:p>
          <w:p w14:paraId="76D377B3" w14:textId="749217C4" w:rsidR="004D26BC" w:rsidRPr="00E1432E" w:rsidRDefault="004D26BC" w:rsidP="00352512">
            <w:pPr>
              <w:rPr>
                <w:szCs w:val="22"/>
              </w:rPr>
            </w:pPr>
          </w:p>
          <w:tbl>
            <w:tblPr>
              <w:tblStyle w:val="TableGrid"/>
              <w:tblW w:w="0" w:type="auto"/>
              <w:tblLook w:val="04A0" w:firstRow="1" w:lastRow="0" w:firstColumn="1" w:lastColumn="0" w:noHBand="0" w:noVBand="1"/>
            </w:tblPr>
            <w:tblGrid>
              <w:gridCol w:w="2183"/>
              <w:gridCol w:w="2165"/>
              <w:gridCol w:w="2276"/>
              <w:gridCol w:w="2166"/>
            </w:tblGrid>
            <w:tr w:rsidR="004D26BC" w:rsidRPr="00E1432E" w14:paraId="15EAFD5F" w14:textId="77777777" w:rsidTr="00352512">
              <w:tc>
                <w:tcPr>
                  <w:tcW w:w="9182" w:type="dxa"/>
                  <w:gridSpan w:val="4"/>
                  <w:shd w:val="clear" w:color="auto" w:fill="0F4761" w:themeFill="accent1" w:themeFillShade="BF"/>
                </w:tcPr>
                <w:p w14:paraId="29A40F48" w14:textId="4BA08DD8" w:rsidR="004D26BC" w:rsidRPr="00E1432E" w:rsidRDefault="004D26BC" w:rsidP="00C970E5">
                  <w:pPr>
                    <w:spacing w:before="60"/>
                    <w:rPr>
                      <w:b/>
                      <w:bCs/>
                      <w:szCs w:val="22"/>
                    </w:rPr>
                  </w:pPr>
                  <w:r>
                    <w:rPr>
                      <w:b/>
                      <w:bCs/>
                      <w:szCs w:val="22"/>
                    </w:rPr>
                    <w:t>Span of control</w:t>
                  </w:r>
                  <w:r w:rsidR="00C10F68">
                    <w:rPr>
                      <w:b/>
                      <w:bCs/>
                      <w:szCs w:val="22"/>
                    </w:rPr>
                    <w:t xml:space="preserve"> – f</w:t>
                  </w:r>
                  <w:r w:rsidRPr="00E1432E">
                    <w:rPr>
                      <w:b/>
                      <w:bCs/>
                      <w:szCs w:val="22"/>
                    </w:rPr>
                    <w:t>unction-</w:t>
                  </w:r>
                  <w:r w:rsidR="00C10F68">
                    <w:rPr>
                      <w:b/>
                      <w:bCs/>
                      <w:szCs w:val="22"/>
                    </w:rPr>
                    <w:t>s</w:t>
                  </w:r>
                  <w:r w:rsidRPr="00E1432E">
                    <w:rPr>
                      <w:b/>
                      <w:bCs/>
                      <w:szCs w:val="22"/>
                    </w:rPr>
                    <w:t xml:space="preserve">pecific </w:t>
                  </w:r>
                  <w:r w:rsidR="00C10F68">
                    <w:rPr>
                      <w:b/>
                      <w:bCs/>
                      <w:szCs w:val="22"/>
                    </w:rPr>
                    <w:t>g</w:t>
                  </w:r>
                  <w:r w:rsidRPr="00E1432E">
                    <w:rPr>
                      <w:b/>
                      <w:bCs/>
                      <w:szCs w:val="22"/>
                    </w:rPr>
                    <w:t xml:space="preserve">uidelines </w:t>
                  </w:r>
                </w:p>
              </w:tc>
            </w:tr>
            <w:tr w:rsidR="004D26BC" w:rsidRPr="00E1432E" w14:paraId="62E16AE9" w14:textId="77777777" w:rsidTr="00153D84">
              <w:tc>
                <w:tcPr>
                  <w:tcW w:w="2295" w:type="dxa"/>
                  <w:tcBorders>
                    <w:bottom w:val="single" w:sz="4" w:space="0" w:color="auto"/>
                  </w:tcBorders>
                  <w:shd w:val="clear" w:color="auto" w:fill="D9D9D9" w:themeFill="background1" w:themeFillShade="D9"/>
                </w:tcPr>
                <w:p w14:paraId="7306F289" w14:textId="77777777" w:rsidR="004D26BC" w:rsidRPr="00E1432E" w:rsidRDefault="004D26BC" w:rsidP="00C970E5">
                  <w:pPr>
                    <w:spacing w:before="60"/>
                    <w:rPr>
                      <w:b/>
                      <w:szCs w:val="22"/>
                    </w:rPr>
                  </w:pPr>
                  <w:r w:rsidRPr="00E1432E">
                    <w:rPr>
                      <w:b/>
                      <w:szCs w:val="22"/>
                    </w:rPr>
                    <w:t xml:space="preserve">Specialist Advisory </w:t>
                  </w:r>
                </w:p>
              </w:tc>
              <w:tc>
                <w:tcPr>
                  <w:tcW w:w="2295" w:type="dxa"/>
                  <w:tcBorders>
                    <w:bottom w:val="single" w:sz="4" w:space="0" w:color="auto"/>
                  </w:tcBorders>
                  <w:shd w:val="clear" w:color="auto" w:fill="D9D9D9" w:themeFill="background1" w:themeFillShade="D9"/>
                </w:tcPr>
                <w:p w14:paraId="6C93677B" w14:textId="77777777" w:rsidR="004D26BC" w:rsidRPr="00E1432E" w:rsidRDefault="004D26BC" w:rsidP="00C970E5">
                  <w:pPr>
                    <w:spacing w:before="60"/>
                    <w:rPr>
                      <w:b/>
                      <w:szCs w:val="22"/>
                    </w:rPr>
                  </w:pPr>
                  <w:r w:rsidRPr="00E1432E">
                    <w:rPr>
                      <w:b/>
                      <w:szCs w:val="22"/>
                    </w:rPr>
                    <w:t>Policy and Strategy</w:t>
                  </w:r>
                </w:p>
              </w:tc>
              <w:tc>
                <w:tcPr>
                  <w:tcW w:w="2296" w:type="dxa"/>
                  <w:tcBorders>
                    <w:bottom w:val="single" w:sz="4" w:space="0" w:color="auto"/>
                  </w:tcBorders>
                  <w:shd w:val="clear" w:color="auto" w:fill="D9D9D9" w:themeFill="background1" w:themeFillShade="D9"/>
                </w:tcPr>
                <w:p w14:paraId="6DF5C14F" w14:textId="412CC4E1" w:rsidR="004D26BC" w:rsidRPr="00E1432E" w:rsidRDefault="004D26BC" w:rsidP="00C970E5">
                  <w:pPr>
                    <w:spacing w:before="60"/>
                    <w:rPr>
                      <w:b/>
                      <w:szCs w:val="22"/>
                    </w:rPr>
                  </w:pPr>
                  <w:r w:rsidRPr="00E1432E">
                    <w:rPr>
                      <w:b/>
                      <w:szCs w:val="22"/>
                    </w:rPr>
                    <w:t>Program development/case management</w:t>
                  </w:r>
                </w:p>
              </w:tc>
              <w:tc>
                <w:tcPr>
                  <w:tcW w:w="2296" w:type="dxa"/>
                  <w:tcBorders>
                    <w:bottom w:val="single" w:sz="4" w:space="0" w:color="auto"/>
                  </w:tcBorders>
                  <w:shd w:val="clear" w:color="auto" w:fill="D9D9D9" w:themeFill="background1" w:themeFillShade="D9"/>
                </w:tcPr>
                <w:p w14:paraId="0805D5A2" w14:textId="77777777" w:rsidR="004D26BC" w:rsidRPr="00E1432E" w:rsidRDefault="004D26BC" w:rsidP="00C970E5">
                  <w:pPr>
                    <w:spacing w:before="60"/>
                    <w:rPr>
                      <w:b/>
                      <w:szCs w:val="22"/>
                    </w:rPr>
                  </w:pPr>
                  <w:r w:rsidRPr="00E1432E">
                    <w:rPr>
                      <w:b/>
                      <w:szCs w:val="22"/>
                    </w:rPr>
                    <w:t xml:space="preserve">High volume service delivery </w:t>
                  </w:r>
                </w:p>
              </w:tc>
            </w:tr>
            <w:tr w:rsidR="004D26BC" w:rsidRPr="00E1432E" w14:paraId="0F83F834" w14:textId="77777777" w:rsidTr="00093B9E">
              <w:trPr>
                <w:trHeight w:val="639"/>
              </w:trPr>
              <w:tc>
                <w:tcPr>
                  <w:tcW w:w="2295" w:type="dxa"/>
                  <w:tcBorders>
                    <w:bottom w:val="single" w:sz="4" w:space="0" w:color="auto"/>
                  </w:tcBorders>
                </w:tcPr>
                <w:p w14:paraId="7CCF5C49" w14:textId="77777777" w:rsidR="004D26BC" w:rsidRPr="00E1432E" w:rsidRDefault="004D26BC" w:rsidP="00C970E5">
                  <w:pPr>
                    <w:spacing w:before="60"/>
                    <w:rPr>
                      <w:szCs w:val="22"/>
                    </w:rPr>
                  </w:pPr>
                  <w:r w:rsidRPr="00E1432E">
                    <w:rPr>
                      <w:szCs w:val="22"/>
                    </w:rPr>
                    <w:t>1 manager to up to 3 staff</w:t>
                  </w:r>
                </w:p>
              </w:tc>
              <w:tc>
                <w:tcPr>
                  <w:tcW w:w="2295" w:type="dxa"/>
                  <w:tcBorders>
                    <w:bottom w:val="single" w:sz="4" w:space="0" w:color="auto"/>
                  </w:tcBorders>
                </w:tcPr>
                <w:p w14:paraId="3A144F16" w14:textId="77777777" w:rsidR="004D26BC" w:rsidRPr="00E1432E" w:rsidRDefault="004D26BC" w:rsidP="00C970E5">
                  <w:pPr>
                    <w:spacing w:before="60"/>
                    <w:rPr>
                      <w:szCs w:val="22"/>
                    </w:rPr>
                  </w:pPr>
                  <w:r w:rsidRPr="00E1432E">
                    <w:rPr>
                      <w:szCs w:val="22"/>
                    </w:rPr>
                    <w:t>1 manager to 6–8 staff</w:t>
                  </w:r>
                </w:p>
              </w:tc>
              <w:tc>
                <w:tcPr>
                  <w:tcW w:w="2296" w:type="dxa"/>
                  <w:tcBorders>
                    <w:bottom w:val="single" w:sz="4" w:space="0" w:color="auto"/>
                  </w:tcBorders>
                </w:tcPr>
                <w:p w14:paraId="382ACE7E" w14:textId="77777777" w:rsidR="004D26BC" w:rsidRPr="00E1432E" w:rsidRDefault="004D26BC" w:rsidP="00C970E5">
                  <w:pPr>
                    <w:spacing w:before="60"/>
                    <w:rPr>
                      <w:szCs w:val="22"/>
                    </w:rPr>
                  </w:pPr>
                  <w:r w:rsidRPr="00E1432E">
                    <w:rPr>
                      <w:szCs w:val="22"/>
                    </w:rPr>
                    <w:t>1 manager to 8–10 staff</w:t>
                  </w:r>
                </w:p>
              </w:tc>
              <w:tc>
                <w:tcPr>
                  <w:tcW w:w="2296" w:type="dxa"/>
                  <w:tcBorders>
                    <w:bottom w:val="single" w:sz="4" w:space="0" w:color="auto"/>
                  </w:tcBorders>
                </w:tcPr>
                <w:p w14:paraId="5D4086E5" w14:textId="77777777" w:rsidR="004D26BC" w:rsidRPr="00E1432E" w:rsidRDefault="004D26BC" w:rsidP="00C970E5">
                  <w:pPr>
                    <w:spacing w:before="60"/>
                    <w:rPr>
                      <w:szCs w:val="22"/>
                    </w:rPr>
                  </w:pPr>
                  <w:r w:rsidRPr="00E1432E">
                    <w:rPr>
                      <w:szCs w:val="22"/>
                    </w:rPr>
                    <w:t>1 manager to 8–15+ staff</w:t>
                  </w:r>
                </w:p>
              </w:tc>
            </w:tr>
          </w:tbl>
          <w:p w14:paraId="54D5A3C7" w14:textId="77777777" w:rsidR="004D26BC" w:rsidRDefault="004D26BC" w:rsidP="00352512">
            <w:pPr>
              <w:rPr>
                <w:szCs w:val="22"/>
              </w:rPr>
            </w:pPr>
          </w:p>
          <w:p w14:paraId="22F8EEAC" w14:textId="77777777" w:rsidR="004D26BC" w:rsidRPr="00926946" w:rsidRDefault="004D26BC" w:rsidP="00E377E3">
            <w:pPr>
              <w:spacing w:after="160" w:line="278" w:lineRule="auto"/>
              <w:rPr>
                <w:b/>
                <w:szCs w:val="22"/>
              </w:rPr>
            </w:pPr>
            <w:r w:rsidRPr="00926946">
              <w:rPr>
                <w:b/>
                <w:szCs w:val="22"/>
              </w:rPr>
              <w:t>Layers</w:t>
            </w:r>
          </w:p>
          <w:p w14:paraId="01A8AFBC" w14:textId="7101656B" w:rsidR="004D26BC" w:rsidRDefault="004D26BC" w:rsidP="00E377E3">
            <w:pPr>
              <w:spacing w:after="160" w:line="278" w:lineRule="auto"/>
              <w:rPr>
                <w:szCs w:val="22"/>
              </w:rPr>
            </w:pPr>
            <w:r>
              <w:rPr>
                <w:szCs w:val="22"/>
              </w:rPr>
              <w:t>T</w:t>
            </w:r>
            <w:r w:rsidRPr="00E1432E">
              <w:rPr>
                <w:szCs w:val="22"/>
              </w:rPr>
              <w:t xml:space="preserve">he </w:t>
            </w:r>
            <w:r w:rsidR="00C10F68">
              <w:rPr>
                <w:szCs w:val="22"/>
              </w:rPr>
              <w:t>total</w:t>
            </w:r>
            <w:r w:rsidRPr="00E1432E">
              <w:rPr>
                <w:szCs w:val="22"/>
              </w:rPr>
              <w:t xml:space="preserve"> optimal number of </w:t>
            </w:r>
            <w:proofErr w:type="spellStart"/>
            <w:r w:rsidRPr="00E1432E">
              <w:rPr>
                <w:szCs w:val="22"/>
              </w:rPr>
              <w:t>organisational</w:t>
            </w:r>
            <w:proofErr w:type="spellEnd"/>
            <w:r w:rsidRPr="00E1432E">
              <w:rPr>
                <w:szCs w:val="22"/>
              </w:rPr>
              <w:t xml:space="preserve"> layers </w:t>
            </w:r>
            <w:r w:rsidR="001A016B" w:rsidRPr="00E1432E">
              <w:rPr>
                <w:szCs w:val="22"/>
              </w:rPr>
              <w:t>is</w:t>
            </w:r>
            <w:r w:rsidRPr="00E1432E">
              <w:rPr>
                <w:szCs w:val="22"/>
              </w:rPr>
              <w:t xml:space="preserve"> between </w:t>
            </w:r>
            <w:r>
              <w:rPr>
                <w:szCs w:val="22"/>
              </w:rPr>
              <w:t>5</w:t>
            </w:r>
            <w:r w:rsidRPr="00E1432E">
              <w:rPr>
                <w:szCs w:val="22"/>
              </w:rPr>
              <w:t xml:space="preserve"> and </w:t>
            </w:r>
            <w:r>
              <w:rPr>
                <w:szCs w:val="22"/>
              </w:rPr>
              <w:t>7</w:t>
            </w:r>
            <w:r w:rsidRPr="00E1432E">
              <w:rPr>
                <w:szCs w:val="22"/>
              </w:rPr>
              <w:t xml:space="preserve">. </w:t>
            </w:r>
          </w:p>
        </w:tc>
      </w:tr>
    </w:tbl>
    <w:p w14:paraId="0AF0DC3E" w14:textId="77777777" w:rsidR="008A3A21" w:rsidRDefault="008A3A21" w:rsidP="008A3A21">
      <w:pPr>
        <w:pStyle w:val="Heading3"/>
        <w:numPr>
          <w:ilvl w:val="0"/>
          <w:numId w:val="0"/>
        </w:numPr>
        <w:spacing w:before="360"/>
        <w:rPr>
          <w:szCs w:val="26"/>
        </w:rPr>
        <w:sectPr w:rsidR="008A3A21" w:rsidSect="00AE6104">
          <w:type w:val="continuous"/>
          <w:pgSz w:w="11906" w:h="16838"/>
          <w:pgMar w:top="1440" w:right="1440" w:bottom="1440" w:left="1440" w:header="708" w:footer="708" w:gutter="0"/>
          <w:cols w:space="708"/>
          <w:docGrid w:linePitch="360"/>
          <w15:footnoteColumns w:val="1"/>
        </w:sectPr>
      </w:pPr>
    </w:p>
    <w:p w14:paraId="15337E8A" w14:textId="77777777" w:rsidR="004D26BC" w:rsidRPr="00CA41D7" w:rsidRDefault="004D26BC" w:rsidP="008A3A21">
      <w:pPr>
        <w:pStyle w:val="Heading3"/>
        <w:numPr>
          <w:ilvl w:val="0"/>
          <w:numId w:val="0"/>
        </w:numPr>
        <w:spacing w:before="0"/>
        <w:rPr>
          <w:rFonts w:eastAsiaTheme="minorHAnsi"/>
          <w:b w:val="0"/>
          <w:color w:val="0070C0"/>
          <w:szCs w:val="26"/>
        </w:rPr>
      </w:pPr>
      <w:r w:rsidRPr="00CA41D7">
        <w:rPr>
          <w:szCs w:val="26"/>
        </w:rPr>
        <w:t xml:space="preserve">Methodology for determining efficiencies for SES and senior staff </w:t>
      </w:r>
    </w:p>
    <w:p w14:paraId="738A3AA3" w14:textId="52565198" w:rsidR="004D26BC" w:rsidRDefault="004D26BC" w:rsidP="004B0A13">
      <w:pPr>
        <w:rPr>
          <w:szCs w:val="22"/>
        </w:rPr>
      </w:pPr>
      <w:r w:rsidRPr="00CA41D7">
        <w:rPr>
          <w:szCs w:val="22"/>
        </w:rPr>
        <w:t xml:space="preserve">All </w:t>
      </w:r>
      <w:r>
        <w:rPr>
          <w:szCs w:val="22"/>
        </w:rPr>
        <w:t>VPS</w:t>
      </w:r>
      <w:r w:rsidRPr="00CA41D7">
        <w:rPr>
          <w:szCs w:val="22"/>
        </w:rPr>
        <w:t xml:space="preserve"> departments and </w:t>
      </w:r>
      <w:r w:rsidR="00BC6D4A">
        <w:rPr>
          <w:szCs w:val="22"/>
        </w:rPr>
        <w:t>some large</w:t>
      </w:r>
      <w:r w:rsidRPr="00CA41D7">
        <w:rPr>
          <w:szCs w:val="22"/>
        </w:rPr>
        <w:t xml:space="preserve"> entities were in scope for this element of the Review’s work.</w:t>
      </w:r>
      <w:r w:rsidRPr="00247068">
        <w:rPr>
          <w:szCs w:val="22"/>
        </w:rPr>
        <w:t xml:space="preserve"> </w:t>
      </w:r>
      <w:r>
        <w:rPr>
          <w:szCs w:val="22"/>
        </w:rPr>
        <w:t xml:space="preserve">Chapter </w:t>
      </w:r>
      <w:r w:rsidRPr="00A55166">
        <w:rPr>
          <w:szCs w:val="22"/>
        </w:rPr>
        <w:t>6</w:t>
      </w:r>
      <w:r>
        <w:rPr>
          <w:szCs w:val="22"/>
        </w:rPr>
        <w:t xml:space="preserve"> canvasses reform of public entities more generally and</w:t>
      </w:r>
      <w:r w:rsidR="008C7594">
        <w:rPr>
          <w:szCs w:val="22"/>
        </w:rPr>
        <w:t> </w:t>
      </w:r>
      <w:r>
        <w:rPr>
          <w:szCs w:val="22"/>
        </w:rPr>
        <w:t xml:space="preserve">provides a </w:t>
      </w:r>
      <w:r w:rsidR="00601505">
        <w:rPr>
          <w:szCs w:val="22"/>
        </w:rPr>
        <w:t>plan</w:t>
      </w:r>
      <w:r>
        <w:rPr>
          <w:szCs w:val="22"/>
        </w:rPr>
        <w:t xml:space="preserve"> for spending reductions</w:t>
      </w:r>
      <w:r w:rsidR="008C7594">
        <w:rPr>
          <w:szCs w:val="22"/>
        </w:rPr>
        <w:t> </w:t>
      </w:r>
      <w:r>
        <w:rPr>
          <w:szCs w:val="22"/>
        </w:rPr>
        <w:t>through cessation, merging and</w:t>
      </w:r>
      <w:r w:rsidR="008C7594">
        <w:rPr>
          <w:szCs w:val="22"/>
        </w:rPr>
        <w:t> </w:t>
      </w:r>
      <w:r>
        <w:rPr>
          <w:szCs w:val="22"/>
        </w:rPr>
        <w:t xml:space="preserve">streamlining. </w:t>
      </w:r>
    </w:p>
    <w:p w14:paraId="18F87C7F" w14:textId="77777777" w:rsidR="004D26BC" w:rsidRPr="00E1432E" w:rsidRDefault="004D26BC" w:rsidP="004B0A13">
      <w:pPr>
        <w:rPr>
          <w:szCs w:val="22"/>
        </w:rPr>
      </w:pPr>
      <w:r w:rsidRPr="00E1432E">
        <w:rPr>
          <w:szCs w:val="22"/>
        </w:rPr>
        <w:t>Given the lack of adequate data</w:t>
      </w:r>
      <w:r>
        <w:rPr>
          <w:szCs w:val="22"/>
        </w:rPr>
        <w:t>,</w:t>
      </w:r>
      <w:r w:rsidRPr="00E1432E">
        <w:rPr>
          <w:szCs w:val="22"/>
        </w:rPr>
        <w:t xml:space="preserve"> it was not possible to apply a pure ‘spans and layers’ methodology to the VPS</w:t>
      </w:r>
      <w:r>
        <w:rPr>
          <w:szCs w:val="22"/>
        </w:rPr>
        <w:t xml:space="preserve"> at this time</w:t>
      </w:r>
      <w:r w:rsidRPr="00E1432E">
        <w:rPr>
          <w:szCs w:val="22"/>
        </w:rPr>
        <w:t xml:space="preserve">.  </w:t>
      </w:r>
    </w:p>
    <w:p w14:paraId="0FCCE297" w14:textId="77777777" w:rsidR="004D26BC" w:rsidRPr="00E1432E" w:rsidRDefault="004D26BC" w:rsidP="004B0A13">
      <w:pPr>
        <w:rPr>
          <w:szCs w:val="22"/>
        </w:rPr>
      </w:pPr>
      <w:r>
        <w:rPr>
          <w:szCs w:val="22"/>
        </w:rPr>
        <w:t>Instead, the</w:t>
      </w:r>
      <w:r w:rsidRPr="00E1432E">
        <w:rPr>
          <w:szCs w:val="22"/>
        </w:rPr>
        <w:t xml:space="preserve"> Review analysed</w:t>
      </w:r>
      <w:r w:rsidRPr="00E1432E" w:rsidDel="00EF3FA6">
        <w:rPr>
          <w:szCs w:val="22"/>
        </w:rPr>
        <w:t xml:space="preserve"> </w:t>
      </w:r>
      <w:r>
        <w:rPr>
          <w:szCs w:val="22"/>
        </w:rPr>
        <w:t xml:space="preserve">the </w:t>
      </w:r>
      <w:r w:rsidRPr="00E1432E">
        <w:rPr>
          <w:szCs w:val="22"/>
        </w:rPr>
        <w:t>ratios of executive staff to non-executiv</w:t>
      </w:r>
      <w:r w:rsidRPr="00E1432E" w:rsidDel="008409A5">
        <w:rPr>
          <w:szCs w:val="22"/>
        </w:rPr>
        <w:t>e</w:t>
      </w:r>
      <w:r w:rsidRPr="00E1432E">
        <w:rPr>
          <w:szCs w:val="22"/>
        </w:rPr>
        <w:t xml:space="preserve"> staff </w:t>
      </w:r>
      <w:r>
        <w:rPr>
          <w:szCs w:val="22"/>
        </w:rPr>
        <w:t>in 2024 and compared them to the ratios in</w:t>
      </w:r>
      <w:r w:rsidRPr="00E1432E">
        <w:rPr>
          <w:szCs w:val="22"/>
        </w:rPr>
        <w:t xml:space="preserve"> 2019. STS positions were included alongside SES to guard against</w:t>
      </w:r>
      <w:r>
        <w:rPr>
          <w:szCs w:val="22"/>
        </w:rPr>
        <w:t xml:space="preserve"> </w:t>
      </w:r>
      <w:r w:rsidRPr="00E1432E">
        <w:rPr>
          <w:szCs w:val="22"/>
        </w:rPr>
        <w:t>the practice of classifying SES roles as STS. The Review</w:t>
      </w:r>
      <w:r w:rsidRPr="00E1432E" w:rsidDel="001272C6">
        <w:rPr>
          <w:szCs w:val="22"/>
        </w:rPr>
        <w:t xml:space="preserve"> </w:t>
      </w:r>
      <w:r w:rsidRPr="00E1432E">
        <w:rPr>
          <w:szCs w:val="22"/>
        </w:rPr>
        <w:t>does not consider that the work of the VPS has increased in its technical specialisation since 2019 and therefore conclude</w:t>
      </w:r>
      <w:r>
        <w:rPr>
          <w:szCs w:val="22"/>
        </w:rPr>
        <w:t>s</w:t>
      </w:r>
      <w:r w:rsidRPr="00E1432E">
        <w:rPr>
          <w:szCs w:val="22"/>
        </w:rPr>
        <w:t xml:space="preserve"> that </w:t>
      </w:r>
      <w:r w:rsidRPr="00E1432E">
        <w:rPr>
          <w:szCs w:val="22"/>
        </w:rPr>
        <w:t xml:space="preserve">the ratios approach </w:t>
      </w:r>
      <w:r>
        <w:rPr>
          <w:szCs w:val="22"/>
        </w:rPr>
        <w:t>is</w:t>
      </w:r>
      <w:r w:rsidRPr="00E1432E">
        <w:rPr>
          <w:szCs w:val="22"/>
        </w:rPr>
        <w:t xml:space="preserve"> appropriate for the STS classification level alongside SES.</w:t>
      </w:r>
    </w:p>
    <w:p w14:paraId="421D7526" w14:textId="37D30390" w:rsidR="004D26BC" w:rsidRPr="00E1432E" w:rsidRDefault="004D26BC" w:rsidP="004B0A13">
      <w:pPr>
        <w:rPr>
          <w:szCs w:val="22"/>
        </w:rPr>
      </w:pPr>
      <w:r w:rsidRPr="00E1432E">
        <w:rPr>
          <w:szCs w:val="22"/>
        </w:rPr>
        <w:t xml:space="preserve">The ratios approach accounts for workforce growth by focusing on the ratio of SES and STS roles to all other VPS staff. For example, if a department had one SES/STS for every 100 staff in 2019 and still has one for every 100 in 2024 (even if the total workforce has doubled), then no reduction is proposed. However, if the ratio has increased – for instance, from one </w:t>
      </w:r>
      <w:r w:rsidR="00EF0B3C">
        <w:rPr>
          <w:szCs w:val="22"/>
        </w:rPr>
        <w:t>SES/STS</w:t>
      </w:r>
      <w:r w:rsidRPr="00E1432E">
        <w:rPr>
          <w:szCs w:val="22"/>
        </w:rPr>
        <w:t xml:space="preserve"> per 200 staff in</w:t>
      </w:r>
      <w:r w:rsidR="005543BA">
        <w:rPr>
          <w:szCs w:val="22"/>
        </w:rPr>
        <w:t> </w:t>
      </w:r>
      <w:r w:rsidRPr="00E1432E">
        <w:rPr>
          <w:szCs w:val="22"/>
        </w:rPr>
        <w:t>2019 to one per 100 staff in 2024 – a reduction is recommended to</w:t>
      </w:r>
      <w:r>
        <w:t xml:space="preserve"> </w:t>
      </w:r>
      <w:r w:rsidRPr="00E1432E">
        <w:rPr>
          <w:szCs w:val="22"/>
        </w:rPr>
        <w:t>return to 2019 levels. Where a department’s executive-to-staff ratio has improved since 2019, no increase in SES/STS positions is</w:t>
      </w:r>
      <w:r w:rsidR="00ED3C38">
        <w:rPr>
          <w:szCs w:val="22"/>
        </w:rPr>
        <w:t> </w:t>
      </w:r>
      <w:r w:rsidRPr="00E1432E">
        <w:rPr>
          <w:szCs w:val="22"/>
        </w:rPr>
        <w:t>proposed.</w:t>
      </w:r>
    </w:p>
    <w:p w14:paraId="7F2418C7" w14:textId="1DAE5A85" w:rsidR="004D26BC" w:rsidRPr="00E1432E" w:rsidRDefault="004D26BC" w:rsidP="004B0A13">
      <w:pPr>
        <w:rPr>
          <w:szCs w:val="22"/>
        </w:rPr>
      </w:pPr>
      <w:r w:rsidRPr="00E1432E">
        <w:rPr>
          <w:szCs w:val="22"/>
        </w:rPr>
        <w:t>The results of applying this method to existing data delivers varied results across departments</w:t>
      </w:r>
      <w:r>
        <w:rPr>
          <w:szCs w:val="22"/>
        </w:rPr>
        <w:t xml:space="preserve"> and in-scope entities</w:t>
      </w:r>
      <w:r w:rsidRPr="00E1432E">
        <w:rPr>
          <w:szCs w:val="22"/>
        </w:rPr>
        <w:t>. The</w:t>
      </w:r>
      <w:r w:rsidR="00C8409C">
        <w:rPr>
          <w:szCs w:val="22"/>
        </w:rPr>
        <w:t> </w:t>
      </w:r>
      <w:r w:rsidRPr="00E1432E">
        <w:rPr>
          <w:szCs w:val="22"/>
        </w:rPr>
        <w:t>Review set a cap on reductions of 15</w:t>
      </w:r>
      <w:r w:rsidR="00F159C3">
        <w:rPr>
          <w:szCs w:val="22"/>
        </w:rPr>
        <w:t> </w:t>
      </w:r>
      <w:r w:rsidRPr="00E1432E">
        <w:rPr>
          <w:szCs w:val="22"/>
        </w:rPr>
        <w:t>per</w:t>
      </w:r>
      <w:r w:rsidR="00F159C3">
        <w:rPr>
          <w:szCs w:val="22"/>
        </w:rPr>
        <w:t> </w:t>
      </w:r>
      <w:r w:rsidRPr="00E1432E">
        <w:rPr>
          <w:szCs w:val="22"/>
        </w:rPr>
        <w:t xml:space="preserve">cent </w:t>
      </w:r>
      <w:r w:rsidR="00DA7097" w:rsidRPr="00A55166">
        <w:rPr>
          <w:szCs w:val="22"/>
        </w:rPr>
        <w:t>for departments, and 20</w:t>
      </w:r>
      <w:r w:rsidR="00C8409C">
        <w:rPr>
          <w:szCs w:val="22"/>
        </w:rPr>
        <w:t> </w:t>
      </w:r>
      <w:r w:rsidR="00DA7097" w:rsidRPr="00A55166">
        <w:rPr>
          <w:szCs w:val="22"/>
        </w:rPr>
        <w:t>per</w:t>
      </w:r>
      <w:r w:rsidR="00C8409C">
        <w:rPr>
          <w:szCs w:val="22"/>
        </w:rPr>
        <w:t> </w:t>
      </w:r>
      <w:r w:rsidR="00DA7097" w:rsidRPr="00A55166">
        <w:rPr>
          <w:szCs w:val="22"/>
        </w:rPr>
        <w:t xml:space="preserve">cent for the large </w:t>
      </w:r>
      <w:r w:rsidR="0001512D" w:rsidRPr="00A55166">
        <w:rPr>
          <w:szCs w:val="22"/>
        </w:rPr>
        <w:t>VPS entities</w:t>
      </w:r>
      <w:r w:rsidR="00DA7097">
        <w:rPr>
          <w:szCs w:val="22"/>
        </w:rPr>
        <w:t xml:space="preserve"> </w:t>
      </w:r>
      <w:r w:rsidRPr="00E1432E">
        <w:rPr>
          <w:szCs w:val="22"/>
        </w:rPr>
        <w:t xml:space="preserve">to </w:t>
      </w:r>
      <w:r w:rsidRPr="00E1432E">
        <w:rPr>
          <w:szCs w:val="22"/>
        </w:rPr>
        <w:lastRenderedPageBreak/>
        <w:t>guard against any dramatic destabilising impact or unmanageable disruption.</w:t>
      </w:r>
    </w:p>
    <w:p w14:paraId="26D792AA" w14:textId="77777777" w:rsidR="004D26BC" w:rsidRPr="00E1432E" w:rsidRDefault="004D26BC" w:rsidP="004B0A13">
      <w:pPr>
        <w:rPr>
          <w:szCs w:val="22"/>
        </w:rPr>
      </w:pPr>
      <w:r w:rsidRPr="00E1432E">
        <w:rPr>
          <w:szCs w:val="22"/>
        </w:rPr>
        <w:t xml:space="preserve">Further future reductions may be possible through application of the spans and layers </w:t>
      </w:r>
      <w:r w:rsidRPr="00E1432E">
        <w:rPr>
          <w:szCs w:val="22"/>
        </w:rPr>
        <w:t>guidance over time, supported by high quality data that provides better visibility of reporting lines.</w:t>
      </w:r>
    </w:p>
    <w:p w14:paraId="553DF4F0" w14:textId="77777777" w:rsidR="008A3A21" w:rsidRDefault="008A3A21" w:rsidP="0001252D">
      <w:pPr>
        <w:pStyle w:val="Heading2"/>
        <w:sectPr w:rsidR="008A3A21" w:rsidSect="008A3A21">
          <w:type w:val="continuous"/>
          <w:pgSz w:w="11906" w:h="16838"/>
          <w:pgMar w:top="1440" w:right="1440" w:bottom="1440" w:left="1440" w:header="708" w:footer="708" w:gutter="0"/>
          <w:cols w:num="2" w:space="708"/>
          <w:docGrid w:linePitch="360"/>
          <w15:footnoteColumns w:val="1"/>
        </w:sectPr>
      </w:pPr>
      <w:bookmarkStart w:id="60" w:name="_Toc202523982"/>
    </w:p>
    <w:p w14:paraId="37224DB7" w14:textId="0EB1F583" w:rsidR="004D26BC" w:rsidRPr="000B178D" w:rsidRDefault="0070287D" w:rsidP="0001252D">
      <w:pPr>
        <w:pStyle w:val="Heading2"/>
      </w:pPr>
      <w:bookmarkStart w:id="61" w:name="_Toc214912002"/>
      <w:r>
        <w:t xml:space="preserve">5.4   </w:t>
      </w:r>
      <w:r w:rsidR="00CC783D">
        <w:t>W</w:t>
      </w:r>
      <w:r w:rsidR="004D26BC" w:rsidRPr="000B178D">
        <w:t>orkforce reductions and rebalancing</w:t>
      </w:r>
      <w:bookmarkEnd w:id="60"/>
      <w:bookmarkEnd w:id="61"/>
    </w:p>
    <w:p w14:paraId="3B881D6D" w14:textId="77777777" w:rsidR="001D14FC" w:rsidRDefault="001D14FC" w:rsidP="007512F3">
      <w:pPr>
        <w:pStyle w:val="Heading3"/>
        <w:spacing w:before="0"/>
        <w:sectPr w:rsidR="001D14FC" w:rsidSect="00AE6104">
          <w:type w:val="continuous"/>
          <w:pgSz w:w="11906" w:h="16838"/>
          <w:pgMar w:top="1440" w:right="1440" w:bottom="1440" w:left="1440" w:header="708" w:footer="708" w:gutter="0"/>
          <w:cols w:space="708"/>
          <w:docGrid w:linePitch="360"/>
          <w15:footnoteColumns w:val="1"/>
        </w:sectPr>
      </w:pPr>
    </w:p>
    <w:p w14:paraId="3A0C23AC" w14:textId="77777777" w:rsidR="004D26BC" w:rsidRPr="000B178D" w:rsidRDefault="004D26BC" w:rsidP="007512F3">
      <w:pPr>
        <w:pStyle w:val="Heading3"/>
        <w:spacing w:before="0"/>
        <w:rPr>
          <w:i/>
          <w:iCs/>
        </w:rPr>
      </w:pPr>
      <w:r w:rsidRPr="000B178D">
        <w:t>SES and STS</w:t>
      </w:r>
    </w:p>
    <w:p w14:paraId="7EC14E2E" w14:textId="6225FE72" w:rsidR="004D26BC" w:rsidRPr="00E1432E" w:rsidRDefault="004D26BC" w:rsidP="004B0A13">
      <w:pPr>
        <w:rPr>
          <w:szCs w:val="22"/>
        </w:rPr>
      </w:pPr>
      <w:r w:rsidRPr="00E1432E">
        <w:rPr>
          <w:szCs w:val="22"/>
        </w:rPr>
        <w:t xml:space="preserve">Based on the method described above, the Review recommends reducing the number of SES and STS positions by </w:t>
      </w:r>
      <w:r w:rsidR="0026616F" w:rsidRPr="00F46CD6">
        <w:rPr>
          <w:szCs w:val="22"/>
        </w:rPr>
        <w:t>33</w:t>
      </w:r>
      <w:r w:rsidR="00960792">
        <w:rPr>
          <w:szCs w:val="22"/>
        </w:rPr>
        <w:t>2</w:t>
      </w:r>
      <w:r w:rsidRPr="00E1432E">
        <w:rPr>
          <w:szCs w:val="22"/>
        </w:rPr>
        <w:t xml:space="preserve"> FTE </w:t>
      </w:r>
      <w:r w:rsidRPr="00F46CD6">
        <w:rPr>
          <w:szCs w:val="22"/>
        </w:rPr>
        <w:t xml:space="preserve">across all departments and </w:t>
      </w:r>
      <w:r w:rsidR="00BC6D4A" w:rsidRPr="00F46CD6">
        <w:rPr>
          <w:szCs w:val="22"/>
        </w:rPr>
        <w:t>some large</w:t>
      </w:r>
      <w:r w:rsidRPr="00F46CD6">
        <w:rPr>
          <w:szCs w:val="22"/>
        </w:rPr>
        <w:t xml:space="preserve"> entities</w:t>
      </w:r>
      <w:r w:rsidRPr="00E1432E">
        <w:rPr>
          <w:szCs w:val="22"/>
        </w:rPr>
        <w:t xml:space="preserve">, delivering </w:t>
      </w:r>
      <w:r w:rsidRPr="00F46CD6">
        <w:rPr>
          <w:szCs w:val="22"/>
        </w:rPr>
        <w:t>$3</w:t>
      </w:r>
      <w:r w:rsidR="00041DDD" w:rsidRPr="00F46CD6">
        <w:rPr>
          <w:szCs w:val="22"/>
        </w:rPr>
        <w:t>59</w:t>
      </w:r>
      <w:r w:rsidRPr="00E1432E">
        <w:rPr>
          <w:szCs w:val="22"/>
        </w:rPr>
        <w:t> million in savings</w:t>
      </w:r>
      <w:r>
        <w:rPr>
          <w:szCs w:val="22"/>
        </w:rPr>
        <w:t xml:space="preserve"> from 2025</w:t>
      </w:r>
      <w:r w:rsidR="007F4DA8">
        <w:rPr>
          <w:szCs w:val="22"/>
        </w:rPr>
        <w:t>–</w:t>
      </w:r>
      <w:r>
        <w:rPr>
          <w:szCs w:val="22"/>
        </w:rPr>
        <w:t>26 and</w:t>
      </w:r>
      <w:r w:rsidRPr="00E1432E">
        <w:rPr>
          <w:szCs w:val="22"/>
        </w:rPr>
        <w:t xml:space="preserve"> over the forward estimates. This reduction will return the ratios of these senior roles, as a proportion of the total </w:t>
      </w:r>
      <w:r w:rsidR="002F1B00">
        <w:rPr>
          <w:szCs w:val="22"/>
        </w:rPr>
        <w:t>organisation</w:t>
      </w:r>
      <w:r w:rsidRPr="00E1432E">
        <w:rPr>
          <w:szCs w:val="22"/>
        </w:rPr>
        <w:t xml:space="preserve">, closer to pre-pandemic levels. </w:t>
      </w:r>
    </w:p>
    <w:p w14:paraId="58E12C9A" w14:textId="39740D39" w:rsidR="004D26BC" w:rsidRPr="00E1432E" w:rsidRDefault="004D26BC" w:rsidP="004B0A13">
      <w:pPr>
        <w:rPr>
          <w:szCs w:val="22"/>
        </w:rPr>
      </w:pPr>
      <w:r w:rsidRPr="00E1432E">
        <w:rPr>
          <w:szCs w:val="22"/>
        </w:rPr>
        <w:t>The ratio</w:t>
      </w:r>
      <w:r w:rsidR="00407A8A">
        <w:rPr>
          <w:szCs w:val="22"/>
        </w:rPr>
        <w:t>s</w:t>
      </w:r>
      <w:r w:rsidRPr="00E1432E">
        <w:rPr>
          <w:szCs w:val="22"/>
        </w:rPr>
        <w:t xml:space="preserve"> methodology has allowed a reasonable analysis of the appropriate VPS</w:t>
      </w:r>
      <w:r w:rsidR="00933D15">
        <w:rPr>
          <w:szCs w:val="22"/>
        </w:rPr>
        <w:t> </w:t>
      </w:r>
      <w:r w:rsidRPr="00E1432E">
        <w:rPr>
          <w:szCs w:val="22"/>
        </w:rPr>
        <w:t>organisational structure. However, it</w:t>
      </w:r>
      <w:r w:rsidR="00933D15">
        <w:rPr>
          <w:szCs w:val="22"/>
        </w:rPr>
        <w:t> </w:t>
      </w:r>
      <w:r w:rsidRPr="00E1432E">
        <w:rPr>
          <w:szCs w:val="22"/>
        </w:rPr>
        <w:t>should not be locked in or become the new norm</w:t>
      </w:r>
      <w:r>
        <w:rPr>
          <w:szCs w:val="22"/>
        </w:rPr>
        <w:t>. I</w:t>
      </w:r>
      <w:r w:rsidRPr="00E1432E">
        <w:rPr>
          <w:szCs w:val="22"/>
        </w:rPr>
        <w:t xml:space="preserve">n implementing </w:t>
      </w:r>
      <w:r>
        <w:rPr>
          <w:szCs w:val="22"/>
        </w:rPr>
        <w:t>revised</w:t>
      </w:r>
      <w:r w:rsidRPr="00E1432E">
        <w:rPr>
          <w:szCs w:val="22"/>
        </w:rPr>
        <w:t xml:space="preserve"> structure</w:t>
      </w:r>
      <w:r>
        <w:rPr>
          <w:szCs w:val="22"/>
        </w:rPr>
        <w:t>s,</w:t>
      </w:r>
      <w:r w:rsidRPr="00E1432E">
        <w:rPr>
          <w:szCs w:val="22"/>
        </w:rPr>
        <w:t xml:space="preserve"> </w:t>
      </w:r>
      <w:r w:rsidR="0098670F">
        <w:rPr>
          <w:szCs w:val="22"/>
        </w:rPr>
        <w:t>S</w:t>
      </w:r>
      <w:r w:rsidRPr="00E1432E">
        <w:rPr>
          <w:szCs w:val="22"/>
        </w:rPr>
        <w:t xml:space="preserve">ecretaries </w:t>
      </w:r>
      <w:r w:rsidR="0021347C" w:rsidRPr="00F46CD6">
        <w:rPr>
          <w:szCs w:val="22"/>
        </w:rPr>
        <w:t>and CEOs</w:t>
      </w:r>
      <w:r w:rsidR="0021347C">
        <w:rPr>
          <w:szCs w:val="22"/>
        </w:rPr>
        <w:t xml:space="preserve"> </w:t>
      </w:r>
      <w:r w:rsidRPr="00E1432E">
        <w:rPr>
          <w:szCs w:val="22"/>
        </w:rPr>
        <w:t>should also consider the Review’s indicative a</w:t>
      </w:r>
      <w:r>
        <w:rPr>
          <w:szCs w:val="22"/>
        </w:rPr>
        <w:t>d</w:t>
      </w:r>
      <w:r w:rsidRPr="00E1432E">
        <w:rPr>
          <w:szCs w:val="22"/>
        </w:rPr>
        <w:t xml:space="preserve">vice on spans of control and layers. </w:t>
      </w:r>
      <w:r>
        <w:rPr>
          <w:szCs w:val="22"/>
        </w:rPr>
        <w:t>Any f</w:t>
      </w:r>
      <w:r w:rsidRPr="00DB4301">
        <w:rPr>
          <w:szCs w:val="22"/>
        </w:rPr>
        <w:t xml:space="preserve">urther reductions – including mirroring earlier profiles </w:t>
      </w:r>
      <w:r>
        <w:rPr>
          <w:szCs w:val="22"/>
        </w:rPr>
        <w:t xml:space="preserve">– </w:t>
      </w:r>
      <w:r w:rsidRPr="00DB4301">
        <w:rPr>
          <w:szCs w:val="22"/>
        </w:rPr>
        <w:t>would</w:t>
      </w:r>
      <w:r w:rsidR="00933D15">
        <w:rPr>
          <w:szCs w:val="22"/>
        </w:rPr>
        <w:t xml:space="preserve"> </w:t>
      </w:r>
      <w:r w:rsidRPr="00DB4301">
        <w:rPr>
          <w:szCs w:val="22"/>
        </w:rPr>
        <w:t>require a more nuanced approach and access to data that is not currently available.</w:t>
      </w:r>
      <w:r>
        <w:rPr>
          <w:szCs w:val="22"/>
        </w:rPr>
        <w:t xml:space="preserve"> </w:t>
      </w:r>
    </w:p>
    <w:p w14:paraId="5178ED61" w14:textId="77777777" w:rsidR="004D26BC" w:rsidRPr="00E1432E" w:rsidRDefault="004D26BC" w:rsidP="004B0A13">
      <w:pPr>
        <w:rPr>
          <w:szCs w:val="22"/>
        </w:rPr>
      </w:pPr>
      <w:r w:rsidRPr="00E1432E">
        <w:rPr>
          <w:szCs w:val="22"/>
        </w:rPr>
        <w:t xml:space="preserve">The Review </w:t>
      </w:r>
      <w:r>
        <w:rPr>
          <w:szCs w:val="22"/>
        </w:rPr>
        <w:t xml:space="preserve">also </w:t>
      </w:r>
      <w:r w:rsidRPr="00E1432E">
        <w:rPr>
          <w:szCs w:val="22"/>
        </w:rPr>
        <w:t xml:space="preserve">recommends </w:t>
      </w:r>
      <w:r>
        <w:rPr>
          <w:szCs w:val="22"/>
        </w:rPr>
        <w:t>removing</w:t>
      </w:r>
      <w:r w:rsidRPr="00E1432E">
        <w:rPr>
          <w:szCs w:val="22"/>
        </w:rPr>
        <w:t xml:space="preserve"> any positions that sit outside of the VPS classification framework, to be pursued through</w:t>
      </w:r>
      <w:r>
        <w:rPr>
          <w:szCs w:val="22"/>
        </w:rPr>
        <w:t xml:space="preserve"> the</w:t>
      </w:r>
      <w:r w:rsidRPr="00E1432E">
        <w:rPr>
          <w:szCs w:val="22"/>
        </w:rPr>
        <w:t xml:space="preserve"> SES </w:t>
      </w:r>
      <w:r>
        <w:rPr>
          <w:szCs w:val="22"/>
        </w:rPr>
        <w:t xml:space="preserve">and STS </w:t>
      </w:r>
      <w:r w:rsidRPr="00E1432E">
        <w:rPr>
          <w:szCs w:val="22"/>
        </w:rPr>
        <w:t>reductions outlined above.</w:t>
      </w:r>
    </w:p>
    <w:p w14:paraId="27378F7C" w14:textId="77777777" w:rsidR="004D26BC" w:rsidRPr="000B178D" w:rsidRDefault="004D26BC" w:rsidP="0001252D">
      <w:pPr>
        <w:pStyle w:val="Heading3"/>
        <w:rPr>
          <w:i/>
          <w:iCs/>
        </w:rPr>
      </w:pPr>
      <w:r w:rsidRPr="000B178D">
        <w:t>VPS reprofiling and reductions</w:t>
      </w:r>
    </w:p>
    <w:p w14:paraId="19885B72" w14:textId="77777777" w:rsidR="004D26BC" w:rsidRPr="001D2464" w:rsidRDefault="004D26BC" w:rsidP="004B0A13">
      <w:pPr>
        <w:rPr>
          <w:szCs w:val="22"/>
        </w:rPr>
      </w:pPr>
      <w:r w:rsidRPr="001D2464">
        <w:rPr>
          <w:szCs w:val="22"/>
        </w:rPr>
        <w:t xml:space="preserve">To address top heaviness in the VPS grades, the Review recommends a reduction of VPS5 and VPS6 positions and replacement of these roles at more junior classifications. </w:t>
      </w:r>
    </w:p>
    <w:p w14:paraId="1F28DE43" w14:textId="2A3F05EF" w:rsidR="004D26BC" w:rsidRPr="001D2464" w:rsidRDefault="004D26BC" w:rsidP="004B0A13">
      <w:pPr>
        <w:rPr>
          <w:szCs w:val="22"/>
        </w:rPr>
      </w:pPr>
      <w:r w:rsidRPr="001D2464">
        <w:rPr>
          <w:szCs w:val="22"/>
        </w:rPr>
        <w:t xml:space="preserve">Each department and </w:t>
      </w:r>
      <w:r w:rsidR="001622D2">
        <w:rPr>
          <w:szCs w:val="22"/>
        </w:rPr>
        <w:t>some large entities</w:t>
      </w:r>
      <w:r w:rsidRPr="001D2464">
        <w:rPr>
          <w:szCs w:val="22"/>
        </w:rPr>
        <w:t xml:space="preserve"> would have an annual target of VPS5 and </w:t>
      </w:r>
      <w:r w:rsidRPr="001D2464">
        <w:rPr>
          <w:szCs w:val="22"/>
        </w:rPr>
        <w:t xml:space="preserve">VPS6 reductions, capped at 15 per cent </w:t>
      </w:r>
      <w:r w:rsidR="00BC76DC">
        <w:rPr>
          <w:szCs w:val="22"/>
        </w:rPr>
        <w:t>(</w:t>
      </w:r>
      <w:r w:rsidRPr="001D2464">
        <w:rPr>
          <w:szCs w:val="22"/>
        </w:rPr>
        <w:t xml:space="preserve">like the methodology used for </w:t>
      </w:r>
      <w:r w:rsidR="00054763">
        <w:rPr>
          <w:szCs w:val="22"/>
        </w:rPr>
        <w:t xml:space="preserve">departmental </w:t>
      </w:r>
      <w:r w:rsidRPr="001D2464">
        <w:rPr>
          <w:szCs w:val="22"/>
        </w:rPr>
        <w:t>SES</w:t>
      </w:r>
      <w:r w:rsidR="00054763">
        <w:rPr>
          <w:szCs w:val="22"/>
        </w:rPr>
        <w:t>/STS</w:t>
      </w:r>
      <w:r w:rsidRPr="001D2464">
        <w:rPr>
          <w:szCs w:val="22"/>
        </w:rPr>
        <w:t xml:space="preserve"> reductions</w:t>
      </w:r>
      <w:r w:rsidR="00054763">
        <w:rPr>
          <w:szCs w:val="22"/>
        </w:rPr>
        <w:t>) over 4 years</w:t>
      </w:r>
      <w:r w:rsidRPr="001D2464">
        <w:rPr>
          <w:szCs w:val="22"/>
        </w:rPr>
        <w:t xml:space="preserve">.   </w:t>
      </w:r>
    </w:p>
    <w:p w14:paraId="7DE36C81" w14:textId="1DCABB8B" w:rsidR="004D26BC" w:rsidRPr="001D2464" w:rsidRDefault="004D26BC" w:rsidP="004B0A13">
      <w:pPr>
        <w:rPr>
          <w:szCs w:val="22"/>
        </w:rPr>
      </w:pPr>
      <w:r w:rsidRPr="001D2464">
        <w:rPr>
          <w:szCs w:val="22"/>
        </w:rPr>
        <w:t xml:space="preserve">Departments </w:t>
      </w:r>
      <w:r w:rsidRPr="00F46CD6">
        <w:rPr>
          <w:szCs w:val="22"/>
        </w:rPr>
        <w:t xml:space="preserve">and </w:t>
      </w:r>
      <w:r w:rsidR="001622D2" w:rsidRPr="00F46CD6">
        <w:rPr>
          <w:szCs w:val="22"/>
        </w:rPr>
        <w:t>some large entities</w:t>
      </w:r>
      <w:r w:rsidRPr="001D2464">
        <w:rPr>
          <w:szCs w:val="22"/>
        </w:rPr>
        <w:t xml:space="preserve"> will be</w:t>
      </w:r>
      <w:r w:rsidR="005379BF">
        <w:rPr>
          <w:szCs w:val="22"/>
        </w:rPr>
        <w:t> </w:t>
      </w:r>
      <w:r w:rsidRPr="001D2464">
        <w:rPr>
          <w:szCs w:val="22"/>
        </w:rPr>
        <w:t>required to review VPS5 and VPS6 positions, generally as they become vacant, and reclassify them to more junior grades wherever possible. This will produce a shift</w:t>
      </w:r>
      <w:r w:rsidR="00D051BC">
        <w:rPr>
          <w:szCs w:val="22"/>
        </w:rPr>
        <w:t> </w:t>
      </w:r>
      <w:r w:rsidRPr="001D2464">
        <w:rPr>
          <w:szCs w:val="22"/>
        </w:rPr>
        <w:t>toward</w:t>
      </w:r>
      <w:r w:rsidR="00E964FD">
        <w:rPr>
          <w:szCs w:val="22"/>
        </w:rPr>
        <w:t>s</w:t>
      </w:r>
      <w:r w:rsidRPr="001D2464">
        <w:rPr>
          <w:szCs w:val="22"/>
        </w:rPr>
        <w:t xml:space="preserve"> the pre-pandemic shape of the VPS. </w:t>
      </w:r>
    </w:p>
    <w:p w14:paraId="18C68B99" w14:textId="063B7968" w:rsidR="004D26BC" w:rsidRPr="001D2464" w:rsidRDefault="004D26BC" w:rsidP="004B0A13">
      <w:pPr>
        <w:rPr>
          <w:szCs w:val="22"/>
        </w:rPr>
      </w:pPr>
      <w:r w:rsidRPr="001D2464">
        <w:rPr>
          <w:szCs w:val="22"/>
        </w:rPr>
        <w:t xml:space="preserve">The Review recommends that each department quarantines a proportion of the reclassified roles for graduates to support talent renewal and development across the VPS. The Review understands that applications for the VPS Graduate Program have declined in recent years, and that some departments may not be prioritising </w:t>
      </w:r>
      <w:r w:rsidR="002D5A97">
        <w:rPr>
          <w:szCs w:val="22"/>
        </w:rPr>
        <w:t>the program</w:t>
      </w:r>
      <w:r w:rsidRPr="001D2464">
        <w:rPr>
          <w:szCs w:val="22"/>
        </w:rPr>
        <w:t xml:space="preserve"> as an important source of new</w:t>
      </w:r>
      <w:r w:rsidR="005379BF">
        <w:rPr>
          <w:szCs w:val="22"/>
        </w:rPr>
        <w:t> </w:t>
      </w:r>
      <w:r w:rsidRPr="001D2464">
        <w:rPr>
          <w:szCs w:val="22"/>
        </w:rPr>
        <w:t xml:space="preserve">talent.    </w:t>
      </w:r>
    </w:p>
    <w:p w14:paraId="13E63471" w14:textId="71741BD4" w:rsidR="004D26BC" w:rsidRPr="001D2464" w:rsidRDefault="004D26BC" w:rsidP="004B0A13">
      <w:pPr>
        <w:rPr>
          <w:szCs w:val="22"/>
        </w:rPr>
      </w:pPr>
      <w:r w:rsidRPr="001D2464">
        <w:rPr>
          <w:szCs w:val="22"/>
        </w:rPr>
        <w:t>Reprofiling should be undertaken with reference to the VPS E</w:t>
      </w:r>
      <w:r w:rsidR="00663962">
        <w:rPr>
          <w:szCs w:val="22"/>
        </w:rPr>
        <w:t>nterprise Agreement</w:t>
      </w:r>
      <w:r w:rsidRPr="001D2464">
        <w:rPr>
          <w:szCs w:val="22"/>
        </w:rPr>
        <w:t xml:space="preserve"> and VPSC reference materials as guidance.</w:t>
      </w:r>
    </w:p>
    <w:p w14:paraId="59A5A670" w14:textId="77777777" w:rsidR="00514DAC" w:rsidRDefault="004D26BC" w:rsidP="004D53AD">
      <w:r w:rsidRPr="001D2464">
        <w:t xml:space="preserve">The gradual redistribution across the classifications will not </w:t>
      </w:r>
      <w:r w:rsidR="009F660B" w:rsidRPr="00F46CD6">
        <w:t>ultimately</w:t>
      </w:r>
      <w:r w:rsidR="009F660B">
        <w:t xml:space="preserve"> </w:t>
      </w:r>
      <w:r w:rsidRPr="001D2464">
        <w:t>result in any net FTE reductions but will deliver $125</w:t>
      </w:r>
      <w:r w:rsidR="00FD2DE9">
        <w:t> </w:t>
      </w:r>
      <w:r w:rsidRPr="001D2464">
        <w:t xml:space="preserve">million in employee expenditure savings over the next </w:t>
      </w:r>
      <w:r w:rsidR="00BA1119">
        <w:t>4</w:t>
      </w:r>
      <w:r w:rsidRPr="001D2464">
        <w:t xml:space="preserve"> years. The VPS rebalancing will also allow the remaining VPS5 and 6 roles to be reflective of their seniority, with leadership responsibilities commensurate to their classification and</w:t>
      </w:r>
      <w:r w:rsidR="00FD2DE9">
        <w:t> </w:t>
      </w:r>
      <w:r w:rsidRPr="001D2464">
        <w:t>salary.</w:t>
      </w:r>
      <w:r>
        <w:t xml:space="preserve">  </w:t>
      </w:r>
      <w:bookmarkStart w:id="62" w:name="_Toc202523983"/>
    </w:p>
    <w:p w14:paraId="6FDDA2EE" w14:textId="77777777" w:rsidR="001D14FC" w:rsidRDefault="001D14FC" w:rsidP="00633AEE">
      <w:pPr>
        <w:pStyle w:val="Heading2"/>
        <w:sectPr w:rsidR="001D14FC" w:rsidSect="001D14FC">
          <w:type w:val="continuous"/>
          <w:pgSz w:w="11906" w:h="16838"/>
          <w:pgMar w:top="1440" w:right="1440" w:bottom="1440" w:left="1440" w:header="708" w:footer="708" w:gutter="0"/>
          <w:cols w:num="2" w:space="708"/>
          <w:docGrid w:linePitch="360"/>
          <w15:footnoteColumns w:val="1"/>
        </w:sectPr>
      </w:pPr>
    </w:p>
    <w:p w14:paraId="3C304DE9" w14:textId="724EF1F8" w:rsidR="004D26BC" w:rsidRPr="000B178D" w:rsidRDefault="0070287D" w:rsidP="00633AEE">
      <w:pPr>
        <w:pStyle w:val="Heading2"/>
      </w:pPr>
      <w:bookmarkStart w:id="63" w:name="_Toc214912003"/>
      <w:r>
        <w:lastRenderedPageBreak/>
        <w:t xml:space="preserve">5.5   </w:t>
      </w:r>
      <w:r w:rsidR="00BA1119">
        <w:t>Need for i</w:t>
      </w:r>
      <w:r w:rsidR="004D26BC" w:rsidRPr="000B178D">
        <w:t>mproved data</w:t>
      </w:r>
      <w:bookmarkEnd w:id="62"/>
      <w:bookmarkEnd w:id="63"/>
    </w:p>
    <w:p w14:paraId="24C0777A" w14:textId="77777777" w:rsidR="001D14FC" w:rsidRDefault="001D14FC" w:rsidP="004B0A13">
      <w:pPr>
        <w:rPr>
          <w:szCs w:val="22"/>
        </w:rPr>
        <w:sectPr w:rsidR="001D14FC" w:rsidSect="00AE6104">
          <w:type w:val="continuous"/>
          <w:pgSz w:w="11906" w:h="16838"/>
          <w:pgMar w:top="1440" w:right="1440" w:bottom="1440" w:left="1440" w:header="708" w:footer="708" w:gutter="0"/>
          <w:cols w:space="708"/>
          <w:docGrid w:linePitch="360"/>
          <w15:footnoteColumns w:val="1"/>
        </w:sectPr>
      </w:pPr>
    </w:p>
    <w:p w14:paraId="2429CB0C" w14:textId="2F0692F9" w:rsidR="004D26BC" w:rsidRPr="00E1432E" w:rsidRDefault="004D26BC" w:rsidP="004B0A13">
      <w:pPr>
        <w:rPr>
          <w:szCs w:val="22"/>
        </w:rPr>
      </w:pPr>
      <w:r w:rsidRPr="00CA41D7">
        <w:rPr>
          <w:szCs w:val="22"/>
        </w:rPr>
        <w:t>The Review’s analysis was significantly constrained by the lack of position-level data. To support future reform, the Review recommends the development of a workforce identifier that would enable the VPS to identify its workforce at a position level and thereby have a clear picture of spans and layers. This information should be maintained</w:t>
      </w:r>
      <w:r w:rsidRPr="00E1432E">
        <w:rPr>
          <w:szCs w:val="22"/>
        </w:rPr>
        <w:t xml:space="preserve"> sufficiently to enable whole</w:t>
      </w:r>
      <w:r w:rsidR="0015595E">
        <w:rPr>
          <w:szCs w:val="22"/>
        </w:rPr>
        <w:noBreakHyphen/>
      </w:r>
      <w:r w:rsidRPr="00E1432E">
        <w:rPr>
          <w:szCs w:val="22"/>
        </w:rPr>
        <w:t>of-government planning and oversight, and the capacity to build whole of VPS shared corporate services over time (</w:t>
      </w:r>
      <w:r w:rsidRPr="6B28AC9C">
        <w:rPr>
          <w:szCs w:val="22"/>
        </w:rPr>
        <w:t xml:space="preserve">see </w:t>
      </w:r>
      <w:r w:rsidRPr="00E1432E">
        <w:rPr>
          <w:szCs w:val="22"/>
        </w:rPr>
        <w:t xml:space="preserve">also Chapter </w:t>
      </w:r>
      <w:r w:rsidRPr="00F871D8">
        <w:rPr>
          <w:szCs w:val="22"/>
        </w:rPr>
        <w:t>7)</w:t>
      </w:r>
      <w:r w:rsidRPr="00E1432E">
        <w:rPr>
          <w:szCs w:val="22"/>
        </w:rPr>
        <w:t xml:space="preserve">. </w:t>
      </w:r>
    </w:p>
    <w:p w14:paraId="725F63C6" w14:textId="1B05922C" w:rsidR="004D26BC" w:rsidRDefault="004D26BC" w:rsidP="004B0A13">
      <w:pPr>
        <w:rPr>
          <w:szCs w:val="22"/>
        </w:rPr>
      </w:pPr>
      <w:r w:rsidRPr="00E1432E">
        <w:rPr>
          <w:szCs w:val="22"/>
        </w:rPr>
        <w:t>Once this data is established, a more rigorous spans and layers analysis can be</w:t>
      </w:r>
      <w:r w:rsidR="00056D1B">
        <w:rPr>
          <w:szCs w:val="22"/>
        </w:rPr>
        <w:t xml:space="preserve"> </w:t>
      </w:r>
      <w:r w:rsidR="000E2371">
        <w:rPr>
          <w:szCs w:val="22"/>
        </w:rPr>
        <w:br w:type="column"/>
      </w:r>
      <w:r w:rsidRPr="00E1432E">
        <w:rPr>
          <w:szCs w:val="22"/>
        </w:rPr>
        <w:t>conducted to guide further improvements</w:t>
      </w:r>
      <w:r>
        <w:rPr>
          <w:szCs w:val="22"/>
        </w:rPr>
        <w:t xml:space="preserve"> and respond to changing contexts</w:t>
      </w:r>
      <w:r w:rsidRPr="00E1432E">
        <w:rPr>
          <w:szCs w:val="22"/>
        </w:rPr>
        <w:t xml:space="preserve">. It will </w:t>
      </w:r>
      <w:r>
        <w:rPr>
          <w:szCs w:val="22"/>
        </w:rPr>
        <w:t xml:space="preserve">help </w:t>
      </w:r>
      <w:r w:rsidR="004F7345">
        <w:rPr>
          <w:szCs w:val="22"/>
        </w:rPr>
        <w:t>S</w:t>
      </w:r>
      <w:r>
        <w:rPr>
          <w:szCs w:val="22"/>
        </w:rPr>
        <w:t xml:space="preserve">ecretaries undertake good workforce planning and reporting for their </w:t>
      </w:r>
      <w:proofErr w:type="gramStart"/>
      <w:r>
        <w:rPr>
          <w:szCs w:val="22"/>
        </w:rPr>
        <w:t>departments, and</w:t>
      </w:r>
      <w:proofErr w:type="gramEnd"/>
      <w:r>
        <w:rPr>
          <w:szCs w:val="22"/>
        </w:rPr>
        <w:t xml:space="preserve"> enable</w:t>
      </w:r>
      <w:r w:rsidRPr="00E1432E">
        <w:rPr>
          <w:szCs w:val="22"/>
        </w:rPr>
        <w:t xml:space="preserve"> appropriate </w:t>
      </w:r>
      <w:r>
        <w:rPr>
          <w:szCs w:val="22"/>
        </w:rPr>
        <w:t>monitoring by central agencies</w:t>
      </w:r>
      <w:r w:rsidRPr="00E1432E">
        <w:rPr>
          <w:szCs w:val="22"/>
        </w:rPr>
        <w:t xml:space="preserve">. </w:t>
      </w:r>
    </w:p>
    <w:p w14:paraId="508389A8" w14:textId="6FA7B48D" w:rsidR="004D26BC" w:rsidRPr="00E1432E" w:rsidRDefault="004D26BC" w:rsidP="004B0A13">
      <w:pPr>
        <w:rPr>
          <w:szCs w:val="22"/>
        </w:rPr>
      </w:pPr>
      <w:r w:rsidRPr="00E1432E">
        <w:rPr>
          <w:szCs w:val="22"/>
        </w:rPr>
        <w:t xml:space="preserve">These data elements exist in the APS. </w:t>
      </w:r>
      <w:r>
        <w:rPr>
          <w:szCs w:val="22"/>
        </w:rPr>
        <w:t>It</w:t>
      </w:r>
      <w:r w:rsidRPr="00E1432E">
        <w:rPr>
          <w:szCs w:val="22"/>
        </w:rPr>
        <w:t xml:space="preserve"> is </w:t>
      </w:r>
      <w:r>
        <w:rPr>
          <w:szCs w:val="22"/>
        </w:rPr>
        <w:t xml:space="preserve">also </w:t>
      </w:r>
      <w:r w:rsidRPr="00E1432E">
        <w:rPr>
          <w:szCs w:val="22"/>
        </w:rPr>
        <w:t>standard practice in the private sector to have an ongoing and current understanding of an organisation’s number of employees, the organisation</w:t>
      </w:r>
      <w:r>
        <w:rPr>
          <w:szCs w:val="22"/>
        </w:rPr>
        <w:t>al</w:t>
      </w:r>
      <w:r w:rsidRPr="00E1432E">
        <w:rPr>
          <w:szCs w:val="22"/>
        </w:rPr>
        <w:t xml:space="preserve"> structure and their costs.</w:t>
      </w:r>
    </w:p>
    <w:p w14:paraId="06B45645" w14:textId="77777777" w:rsidR="001D14FC" w:rsidRDefault="001D14FC" w:rsidP="0001252D">
      <w:pPr>
        <w:pStyle w:val="Heading2"/>
        <w:sectPr w:rsidR="001D14FC" w:rsidSect="001D14FC">
          <w:type w:val="continuous"/>
          <w:pgSz w:w="11906" w:h="16838"/>
          <w:pgMar w:top="1440" w:right="1440" w:bottom="1440" w:left="1440" w:header="708" w:footer="708" w:gutter="0"/>
          <w:cols w:num="2" w:space="708"/>
          <w:docGrid w:linePitch="360"/>
          <w15:footnoteColumns w:val="1"/>
        </w:sectPr>
      </w:pPr>
      <w:bookmarkStart w:id="64" w:name="_Toc202523984"/>
    </w:p>
    <w:p w14:paraId="6144CD11" w14:textId="3B5A1880" w:rsidR="004D26BC" w:rsidRPr="000B178D" w:rsidRDefault="0070287D" w:rsidP="0001252D">
      <w:pPr>
        <w:pStyle w:val="Heading2"/>
      </w:pPr>
      <w:bookmarkStart w:id="65" w:name="_Toc214912004"/>
      <w:r>
        <w:t xml:space="preserve">5.6   </w:t>
      </w:r>
      <w:r w:rsidR="004D26BC" w:rsidRPr="000B178D">
        <w:t xml:space="preserve">Executive </w:t>
      </w:r>
      <w:r w:rsidR="00064607">
        <w:t>g</w:t>
      </w:r>
      <w:r w:rsidR="004D26BC" w:rsidRPr="000B178D">
        <w:t>overnment/VPS protocol</w:t>
      </w:r>
      <w:bookmarkEnd w:id="64"/>
      <w:bookmarkEnd w:id="65"/>
    </w:p>
    <w:p w14:paraId="6F81E91F" w14:textId="77777777" w:rsidR="001D14FC" w:rsidRDefault="001D14FC" w:rsidP="004B0A13">
      <w:pPr>
        <w:rPr>
          <w:szCs w:val="22"/>
        </w:rPr>
        <w:sectPr w:rsidR="001D14FC" w:rsidSect="00AE6104">
          <w:type w:val="continuous"/>
          <w:pgSz w:w="11906" w:h="16838"/>
          <w:pgMar w:top="1440" w:right="1440" w:bottom="1440" w:left="1440" w:header="708" w:footer="708" w:gutter="0"/>
          <w:cols w:space="708"/>
          <w:docGrid w:linePitch="360"/>
          <w15:footnoteColumns w:val="1"/>
        </w:sectPr>
      </w:pPr>
    </w:p>
    <w:p w14:paraId="277BF99E" w14:textId="77777777" w:rsidR="004D26BC" w:rsidRPr="00CA41D7" w:rsidRDefault="004D26BC" w:rsidP="004B0A13">
      <w:pPr>
        <w:rPr>
          <w:szCs w:val="22"/>
        </w:rPr>
      </w:pPr>
      <w:r w:rsidRPr="00CA41D7">
        <w:rPr>
          <w:szCs w:val="22"/>
        </w:rPr>
        <w:t xml:space="preserve">The Review recommends the development of a new protocol to govern the relationship between the executive government (ministers and their staff) and the VPS.  </w:t>
      </w:r>
    </w:p>
    <w:p w14:paraId="5A23E037" w14:textId="6A5FFBE7" w:rsidR="004D26BC" w:rsidRPr="00CA41D7" w:rsidRDefault="004D26BC" w:rsidP="004B0A13">
      <w:pPr>
        <w:rPr>
          <w:szCs w:val="22"/>
        </w:rPr>
      </w:pPr>
      <w:r w:rsidRPr="00CA41D7">
        <w:rPr>
          <w:szCs w:val="22"/>
        </w:rPr>
        <w:t xml:space="preserve">The shift in the VPS structure to a </w:t>
      </w:r>
      <w:r>
        <w:rPr>
          <w:szCs w:val="22"/>
        </w:rPr>
        <w:t>top-heavier</w:t>
      </w:r>
      <w:r w:rsidRPr="00CA41D7">
        <w:rPr>
          <w:szCs w:val="22"/>
        </w:rPr>
        <w:t xml:space="preserve"> shape – and the related increased reliance on and growth in SES roles – has not happened in a vacuum. The Review has heard </w:t>
      </w:r>
      <w:r>
        <w:rPr>
          <w:szCs w:val="22"/>
        </w:rPr>
        <w:t>that</w:t>
      </w:r>
      <w:r w:rsidRPr="00CA41D7">
        <w:rPr>
          <w:szCs w:val="22"/>
        </w:rPr>
        <w:t xml:space="preserve">, in recent years, the scale and pace of executive government’s ambition and demands for responsiveness have </w:t>
      </w:r>
      <w:r w:rsidR="00F11FA8">
        <w:rPr>
          <w:szCs w:val="22"/>
        </w:rPr>
        <w:t>at times</w:t>
      </w:r>
      <w:r w:rsidRPr="00CA41D7">
        <w:rPr>
          <w:szCs w:val="22"/>
        </w:rPr>
        <w:t xml:space="preserve"> outstripped </w:t>
      </w:r>
      <w:r w:rsidR="00B90B3C">
        <w:rPr>
          <w:szCs w:val="22"/>
        </w:rPr>
        <w:t>VPS</w:t>
      </w:r>
      <w:r w:rsidRPr="00CA41D7">
        <w:rPr>
          <w:szCs w:val="22"/>
        </w:rPr>
        <w:t xml:space="preserve"> capacity. This has seen growing delivery risks, rising staff burnout, and strategic functions being deprioritised to meet short-term demands. There </w:t>
      </w:r>
      <w:r>
        <w:rPr>
          <w:szCs w:val="22"/>
        </w:rPr>
        <w:t>is</w:t>
      </w:r>
      <w:r w:rsidRPr="00CA41D7">
        <w:rPr>
          <w:szCs w:val="22"/>
        </w:rPr>
        <w:t xml:space="preserve"> a misalignment of expectations and</w:t>
      </w:r>
      <w:r w:rsidR="002F5DAE">
        <w:rPr>
          <w:szCs w:val="22"/>
        </w:rPr>
        <w:t> </w:t>
      </w:r>
      <w:r w:rsidRPr="00CA41D7">
        <w:rPr>
          <w:szCs w:val="22"/>
        </w:rPr>
        <w:t>capacity.</w:t>
      </w:r>
    </w:p>
    <w:p w14:paraId="2D5D7234" w14:textId="7A626788" w:rsidR="004D26BC" w:rsidRPr="00E1432E" w:rsidRDefault="004D26BC" w:rsidP="004B0A13">
      <w:pPr>
        <w:rPr>
          <w:szCs w:val="22"/>
        </w:rPr>
      </w:pPr>
      <w:r w:rsidRPr="00CA41D7">
        <w:rPr>
          <w:szCs w:val="22"/>
        </w:rPr>
        <w:t>A high-performing public service is a cornerstone of effective government. While</w:t>
      </w:r>
      <w:r w:rsidR="001C1A11">
        <w:rPr>
          <w:szCs w:val="22"/>
        </w:rPr>
        <w:t> </w:t>
      </w:r>
      <w:r w:rsidRPr="00CA41D7">
        <w:rPr>
          <w:szCs w:val="22"/>
        </w:rPr>
        <w:t xml:space="preserve">the respective roles of the executive government and the public service are distinct, they are deeply interdependent. </w:t>
      </w:r>
      <w:r w:rsidRPr="00CA41D7">
        <w:rPr>
          <w:szCs w:val="22"/>
        </w:rPr>
        <w:t>The executive government</w:t>
      </w:r>
      <w:r w:rsidRPr="00E1432E">
        <w:rPr>
          <w:szCs w:val="22"/>
        </w:rPr>
        <w:t xml:space="preserve"> sets direction and policy priorities; the public service brings institutional memory, capability, and delivery expertise. When these roles are respected and aligned, outcomes improve. When they are misaligned </w:t>
      </w:r>
      <w:r>
        <w:rPr>
          <w:szCs w:val="22"/>
        </w:rPr>
        <w:t xml:space="preserve">– </w:t>
      </w:r>
      <w:r w:rsidRPr="00E1432E">
        <w:rPr>
          <w:szCs w:val="22"/>
        </w:rPr>
        <w:t xml:space="preserve">particularly under </w:t>
      </w:r>
      <w:r w:rsidRPr="003876A4">
        <w:rPr>
          <w:szCs w:val="22"/>
        </w:rPr>
        <w:t>continuous</w:t>
      </w:r>
      <w:r>
        <w:rPr>
          <w:szCs w:val="22"/>
        </w:rPr>
        <w:t xml:space="preserve"> </w:t>
      </w:r>
      <w:r w:rsidRPr="00E1432E">
        <w:rPr>
          <w:szCs w:val="22"/>
        </w:rPr>
        <w:t xml:space="preserve">pressure </w:t>
      </w:r>
      <w:r>
        <w:rPr>
          <w:szCs w:val="22"/>
        </w:rPr>
        <w:t xml:space="preserve">– </w:t>
      </w:r>
      <w:r w:rsidRPr="00E1432E">
        <w:rPr>
          <w:szCs w:val="22"/>
        </w:rPr>
        <w:t>delivery quality, workforce sustainability and trust are all at risk. </w:t>
      </w:r>
    </w:p>
    <w:p w14:paraId="74F2EEA8" w14:textId="0BEB8A52" w:rsidR="004D26BC" w:rsidRPr="00CA41D7" w:rsidRDefault="004D26BC" w:rsidP="004B0A13">
      <w:pPr>
        <w:rPr>
          <w:szCs w:val="22"/>
        </w:rPr>
      </w:pPr>
      <w:r w:rsidRPr="00E1432E">
        <w:rPr>
          <w:szCs w:val="22"/>
        </w:rPr>
        <w:t>To</w:t>
      </w:r>
      <w:r>
        <w:rPr>
          <w:szCs w:val="22"/>
        </w:rPr>
        <w:t xml:space="preserve"> help</w:t>
      </w:r>
      <w:r w:rsidRPr="00E1432E">
        <w:rPr>
          <w:szCs w:val="22"/>
        </w:rPr>
        <w:t xml:space="preserve"> reset this relationship and support better long-term outcomes, there is a strong case for codifying the way </w:t>
      </w:r>
      <w:r w:rsidRPr="00CA41D7">
        <w:rPr>
          <w:szCs w:val="22"/>
        </w:rPr>
        <w:t xml:space="preserve">of working between the executive government and the public service. An agreed protocol that clearly defines roles, recognises capability constraints and promotes shared stewardship of government effectiveness would benefit the executive </w:t>
      </w:r>
      <w:r>
        <w:rPr>
          <w:szCs w:val="22"/>
        </w:rPr>
        <w:t>government, the</w:t>
      </w:r>
      <w:r w:rsidRPr="00CA41D7">
        <w:rPr>
          <w:szCs w:val="22"/>
        </w:rPr>
        <w:t xml:space="preserve"> public service and </w:t>
      </w:r>
      <w:r>
        <w:rPr>
          <w:szCs w:val="22"/>
        </w:rPr>
        <w:t>ultimately the community</w:t>
      </w:r>
      <w:r w:rsidRPr="00CA41D7">
        <w:rPr>
          <w:szCs w:val="22"/>
        </w:rPr>
        <w:t>. </w:t>
      </w:r>
    </w:p>
    <w:p w14:paraId="26BAA4F5" w14:textId="69C3AA70" w:rsidR="004D26BC" w:rsidRPr="00E1432E" w:rsidRDefault="004D26BC" w:rsidP="004B0A13">
      <w:pPr>
        <w:rPr>
          <w:szCs w:val="22"/>
        </w:rPr>
      </w:pPr>
      <w:r w:rsidRPr="00CA41D7">
        <w:rPr>
          <w:szCs w:val="22"/>
        </w:rPr>
        <w:t>The VPSC has developed a range of policies, protocols and codes that</w:t>
      </w:r>
      <w:r>
        <w:rPr>
          <w:szCs w:val="22"/>
        </w:rPr>
        <w:t xml:space="preserve"> would</w:t>
      </w:r>
      <w:r w:rsidRPr="00CA41D7">
        <w:rPr>
          <w:szCs w:val="22"/>
        </w:rPr>
        <w:t xml:space="preserve"> </w:t>
      </w:r>
      <w:r w:rsidRPr="00CA41D7">
        <w:rPr>
          <w:szCs w:val="22"/>
        </w:rPr>
        <w:lastRenderedPageBreak/>
        <w:t xml:space="preserve">form the basis for a new, standalone protocol. The Australian Public Service Commission (APSC) developed the </w:t>
      </w:r>
      <w:r w:rsidRPr="00AB5E52">
        <w:rPr>
          <w:szCs w:val="22"/>
        </w:rPr>
        <w:t>Working</w:t>
      </w:r>
      <w:r w:rsidR="006C27A8">
        <w:rPr>
          <w:szCs w:val="22"/>
        </w:rPr>
        <w:t> </w:t>
      </w:r>
      <w:r w:rsidRPr="00AB5E52">
        <w:rPr>
          <w:szCs w:val="22"/>
        </w:rPr>
        <w:t>with Ministers</w:t>
      </w:r>
      <w:r w:rsidRPr="00CA41D7">
        <w:rPr>
          <w:szCs w:val="22"/>
        </w:rPr>
        <w:t xml:space="preserve"> policy in 2021</w:t>
      </w:r>
      <w:r>
        <w:rPr>
          <w:szCs w:val="22"/>
        </w:rPr>
        <w:t>. This</w:t>
      </w:r>
      <w:r w:rsidR="006C27A8">
        <w:rPr>
          <w:szCs w:val="22"/>
        </w:rPr>
        <w:t> </w:t>
      </w:r>
      <w:r w:rsidRPr="00CA41D7">
        <w:rPr>
          <w:szCs w:val="22"/>
        </w:rPr>
        <w:t>serves</w:t>
      </w:r>
      <w:r w:rsidRPr="00E1432E">
        <w:rPr>
          <w:szCs w:val="22"/>
        </w:rPr>
        <w:t xml:space="preserve"> as an excellent blueprint for Victoria in combination with the VPSC’s existing work.</w:t>
      </w:r>
      <w:r w:rsidRPr="00CA41D7">
        <w:rPr>
          <w:rStyle w:val="FootnoteReference"/>
          <w:szCs w:val="22"/>
        </w:rPr>
        <w:footnoteReference w:id="16"/>
      </w:r>
      <w:r w:rsidRPr="00E1432E">
        <w:rPr>
          <w:szCs w:val="22"/>
        </w:rPr>
        <w:t xml:space="preserve"> </w:t>
      </w:r>
    </w:p>
    <w:p w14:paraId="615723A4" w14:textId="4BF804D2" w:rsidR="004D26BC" w:rsidRPr="00E1432E" w:rsidRDefault="004D26BC" w:rsidP="004B0A13">
      <w:pPr>
        <w:rPr>
          <w:szCs w:val="22"/>
        </w:rPr>
      </w:pPr>
      <w:r w:rsidRPr="00E1432E">
        <w:rPr>
          <w:szCs w:val="22"/>
        </w:rPr>
        <w:t xml:space="preserve">The new protocol needs to be the single, pre-eminent rule book or agreed way of </w:t>
      </w:r>
      <w:r w:rsidR="00955DAC">
        <w:rPr>
          <w:szCs w:val="22"/>
        </w:rPr>
        <w:br w:type="column"/>
      </w:r>
      <w:r w:rsidRPr="00E1432E">
        <w:rPr>
          <w:szCs w:val="22"/>
        </w:rPr>
        <w:t>working – replacing existing guidelines or policies</w:t>
      </w:r>
      <w:r w:rsidR="00E2538B">
        <w:rPr>
          <w:szCs w:val="22"/>
        </w:rPr>
        <w:t xml:space="preserve">, </w:t>
      </w:r>
      <w:r w:rsidR="00E2538B" w:rsidRPr="00F46CD6">
        <w:rPr>
          <w:szCs w:val="22"/>
        </w:rPr>
        <w:t>and appropriate</w:t>
      </w:r>
      <w:r w:rsidRPr="00E1432E">
        <w:rPr>
          <w:szCs w:val="22"/>
        </w:rPr>
        <w:t xml:space="preserve"> for a </w:t>
      </w:r>
      <w:r w:rsidR="00C4341E" w:rsidRPr="00F46CD6">
        <w:rPr>
          <w:szCs w:val="22"/>
        </w:rPr>
        <w:t>more streamlined VPS</w:t>
      </w:r>
      <w:r w:rsidRPr="00E1432E">
        <w:rPr>
          <w:szCs w:val="22"/>
        </w:rPr>
        <w:t xml:space="preserve">. It needs </w:t>
      </w:r>
      <w:r w:rsidRPr="00CA41D7">
        <w:rPr>
          <w:szCs w:val="22"/>
        </w:rPr>
        <w:t>to be adopted by the executive</w:t>
      </w:r>
      <w:r w:rsidRPr="00E1432E">
        <w:rPr>
          <w:szCs w:val="22"/>
        </w:rPr>
        <w:t xml:space="preserve"> </w:t>
      </w:r>
      <w:r w:rsidRPr="2657FE10">
        <w:rPr>
          <w:szCs w:val="22"/>
        </w:rPr>
        <w:t>government and</w:t>
      </w:r>
      <w:r w:rsidRPr="00E1432E">
        <w:rPr>
          <w:szCs w:val="22"/>
        </w:rPr>
        <w:t xml:space="preserve"> the public service, referenced in all related guidance material, and embedded in induction and development material for both</w:t>
      </w:r>
      <w:r>
        <w:rPr>
          <w:szCs w:val="22"/>
        </w:rPr>
        <w:t xml:space="preserve"> workforces</w:t>
      </w:r>
      <w:r w:rsidRPr="00E1432E">
        <w:rPr>
          <w:szCs w:val="22"/>
        </w:rPr>
        <w:t>.</w:t>
      </w:r>
    </w:p>
    <w:p w14:paraId="65D942BF" w14:textId="77777777" w:rsidR="001D14FC" w:rsidRDefault="001D14FC" w:rsidP="0001252D">
      <w:pPr>
        <w:pStyle w:val="Heading2"/>
        <w:sectPr w:rsidR="001D14FC" w:rsidSect="001D14FC">
          <w:type w:val="continuous"/>
          <w:pgSz w:w="11906" w:h="16838"/>
          <w:pgMar w:top="1440" w:right="1440" w:bottom="1440" w:left="1440" w:header="708" w:footer="708" w:gutter="0"/>
          <w:cols w:num="2" w:space="708"/>
          <w:docGrid w:linePitch="360"/>
          <w15:footnoteColumns w:val="1"/>
        </w:sectPr>
      </w:pPr>
      <w:bookmarkStart w:id="66" w:name="_Toc202523985"/>
    </w:p>
    <w:p w14:paraId="66FF4635" w14:textId="35D91407" w:rsidR="004D26BC" w:rsidRPr="000B178D" w:rsidRDefault="0070287D" w:rsidP="0001252D">
      <w:pPr>
        <w:pStyle w:val="Heading2"/>
      </w:pPr>
      <w:bookmarkStart w:id="67" w:name="_Toc214912005"/>
      <w:r>
        <w:t xml:space="preserve">5.7   </w:t>
      </w:r>
      <w:r w:rsidR="004D26BC" w:rsidRPr="000B178D">
        <w:t>Capability reviews</w:t>
      </w:r>
      <w:bookmarkEnd w:id="66"/>
      <w:bookmarkEnd w:id="67"/>
      <w:r w:rsidR="004D26BC" w:rsidRPr="000B178D">
        <w:t xml:space="preserve"> </w:t>
      </w:r>
    </w:p>
    <w:p w14:paraId="35F9630A" w14:textId="77777777" w:rsidR="001D14FC" w:rsidRDefault="001D14FC" w:rsidP="004B0A13">
      <w:pPr>
        <w:rPr>
          <w:szCs w:val="22"/>
        </w:rPr>
        <w:sectPr w:rsidR="001D14FC" w:rsidSect="00AE6104">
          <w:type w:val="continuous"/>
          <w:pgSz w:w="11906" w:h="16838"/>
          <w:pgMar w:top="1440" w:right="1440" w:bottom="1440" w:left="1440" w:header="708" w:footer="708" w:gutter="0"/>
          <w:cols w:space="708"/>
          <w:docGrid w:linePitch="360"/>
          <w15:footnoteColumns w:val="1"/>
        </w:sectPr>
      </w:pPr>
    </w:p>
    <w:p w14:paraId="6A355437" w14:textId="77777777" w:rsidR="004D26BC" w:rsidRPr="00E1432E" w:rsidRDefault="004D26BC" w:rsidP="004B0A13">
      <w:pPr>
        <w:rPr>
          <w:szCs w:val="22"/>
        </w:rPr>
      </w:pPr>
      <w:r>
        <w:rPr>
          <w:szCs w:val="22"/>
        </w:rPr>
        <w:t xml:space="preserve">The delivery of high-quality core services and sound advice to government depends on the quality of the VPS. </w:t>
      </w:r>
      <w:r w:rsidRPr="00E1432E">
        <w:rPr>
          <w:szCs w:val="22"/>
        </w:rPr>
        <w:t xml:space="preserve">The Review recommends that the </w:t>
      </w:r>
      <w:r>
        <w:rPr>
          <w:szCs w:val="22"/>
        </w:rPr>
        <w:t xml:space="preserve">changes in structure and </w:t>
      </w:r>
      <w:r w:rsidRPr="00E1432E">
        <w:rPr>
          <w:szCs w:val="22"/>
        </w:rPr>
        <w:t xml:space="preserve">reduction in staff </w:t>
      </w:r>
      <w:r>
        <w:rPr>
          <w:szCs w:val="22"/>
        </w:rPr>
        <w:t>are</w:t>
      </w:r>
      <w:r w:rsidRPr="00E1432E">
        <w:rPr>
          <w:szCs w:val="22"/>
        </w:rPr>
        <w:t xml:space="preserve"> supported by a refreshed approach to</w:t>
      </w:r>
      <w:r>
        <w:rPr>
          <w:szCs w:val="22"/>
        </w:rPr>
        <w:t xml:space="preserve"> reviewing and building</w:t>
      </w:r>
      <w:r w:rsidRPr="00E1432E">
        <w:rPr>
          <w:szCs w:val="22"/>
        </w:rPr>
        <w:t xml:space="preserve"> </w:t>
      </w:r>
      <w:r>
        <w:rPr>
          <w:szCs w:val="22"/>
        </w:rPr>
        <w:t xml:space="preserve">VPS </w:t>
      </w:r>
      <w:r w:rsidRPr="00E1432E">
        <w:rPr>
          <w:szCs w:val="22"/>
        </w:rPr>
        <w:t xml:space="preserve">capability. </w:t>
      </w:r>
    </w:p>
    <w:p w14:paraId="1AECB094" w14:textId="5CF20C03" w:rsidR="004D26BC" w:rsidRPr="00E1432E" w:rsidRDefault="004D26BC" w:rsidP="004B0A13">
      <w:pPr>
        <w:rPr>
          <w:szCs w:val="22"/>
        </w:rPr>
      </w:pPr>
      <w:r w:rsidRPr="00E1432E">
        <w:rPr>
          <w:szCs w:val="22"/>
        </w:rPr>
        <w:t xml:space="preserve">Given the changing nature of demands and priorities, and the natural turnover seen in any workforce of this size, workforce capability needs to be a key feature of government’s ongoing approach to annual planning and review – where departmental </w:t>
      </w:r>
      <w:r w:rsidR="004F7345">
        <w:rPr>
          <w:szCs w:val="22"/>
        </w:rPr>
        <w:t>S</w:t>
      </w:r>
      <w:r>
        <w:rPr>
          <w:szCs w:val="22"/>
        </w:rPr>
        <w:t>ecretaries</w:t>
      </w:r>
      <w:r w:rsidRPr="00E1432E">
        <w:rPr>
          <w:szCs w:val="22"/>
        </w:rPr>
        <w:t xml:space="preserve"> and senior executives, consulting with </w:t>
      </w:r>
      <w:r>
        <w:rPr>
          <w:szCs w:val="22"/>
        </w:rPr>
        <w:t>m</w:t>
      </w:r>
      <w:r w:rsidRPr="00E1432E">
        <w:rPr>
          <w:szCs w:val="22"/>
        </w:rPr>
        <w:t>inisters, undertake a frank</w:t>
      </w:r>
      <w:r w:rsidR="006A4BC4">
        <w:rPr>
          <w:szCs w:val="22"/>
        </w:rPr>
        <w:t> </w:t>
      </w:r>
      <w:r w:rsidRPr="00E1432E">
        <w:rPr>
          <w:szCs w:val="22"/>
        </w:rPr>
        <w:t xml:space="preserve">assessment of departmental workforce </w:t>
      </w:r>
      <w:r w:rsidR="00F6687C">
        <w:rPr>
          <w:szCs w:val="22"/>
        </w:rPr>
        <w:t>cap</w:t>
      </w:r>
      <w:r w:rsidRPr="00E1432E">
        <w:rPr>
          <w:szCs w:val="22"/>
        </w:rPr>
        <w:t>ability.</w:t>
      </w:r>
    </w:p>
    <w:p w14:paraId="053ED524" w14:textId="77777777" w:rsidR="004D26BC" w:rsidRPr="006A43B6" w:rsidRDefault="004D26BC" w:rsidP="004B0A13">
      <w:pPr>
        <w:rPr>
          <w:szCs w:val="22"/>
        </w:rPr>
      </w:pPr>
      <w:r w:rsidRPr="00CA41D7">
        <w:rPr>
          <w:szCs w:val="22"/>
        </w:rPr>
        <w:t>Currently</w:t>
      </w:r>
      <w:r>
        <w:rPr>
          <w:szCs w:val="22"/>
        </w:rPr>
        <w:t>,</w:t>
      </w:r>
      <w:r w:rsidRPr="00CA41D7">
        <w:rPr>
          <w:szCs w:val="22"/>
        </w:rPr>
        <w:t xml:space="preserve"> Victoria has the </w:t>
      </w:r>
      <w:r w:rsidRPr="00CE16B8">
        <w:rPr>
          <w:szCs w:val="22"/>
        </w:rPr>
        <w:t>VPSC Capability Framework</w:t>
      </w:r>
      <w:r w:rsidRPr="00CA41D7">
        <w:rPr>
          <w:szCs w:val="22"/>
        </w:rPr>
        <w:t xml:space="preserve"> that defines the capabilities the VPS requires and the </w:t>
      </w:r>
      <w:r w:rsidRPr="00CE16B8">
        <w:rPr>
          <w:szCs w:val="22"/>
        </w:rPr>
        <w:t>2025 Capability Development Statement</w:t>
      </w:r>
      <w:r w:rsidRPr="00972A86">
        <w:rPr>
          <w:iCs/>
          <w:szCs w:val="22"/>
        </w:rPr>
        <w:t>,</w:t>
      </w:r>
      <w:r w:rsidRPr="00CA41D7">
        <w:rPr>
          <w:szCs w:val="22"/>
        </w:rPr>
        <w:t xml:space="preserve"> which outlines a commitment to public service capability development. However</w:t>
      </w:r>
      <w:r>
        <w:rPr>
          <w:szCs w:val="22"/>
        </w:rPr>
        <w:t>,</w:t>
      </w:r>
      <w:r w:rsidRPr="00CA41D7">
        <w:rPr>
          <w:szCs w:val="22"/>
        </w:rPr>
        <w:t xml:space="preserve"> the absence of a process to actively assess each department’s capability is a gap in the existing framework.</w:t>
      </w:r>
      <w:r w:rsidRPr="006A43B6">
        <w:rPr>
          <w:szCs w:val="22"/>
        </w:rPr>
        <w:t xml:space="preserve"> </w:t>
      </w:r>
    </w:p>
    <w:p w14:paraId="56838278" w14:textId="036B625B" w:rsidR="004D26BC" w:rsidRPr="00E1432E" w:rsidRDefault="004135E3" w:rsidP="004B0A13">
      <w:pPr>
        <w:rPr>
          <w:szCs w:val="22"/>
        </w:rPr>
      </w:pPr>
      <w:r>
        <w:rPr>
          <w:szCs w:val="22"/>
        </w:rPr>
        <w:br w:type="column"/>
      </w:r>
      <w:r w:rsidR="004D26BC">
        <w:rPr>
          <w:szCs w:val="22"/>
        </w:rPr>
        <w:t>The VPS</w:t>
      </w:r>
      <w:r w:rsidR="004D26BC" w:rsidRPr="00E1432E">
        <w:rPr>
          <w:szCs w:val="22"/>
        </w:rPr>
        <w:t xml:space="preserve"> would benefit from capability reviews that assess alignment between departmental objectives</w:t>
      </w:r>
      <w:r w:rsidR="004D26BC">
        <w:rPr>
          <w:szCs w:val="22"/>
        </w:rPr>
        <w:t>,</w:t>
      </w:r>
      <w:r w:rsidR="004D26BC" w:rsidRPr="00E1432E">
        <w:rPr>
          <w:szCs w:val="22"/>
        </w:rPr>
        <w:t xml:space="preserve"> </w:t>
      </w:r>
      <w:r w:rsidR="004D26BC">
        <w:rPr>
          <w:szCs w:val="22"/>
        </w:rPr>
        <w:t xml:space="preserve">government </w:t>
      </w:r>
      <w:r w:rsidR="004D26BC" w:rsidRPr="00E1432E">
        <w:rPr>
          <w:szCs w:val="22"/>
        </w:rPr>
        <w:t>priorities and the capability of departments to deliver. This would inform decisions on staff development, organisational structure, policy change and resource utilisation</w:t>
      </w:r>
      <w:r w:rsidR="004D26BC">
        <w:rPr>
          <w:szCs w:val="22"/>
        </w:rPr>
        <w:t xml:space="preserve"> (</w:t>
      </w:r>
      <w:r w:rsidR="004D26BC" w:rsidRPr="00E1432E">
        <w:rPr>
          <w:szCs w:val="22"/>
        </w:rPr>
        <w:t>including base funding</w:t>
      </w:r>
      <w:r w:rsidR="004D26BC">
        <w:rPr>
          <w:szCs w:val="22"/>
        </w:rPr>
        <w:t>)</w:t>
      </w:r>
      <w:r w:rsidR="004D26BC" w:rsidRPr="00E1432E">
        <w:rPr>
          <w:szCs w:val="22"/>
        </w:rPr>
        <w:t>. </w:t>
      </w:r>
    </w:p>
    <w:p w14:paraId="0E311EDF" w14:textId="08414D16" w:rsidR="004D26BC" w:rsidRPr="00572CED" w:rsidRDefault="004D26BC" w:rsidP="004B0A13">
      <w:pPr>
        <w:rPr>
          <w:szCs w:val="22"/>
        </w:rPr>
      </w:pPr>
      <w:r w:rsidRPr="00E1432E">
        <w:rPr>
          <w:szCs w:val="22"/>
        </w:rPr>
        <w:t xml:space="preserve">In the </w:t>
      </w:r>
      <w:r>
        <w:rPr>
          <w:szCs w:val="22"/>
        </w:rPr>
        <w:t>APS</w:t>
      </w:r>
      <w:r w:rsidRPr="00E1432E">
        <w:rPr>
          <w:szCs w:val="22"/>
        </w:rPr>
        <w:t xml:space="preserve">, </w:t>
      </w:r>
      <w:r>
        <w:rPr>
          <w:szCs w:val="22"/>
        </w:rPr>
        <w:t>c</w:t>
      </w:r>
      <w:r w:rsidRPr="00E1432E">
        <w:rPr>
          <w:szCs w:val="22"/>
        </w:rPr>
        <w:t xml:space="preserve">apability </w:t>
      </w:r>
      <w:r>
        <w:rPr>
          <w:szCs w:val="22"/>
        </w:rPr>
        <w:t>r</w:t>
      </w:r>
      <w:r w:rsidRPr="00E1432E">
        <w:rPr>
          <w:szCs w:val="22"/>
        </w:rPr>
        <w:t>eviews are forward-looking and assess an agency's ability to meet future objectives and challenges. They</w:t>
      </w:r>
      <w:r w:rsidR="00773A3D">
        <w:rPr>
          <w:szCs w:val="22"/>
        </w:rPr>
        <w:t> </w:t>
      </w:r>
      <w:r w:rsidRPr="00E1432E">
        <w:rPr>
          <w:szCs w:val="22"/>
        </w:rPr>
        <w:t>are led by an independent review team and conducted in line with a Capability Review Framework</w:t>
      </w:r>
      <w:r>
        <w:rPr>
          <w:szCs w:val="22"/>
        </w:rPr>
        <w:t xml:space="preserve"> </w:t>
      </w:r>
      <w:r w:rsidRPr="00E1432E">
        <w:rPr>
          <w:szCs w:val="22"/>
        </w:rPr>
        <w:t>that</w:t>
      </w:r>
      <w:r>
        <w:rPr>
          <w:szCs w:val="22"/>
        </w:rPr>
        <w:t xml:space="preserve"> i</w:t>
      </w:r>
      <w:r w:rsidRPr="00572CED">
        <w:rPr>
          <w:szCs w:val="22"/>
        </w:rPr>
        <w:t xml:space="preserve">dentifies how the agency’s operating context may change over the next </w:t>
      </w:r>
      <w:r w:rsidR="00980B7A">
        <w:rPr>
          <w:szCs w:val="22"/>
        </w:rPr>
        <w:t>4</w:t>
      </w:r>
      <w:r w:rsidRPr="00572CED">
        <w:rPr>
          <w:szCs w:val="22"/>
        </w:rPr>
        <w:t xml:space="preserve"> years (the excellence horizon</w:t>
      </w:r>
      <w:r w:rsidR="00A73EF2" w:rsidRPr="00572CED">
        <w:rPr>
          <w:szCs w:val="22"/>
        </w:rPr>
        <w:t>)</w:t>
      </w:r>
      <w:r w:rsidR="00A73EF2">
        <w:rPr>
          <w:szCs w:val="22"/>
        </w:rPr>
        <w:t>. It also</w:t>
      </w:r>
      <w:r w:rsidRPr="00572CED">
        <w:rPr>
          <w:szCs w:val="22"/>
        </w:rPr>
        <w:t xml:space="preserve"> </w:t>
      </w:r>
      <w:r>
        <w:rPr>
          <w:szCs w:val="22"/>
        </w:rPr>
        <w:t>a</w:t>
      </w:r>
      <w:r w:rsidRPr="00572CED">
        <w:rPr>
          <w:szCs w:val="22"/>
        </w:rPr>
        <w:t>ssesses organisational capability across 18 elements to establish gaps and opportunities relative to th</w:t>
      </w:r>
      <w:r>
        <w:rPr>
          <w:szCs w:val="22"/>
        </w:rPr>
        <w:t>e</w:t>
      </w:r>
      <w:r w:rsidRPr="00572CED">
        <w:rPr>
          <w:szCs w:val="22"/>
        </w:rPr>
        <w:t xml:space="preserve"> operating context.</w:t>
      </w:r>
    </w:p>
    <w:p w14:paraId="0D7A0C5C" w14:textId="77777777" w:rsidR="004D26BC" w:rsidRPr="00CA41D7" w:rsidRDefault="004D26BC" w:rsidP="004B0A13">
      <w:pPr>
        <w:rPr>
          <w:szCs w:val="22"/>
        </w:rPr>
      </w:pPr>
      <w:r w:rsidRPr="00CA41D7">
        <w:rPr>
          <w:szCs w:val="22"/>
        </w:rPr>
        <w:t>The capability review process offers several benefits:</w:t>
      </w:r>
    </w:p>
    <w:p w14:paraId="1E38D381" w14:textId="007163D0" w:rsidR="004D26BC" w:rsidRPr="00CA41D7" w:rsidRDefault="004D26BC" w:rsidP="00D207B3">
      <w:pPr>
        <w:numPr>
          <w:ilvl w:val="0"/>
          <w:numId w:val="27"/>
        </w:numPr>
        <w:rPr>
          <w:szCs w:val="22"/>
        </w:rPr>
      </w:pPr>
      <w:r w:rsidRPr="00CA41D7">
        <w:rPr>
          <w:b/>
          <w:szCs w:val="22"/>
        </w:rPr>
        <w:t xml:space="preserve">Strategic </w:t>
      </w:r>
      <w:r w:rsidR="00C4341E">
        <w:rPr>
          <w:b/>
          <w:szCs w:val="22"/>
        </w:rPr>
        <w:t>a</w:t>
      </w:r>
      <w:r w:rsidRPr="00CA41D7">
        <w:rPr>
          <w:b/>
          <w:szCs w:val="22"/>
        </w:rPr>
        <w:t>lignment</w:t>
      </w:r>
      <w:r w:rsidRPr="00CA41D7">
        <w:rPr>
          <w:szCs w:val="22"/>
        </w:rPr>
        <w:t xml:space="preserve">: Helps agencies align their capabilities with future objectives and government priorities. </w:t>
      </w:r>
    </w:p>
    <w:p w14:paraId="0516CA8B" w14:textId="584F12DB" w:rsidR="004D26BC" w:rsidRPr="00CA41D7" w:rsidRDefault="004135E3" w:rsidP="00D207B3">
      <w:pPr>
        <w:numPr>
          <w:ilvl w:val="0"/>
          <w:numId w:val="27"/>
        </w:numPr>
        <w:rPr>
          <w:szCs w:val="22"/>
        </w:rPr>
      </w:pPr>
      <w:r>
        <w:rPr>
          <w:b/>
          <w:szCs w:val="22"/>
        </w:rPr>
        <w:br w:type="column"/>
      </w:r>
      <w:r w:rsidR="004D26BC" w:rsidRPr="00CA41D7">
        <w:rPr>
          <w:b/>
          <w:szCs w:val="22"/>
        </w:rPr>
        <w:lastRenderedPageBreak/>
        <w:t xml:space="preserve">Continuous </w:t>
      </w:r>
      <w:r w:rsidR="00C4341E">
        <w:rPr>
          <w:b/>
          <w:szCs w:val="22"/>
        </w:rPr>
        <w:t>i</w:t>
      </w:r>
      <w:r w:rsidR="004D26BC" w:rsidRPr="00CA41D7">
        <w:rPr>
          <w:b/>
          <w:szCs w:val="22"/>
        </w:rPr>
        <w:t>mprovement</w:t>
      </w:r>
      <w:r w:rsidR="004D26BC" w:rsidRPr="00CA41D7">
        <w:rPr>
          <w:szCs w:val="22"/>
        </w:rPr>
        <w:t>: Encourages a culture of ongoing development and responsiveness to</w:t>
      </w:r>
      <w:r w:rsidR="00852AF7">
        <w:rPr>
          <w:szCs w:val="22"/>
        </w:rPr>
        <w:t> </w:t>
      </w:r>
      <w:r w:rsidR="004D26BC" w:rsidRPr="00CA41D7">
        <w:rPr>
          <w:szCs w:val="22"/>
        </w:rPr>
        <w:t>change.</w:t>
      </w:r>
    </w:p>
    <w:p w14:paraId="5664DF55" w14:textId="44ECBDF6" w:rsidR="004D26BC" w:rsidRPr="00CA41D7" w:rsidRDefault="004D26BC" w:rsidP="00D207B3">
      <w:pPr>
        <w:numPr>
          <w:ilvl w:val="0"/>
          <w:numId w:val="27"/>
        </w:numPr>
        <w:rPr>
          <w:szCs w:val="22"/>
        </w:rPr>
      </w:pPr>
      <w:r w:rsidRPr="00CA41D7">
        <w:rPr>
          <w:b/>
          <w:szCs w:val="22"/>
        </w:rPr>
        <w:t xml:space="preserve">Transparency and </w:t>
      </w:r>
      <w:r w:rsidR="00C4341E">
        <w:rPr>
          <w:b/>
          <w:szCs w:val="22"/>
        </w:rPr>
        <w:t>a</w:t>
      </w:r>
      <w:r w:rsidRPr="00CA41D7">
        <w:rPr>
          <w:b/>
          <w:szCs w:val="22"/>
        </w:rPr>
        <w:t>ccountability</w:t>
      </w:r>
      <w:r w:rsidRPr="00CA41D7">
        <w:rPr>
          <w:szCs w:val="22"/>
        </w:rPr>
        <w:t xml:space="preserve">: Public reporting of reviews and action plans enhances trust and accountability. </w:t>
      </w:r>
    </w:p>
    <w:p w14:paraId="76D8997D" w14:textId="4686999D" w:rsidR="004D26BC" w:rsidRPr="00CA41D7" w:rsidRDefault="004D26BC" w:rsidP="00D207B3">
      <w:pPr>
        <w:numPr>
          <w:ilvl w:val="0"/>
          <w:numId w:val="27"/>
        </w:numPr>
        <w:rPr>
          <w:szCs w:val="22"/>
        </w:rPr>
      </w:pPr>
      <w:r w:rsidRPr="00CA41D7">
        <w:rPr>
          <w:b/>
          <w:szCs w:val="22"/>
        </w:rPr>
        <w:t xml:space="preserve">Resource </w:t>
      </w:r>
      <w:r w:rsidR="00C4341E">
        <w:rPr>
          <w:b/>
          <w:szCs w:val="22"/>
        </w:rPr>
        <w:t>o</w:t>
      </w:r>
      <w:r w:rsidRPr="00CA41D7">
        <w:rPr>
          <w:b/>
          <w:szCs w:val="22"/>
        </w:rPr>
        <w:t>ptimisation</w:t>
      </w:r>
      <w:r w:rsidRPr="00CA41D7">
        <w:rPr>
          <w:szCs w:val="22"/>
        </w:rPr>
        <w:t xml:space="preserve">: Identifies areas where investment in capability can reduce reliance on external consultants and improve service delivery. </w:t>
      </w:r>
    </w:p>
    <w:p w14:paraId="6E8559E7" w14:textId="77777777" w:rsidR="004D26BC" w:rsidRDefault="004D26BC" w:rsidP="004B0A13">
      <w:pPr>
        <w:rPr>
          <w:szCs w:val="22"/>
        </w:rPr>
      </w:pPr>
      <w:r w:rsidRPr="00E1432E">
        <w:rPr>
          <w:szCs w:val="22"/>
        </w:rPr>
        <w:t xml:space="preserve">The Review </w:t>
      </w:r>
      <w:r>
        <w:rPr>
          <w:szCs w:val="22"/>
        </w:rPr>
        <w:t xml:space="preserve">recommends </w:t>
      </w:r>
      <w:r w:rsidRPr="00E1432E">
        <w:rPr>
          <w:szCs w:val="22"/>
        </w:rPr>
        <w:t xml:space="preserve">that a similar </w:t>
      </w:r>
      <w:r w:rsidRPr="00CA41D7">
        <w:rPr>
          <w:szCs w:val="22"/>
        </w:rPr>
        <w:t xml:space="preserve">approach </w:t>
      </w:r>
      <w:r>
        <w:rPr>
          <w:szCs w:val="22"/>
        </w:rPr>
        <w:t>is</w:t>
      </w:r>
      <w:r w:rsidRPr="00E1432E">
        <w:rPr>
          <w:szCs w:val="22"/>
        </w:rPr>
        <w:t xml:space="preserve"> </w:t>
      </w:r>
      <w:r w:rsidRPr="00CA41D7">
        <w:rPr>
          <w:szCs w:val="22"/>
        </w:rPr>
        <w:t xml:space="preserve">implemented in Victoria to support the </w:t>
      </w:r>
      <w:r>
        <w:rPr>
          <w:szCs w:val="22"/>
        </w:rPr>
        <w:t xml:space="preserve">government and </w:t>
      </w:r>
      <w:r w:rsidRPr="00CA41D7">
        <w:rPr>
          <w:szCs w:val="22"/>
        </w:rPr>
        <w:t xml:space="preserve">VPS </w:t>
      </w:r>
      <w:r>
        <w:rPr>
          <w:szCs w:val="22"/>
        </w:rPr>
        <w:t>to</w:t>
      </w:r>
      <w:r w:rsidRPr="00CA41D7">
        <w:rPr>
          <w:szCs w:val="22"/>
        </w:rPr>
        <w:t xml:space="preserve"> adjust to streamlined structures and redefined responsibilities.  </w:t>
      </w:r>
    </w:p>
    <w:p w14:paraId="0CD6D8C0" w14:textId="693C5E95" w:rsidR="004D26BC" w:rsidRDefault="0037438E" w:rsidP="004B0A13">
      <w:pPr>
        <w:rPr>
          <w:szCs w:val="22"/>
        </w:rPr>
      </w:pPr>
      <w:r>
        <w:rPr>
          <w:szCs w:val="22"/>
        </w:rPr>
        <w:t>Establishing</w:t>
      </w:r>
      <w:r w:rsidR="004D26BC" w:rsidRPr="00CA41D7">
        <w:rPr>
          <w:szCs w:val="22"/>
        </w:rPr>
        <w:t xml:space="preserve"> a capability review </w:t>
      </w:r>
      <w:r>
        <w:rPr>
          <w:szCs w:val="22"/>
        </w:rPr>
        <w:t>program</w:t>
      </w:r>
      <w:r w:rsidR="004D26BC" w:rsidRPr="00CA41D7">
        <w:rPr>
          <w:szCs w:val="22"/>
        </w:rPr>
        <w:t xml:space="preserve"> in the VPS would provide a structured</w:t>
      </w:r>
      <w:r w:rsidR="004D26BC" w:rsidRPr="00D61C6C">
        <w:rPr>
          <w:szCs w:val="22"/>
        </w:rPr>
        <w:t xml:space="preserve"> </w:t>
      </w:r>
      <w:r w:rsidR="004D26BC" w:rsidRPr="00D61C6C">
        <w:rPr>
          <w:szCs w:val="22"/>
        </w:rPr>
        <w:t xml:space="preserve">approach to assessing and enhancing agency capabilities, ensuring they are well-positioned to meet future challenges and deliver on </w:t>
      </w:r>
      <w:r>
        <w:rPr>
          <w:szCs w:val="22"/>
        </w:rPr>
        <w:t>the</w:t>
      </w:r>
      <w:r w:rsidR="004D26BC" w:rsidRPr="00D61C6C">
        <w:rPr>
          <w:szCs w:val="22"/>
        </w:rPr>
        <w:t xml:space="preserve"> government</w:t>
      </w:r>
      <w:r>
        <w:rPr>
          <w:szCs w:val="22"/>
        </w:rPr>
        <w:t>’s</w:t>
      </w:r>
      <w:r w:rsidR="004D26BC" w:rsidRPr="00D61C6C">
        <w:rPr>
          <w:szCs w:val="22"/>
        </w:rPr>
        <w:t xml:space="preserve"> priorities. It would also promote transparency, accountability and a culture of continuous improvement across the public service.</w:t>
      </w:r>
    </w:p>
    <w:p w14:paraId="2945EB88" w14:textId="03D1FE80" w:rsidR="004D26BC" w:rsidRDefault="004D26BC" w:rsidP="004B0A13">
      <w:pPr>
        <w:rPr>
          <w:szCs w:val="22"/>
        </w:rPr>
      </w:pPr>
      <w:r>
        <w:rPr>
          <w:szCs w:val="22"/>
        </w:rPr>
        <w:t>G</w:t>
      </w:r>
      <w:r w:rsidRPr="00E1432E">
        <w:rPr>
          <w:szCs w:val="22"/>
        </w:rPr>
        <w:t>iven the</w:t>
      </w:r>
      <w:r w:rsidR="008843A2">
        <w:rPr>
          <w:szCs w:val="22"/>
        </w:rPr>
        <w:t xml:space="preserve"> </w:t>
      </w:r>
      <w:r w:rsidR="008843A2" w:rsidRPr="00F871D8">
        <w:rPr>
          <w:szCs w:val="22"/>
        </w:rPr>
        <w:t>important</w:t>
      </w:r>
      <w:r w:rsidRPr="00E1432E">
        <w:rPr>
          <w:szCs w:val="22"/>
        </w:rPr>
        <w:t xml:space="preserve"> role</w:t>
      </w:r>
      <w:r>
        <w:rPr>
          <w:szCs w:val="22"/>
        </w:rPr>
        <w:t xml:space="preserve"> </w:t>
      </w:r>
      <w:r w:rsidRPr="00E1432E">
        <w:rPr>
          <w:szCs w:val="22"/>
        </w:rPr>
        <w:t>the Review has identified for DGS (</w:t>
      </w:r>
      <w:r>
        <w:rPr>
          <w:szCs w:val="22"/>
        </w:rPr>
        <w:t>see C</w:t>
      </w:r>
      <w:r w:rsidRPr="00E1432E">
        <w:rPr>
          <w:szCs w:val="22"/>
        </w:rPr>
        <w:t xml:space="preserve">hapter </w:t>
      </w:r>
      <w:r w:rsidRPr="00F871D8">
        <w:rPr>
          <w:szCs w:val="22"/>
        </w:rPr>
        <w:t>7</w:t>
      </w:r>
      <w:r w:rsidRPr="00E1432E">
        <w:rPr>
          <w:szCs w:val="22"/>
        </w:rPr>
        <w:t xml:space="preserve">), it is recommended that DGS </w:t>
      </w:r>
      <w:r w:rsidR="004D555A">
        <w:rPr>
          <w:szCs w:val="22"/>
        </w:rPr>
        <w:t>be</w:t>
      </w:r>
      <w:r w:rsidRPr="00E1432E">
        <w:rPr>
          <w:szCs w:val="22"/>
        </w:rPr>
        <w:t xml:space="preserve"> the subject of the first </w:t>
      </w:r>
      <w:r>
        <w:rPr>
          <w:szCs w:val="22"/>
        </w:rPr>
        <w:t>c</w:t>
      </w:r>
      <w:r w:rsidRPr="00E1432E">
        <w:rPr>
          <w:szCs w:val="22"/>
        </w:rPr>
        <w:t xml:space="preserve">apability </w:t>
      </w:r>
      <w:r>
        <w:rPr>
          <w:szCs w:val="22"/>
        </w:rPr>
        <w:t>r</w:t>
      </w:r>
      <w:r w:rsidRPr="00E1432E">
        <w:rPr>
          <w:szCs w:val="22"/>
        </w:rPr>
        <w:t>eview, to commence during 2025</w:t>
      </w:r>
      <w:r w:rsidR="00E21F53">
        <w:rPr>
          <w:szCs w:val="22"/>
        </w:rPr>
        <w:t>–</w:t>
      </w:r>
      <w:r w:rsidRPr="00E1432E">
        <w:rPr>
          <w:szCs w:val="22"/>
        </w:rPr>
        <w:t>26</w:t>
      </w:r>
      <w:r w:rsidR="005371B7">
        <w:rPr>
          <w:szCs w:val="22"/>
        </w:rPr>
        <w:t>.</w:t>
      </w:r>
    </w:p>
    <w:p w14:paraId="7A699991" w14:textId="0A1680A4" w:rsidR="004D26BC" w:rsidRDefault="00954B66" w:rsidP="004B0A13">
      <w:pPr>
        <w:shd w:val="clear" w:color="auto" w:fill="FFFFFF" w:themeFill="background1"/>
        <w:rPr>
          <w:szCs w:val="22"/>
        </w:rPr>
      </w:pPr>
      <w:r w:rsidRPr="00F871D8">
        <w:rPr>
          <w:szCs w:val="22"/>
        </w:rPr>
        <w:t xml:space="preserve">When considering the </w:t>
      </w:r>
      <w:r w:rsidR="00AF1D81" w:rsidRPr="00F871D8">
        <w:rPr>
          <w:szCs w:val="22"/>
        </w:rPr>
        <w:t>significance of the</w:t>
      </w:r>
      <w:r w:rsidRPr="00F871D8">
        <w:rPr>
          <w:szCs w:val="22"/>
        </w:rPr>
        <w:t xml:space="preserve"> Review’s recommendations for re</w:t>
      </w:r>
      <w:r w:rsidR="003C706C" w:rsidRPr="00F871D8">
        <w:rPr>
          <w:szCs w:val="22"/>
        </w:rPr>
        <w:t>balancing</w:t>
      </w:r>
      <w:r w:rsidR="00AF1D81" w:rsidRPr="00F871D8">
        <w:rPr>
          <w:szCs w:val="22"/>
        </w:rPr>
        <w:t xml:space="preserve"> the </w:t>
      </w:r>
      <w:r w:rsidR="00C51007" w:rsidRPr="00F871D8">
        <w:rPr>
          <w:szCs w:val="22"/>
        </w:rPr>
        <w:t>size and structure of the VPS</w:t>
      </w:r>
      <w:r w:rsidR="004E75C0" w:rsidRPr="00F871D8">
        <w:rPr>
          <w:szCs w:val="22"/>
        </w:rPr>
        <w:t>, as well as entity changes</w:t>
      </w:r>
      <w:r w:rsidR="00137B20" w:rsidRPr="00F871D8">
        <w:rPr>
          <w:szCs w:val="22"/>
        </w:rPr>
        <w:t xml:space="preserve"> and programmatic reform</w:t>
      </w:r>
      <w:r w:rsidR="004E75C0" w:rsidRPr="00F871D8">
        <w:rPr>
          <w:szCs w:val="22"/>
        </w:rPr>
        <w:t>,</w:t>
      </w:r>
      <w:r w:rsidR="004E75C0">
        <w:rPr>
          <w:szCs w:val="22"/>
        </w:rPr>
        <w:t xml:space="preserve"> t</w:t>
      </w:r>
      <w:r w:rsidR="004D26BC" w:rsidRPr="004C3BDB">
        <w:rPr>
          <w:szCs w:val="22"/>
        </w:rPr>
        <w:t xml:space="preserve">he Review </w:t>
      </w:r>
      <w:r w:rsidR="00C52528">
        <w:rPr>
          <w:szCs w:val="22"/>
        </w:rPr>
        <w:t>believes</w:t>
      </w:r>
      <w:r w:rsidR="004D26BC" w:rsidRPr="004C3BDB">
        <w:rPr>
          <w:szCs w:val="22"/>
        </w:rPr>
        <w:t xml:space="preserve"> there is an opportunity </w:t>
      </w:r>
      <w:r w:rsidR="004D26BC">
        <w:rPr>
          <w:szCs w:val="22"/>
        </w:rPr>
        <w:t xml:space="preserve">for the government </w:t>
      </w:r>
      <w:r w:rsidR="001C3E1F">
        <w:rPr>
          <w:szCs w:val="22"/>
        </w:rPr>
        <w:t xml:space="preserve">to </w:t>
      </w:r>
      <w:r w:rsidR="00437D39">
        <w:rPr>
          <w:szCs w:val="22"/>
        </w:rPr>
        <w:t>equip</w:t>
      </w:r>
      <w:r w:rsidR="004D26BC">
        <w:rPr>
          <w:szCs w:val="22"/>
        </w:rPr>
        <w:t xml:space="preserve"> the VPSC to be able to</w:t>
      </w:r>
      <w:r w:rsidR="004D26BC" w:rsidRPr="004C3BDB">
        <w:rPr>
          <w:szCs w:val="22"/>
        </w:rPr>
        <w:t xml:space="preserve"> play a stronger workforce development role</w:t>
      </w:r>
      <w:r w:rsidR="004D26BC">
        <w:rPr>
          <w:szCs w:val="22"/>
        </w:rPr>
        <w:t xml:space="preserve"> (Box 5.2)</w:t>
      </w:r>
      <w:r w:rsidR="004D26BC" w:rsidRPr="004C3BDB">
        <w:rPr>
          <w:szCs w:val="22"/>
        </w:rPr>
        <w:t xml:space="preserve">. </w:t>
      </w:r>
    </w:p>
    <w:p w14:paraId="3B5953D8" w14:textId="77777777" w:rsidR="001D14FC" w:rsidRDefault="001D14FC" w:rsidP="004B0A13">
      <w:pPr>
        <w:shd w:val="clear" w:color="auto" w:fill="FFFFFF" w:themeFill="background1"/>
        <w:rPr>
          <w:szCs w:val="22"/>
        </w:rPr>
        <w:sectPr w:rsidR="001D14FC" w:rsidSect="001D14FC">
          <w:type w:val="continuous"/>
          <w:pgSz w:w="11906" w:h="16838"/>
          <w:pgMar w:top="1440" w:right="1440" w:bottom="1440" w:left="1440" w:header="708" w:footer="708" w:gutter="0"/>
          <w:cols w:num="2" w:space="708"/>
          <w:docGrid w:linePitch="360"/>
          <w15:footnoteColumns w:val="1"/>
        </w:sectPr>
      </w:pPr>
    </w:p>
    <w:p w14:paraId="3CDE4492" w14:textId="77777777" w:rsidR="001D14FC" w:rsidRDefault="001D14FC" w:rsidP="004B0A13">
      <w:pPr>
        <w:shd w:val="clear" w:color="auto" w:fill="FFFFFF" w:themeFill="background1"/>
        <w:rPr>
          <w:szCs w:val="22"/>
        </w:rPr>
      </w:pPr>
    </w:p>
    <w:tbl>
      <w:tblPr>
        <w:tblStyle w:val="TableGrid"/>
        <w:tblW w:w="0" w:type="auto"/>
        <w:shd w:val="clear" w:color="auto" w:fill="E7E6E6"/>
        <w:tblLook w:val="04A0" w:firstRow="1" w:lastRow="0" w:firstColumn="1" w:lastColumn="0" w:noHBand="0" w:noVBand="1"/>
      </w:tblPr>
      <w:tblGrid>
        <w:gridCol w:w="9016"/>
      </w:tblGrid>
      <w:tr w:rsidR="00262F10" w14:paraId="5737F15A" w14:textId="77777777" w:rsidTr="00655AD3">
        <w:tc>
          <w:tcPr>
            <w:tcW w:w="9016" w:type="dxa"/>
            <w:tcBorders>
              <w:top w:val="nil"/>
              <w:left w:val="nil"/>
              <w:bottom w:val="nil"/>
              <w:right w:val="nil"/>
            </w:tcBorders>
            <w:shd w:val="clear" w:color="auto" w:fill="E7E6E6"/>
          </w:tcPr>
          <w:p w14:paraId="5BFBC6BA" w14:textId="4385E030" w:rsidR="00262F10" w:rsidRPr="00262F10" w:rsidRDefault="00262F10" w:rsidP="008F5BBE">
            <w:pPr>
              <w:spacing w:before="120" w:after="160" w:line="278" w:lineRule="auto"/>
              <w:rPr>
                <w:b/>
                <w:bCs/>
                <w:iCs/>
                <w:szCs w:val="22"/>
                <w:lang w:val="en-AU"/>
              </w:rPr>
            </w:pPr>
            <w:r w:rsidRPr="00262F10">
              <w:rPr>
                <w:b/>
                <w:bCs/>
                <w:iCs/>
                <w:szCs w:val="22"/>
                <w:lang w:val="en-AU"/>
              </w:rPr>
              <w:t>Box 5.2: Role of the Victorian Public Service Commission</w:t>
            </w:r>
          </w:p>
          <w:p w14:paraId="4FAAD187" w14:textId="1264316A" w:rsidR="00262F10" w:rsidRDefault="00262F10" w:rsidP="00262F10">
            <w:pPr>
              <w:spacing w:after="160" w:line="278" w:lineRule="auto"/>
              <w:rPr>
                <w:szCs w:val="22"/>
                <w:lang w:val="en-AU"/>
              </w:rPr>
            </w:pPr>
            <w:r w:rsidRPr="00262F10">
              <w:rPr>
                <w:szCs w:val="22"/>
                <w:lang w:val="en-AU"/>
              </w:rPr>
              <w:t xml:space="preserve">The VPSC is established under the </w:t>
            </w:r>
            <w:r w:rsidRPr="00262F10">
              <w:rPr>
                <w:i/>
                <w:szCs w:val="22"/>
                <w:lang w:val="en-AU"/>
              </w:rPr>
              <w:t>Public Administration Act 2004</w:t>
            </w:r>
            <w:r w:rsidRPr="00262F10">
              <w:rPr>
                <w:szCs w:val="22"/>
                <w:lang w:val="en-AU"/>
              </w:rPr>
              <w:t xml:space="preserve"> to strengthen efficiency, effectiveness and capability of the public sector, and maintain and advocate for public sector professionalism. Its powers include issuing binding standards on values and employment principles and monitoring compliance with those standards. The VPSC undertakes reviews into organisational culture and capability resulting in non-binding recommendations. It supports departments and public entities through guidance, workforce</w:t>
            </w:r>
            <w:r w:rsidR="008E62EC">
              <w:rPr>
                <w:szCs w:val="22"/>
                <w:lang w:val="en-AU"/>
              </w:rPr>
              <w:t> </w:t>
            </w:r>
            <w:r w:rsidRPr="00262F10">
              <w:rPr>
                <w:szCs w:val="22"/>
                <w:lang w:val="en-AU"/>
              </w:rPr>
              <w:t xml:space="preserve">data and training tools. It also administers the VPS Graduate Program. </w:t>
            </w:r>
          </w:p>
          <w:p w14:paraId="0B2E7756" w14:textId="0401AF32" w:rsidR="00262F10" w:rsidRPr="00262F10" w:rsidRDefault="00262F10" w:rsidP="00262F10">
            <w:pPr>
              <w:spacing w:after="160" w:line="278" w:lineRule="auto"/>
              <w:rPr>
                <w:szCs w:val="22"/>
                <w:lang w:val="en-AU"/>
              </w:rPr>
            </w:pPr>
            <w:r w:rsidRPr="00262F10">
              <w:rPr>
                <w:szCs w:val="22"/>
                <w:lang w:val="en-AU"/>
              </w:rPr>
              <w:t>The VPSC has published several guidance documents that are relevant to the Review’s considerations:</w:t>
            </w:r>
          </w:p>
          <w:p w14:paraId="10A4E521" w14:textId="77777777" w:rsidR="00262F10" w:rsidRPr="00262F10" w:rsidRDefault="00262F10" w:rsidP="004548FB">
            <w:pPr>
              <w:numPr>
                <w:ilvl w:val="0"/>
                <w:numId w:val="28"/>
              </w:numPr>
              <w:spacing w:after="160" w:line="278" w:lineRule="auto"/>
              <w:rPr>
                <w:szCs w:val="22"/>
                <w:lang w:val="en-AU"/>
              </w:rPr>
            </w:pPr>
            <w:r w:rsidRPr="00262F10">
              <w:rPr>
                <w:szCs w:val="22"/>
                <w:lang w:val="en-AU"/>
              </w:rPr>
              <w:t xml:space="preserve">The </w:t>
            </w:r>
            <w:r w:rsidRPr="00F97323">
              <w:rPr>
                <w:szCs w:val="22"/>
                <w:lang w:val="en-AU"/>
              </w:rPr>
              <w:t>VPSC Capability Framework</w:t>
            </w:r>
            <w:r w:rsidRPr="00262F10">
              <w:rPr>
                <w:szCs w:val="22"/>
                <w:lang w:val="en-AU"/>
              </w:rPr>
              <w:t xml:space="preserve"> defines the capabilities the VPS requires to achieve its objectives now and into the future. </w:t>
            </w:r>
          </w:p>
          <w:p w14:paraId="20F6D006" w14:textId="7704991D" w:rsidR="00262F10" w:rsidRPr="00262F10" w:rsidRDefault="00262F10" w:rsidP="004548FB">
            <w:pPr>
              <w:numPr>
                <w:ilvl w:val="0"/>
                <w:numId w:val="28"/>
              </w:numPr>
              <w:spacing w:after="160" w:line="278" w:lineRule="auto"/>
              <w:rPr>
                <w:szCs w:val="22"/>
                <w:lang w:val="en-AU"/>
              </w:rPr>
            </w:pPr>
            <w:r w:rsidRPr="00262F10">
              <w:rPr>
                <w:szCs w:val="22"/>
                <w:lang w:val="en-AU"/>
              </w:rPr>
              <w:t xml:space="preserve">The </w:t>
            </w:r>
            <w:r w:rsidRPr="00F97323">
              <w:rPr>
                <w:szCs w:val="22"/>
                <w:lang w:val="en-AU"/>
              </w:rPr>
              <w:t>2025 Capability Development Statement</w:t>
            </w:r>
            <w:r w:rsidRPr="00262F10">
              <w:rPr>
                <w:szCs w:val="22"/>
                <w:lang w:val="en-AU"/>
              </w:rPr>
              <w:t xml:space="preserve"> outlines a commitment to a focused approach to public service capability development over the next </w:t>
            </w:r>
            <w:r w:rsidR="00F6687C">
              <w:rPr>
                <w:szCs w:val="22"/>
                <w:lang w:val="en-AU"/>
              </w:rPr>
              <w:t>4</w:t>
            </w:r>
            <w:r w:rsidR="00F6687C" w:rsidRPr="00262F10">
              <w:rPr>
                <w:szCs w:val="22"/>
                <w:lang w:val="en-AU"/>
              </w:rPr>
              <w:t xml:space="preserve"> </w:t>
            </w:r>
            <w:r w:rsidRPr="00262F10">
              <w:rPr>
                <w:szCs w:val="22"/>
                <w:lang w:val="en-AU"/>
              </w:rPr>
              <w:t xml:space="preserve">years. </w:t>
            </w:r>
          </w:p>
          <w:p w14:paraId="37973006" w14:textId="1AA730F0" w:rsidR="00262F10" w:rsidRPr="00262F10" w:rsidRDefault="00262F10" w:rsidP="004548FB">
            <w:pPr>
              <w:numPr>
                <w:ilvl w:val="0"/>
                <w:numId w:val="28"/>
              </w:numPr>
              <w:spacing w:after="160" w:line="278" w:lineRule="auto"/>
              <w:rPr>
                <w:szCs w:val="22"/>
                <w:lang w:val="en-AU"/>
              </w:rPr>
            </w:pPr>
            <w:r w:rsidRPr="00262F10">
              <w:rPr>
                <w:szCs w:val="22"/>
                <w:lang w:val="en-AU"/>
              </w:rPr>
              <w:t xml:space="preserve">The </w:t>
            </w:r>
            <w:r w:rsidR="00EE5555">
              <w:rPr>
                <w:szCs w:val="22"/>
                <w:lang w:val="en-AU"/>
              </w:rPr>
              <w:t>VPS</w:t>
            </w:r>
            <w:r w:rsidRPr="00F97323">
              <w:rPr>
                <w:szCs w:val="22"/>
                <w:lang w:val="en-AU"/>
              </w:rPr>
              <w:t xml:space="preserve"> Executive Classification Framework</w:t>
            </w:r>
            <w:r w:rsidRPr="00262F10">
              <w:rPr>
                <w:szCs w:val="22"/>
                <w:lang w:val="en-AU"/>
              </w:rPr>
              <w:t xml:space="preserve"> aims to provide clarity on the expectations of executives at different levels. </w:t>
            </w:r>
          </w:p>
          <w:p w14:paraId="3E1A38B6" w14:textId="77777777" w:rsidR="00262F10" w:rsidRPr="00262F10" w:rsidRDefault="00262F10" w:rsidP="008F5BBE">
            <w:pPr>
              <w:numPr>
                <w:ilvl w:val="0"/>
                <w:numId w:val="28"/>
              </w:numPr>
              <w:spacing w:before="240" w:after="160" w:line="278" w:lineRule="auto"/>
              <w:rPr>
                <w:szCs w:val="22"/>
                <w:lang w:val="en-AU"/>
              </w:rPr>
            </w:pPr>
            <w:r w:rsidRPr="00262F10">
              <w:rPr>
                <w:szCs w:val="22"/>
                <w:lang w:val="en-AU"/>
              </w:rPr>
              <w:lastRenderedPageBreak/>
              <w:t xml:space="preserve">The </w:t>
            </w:r>
            <w:r w:rsidRPr="00F97323">
              <w:rPr>
                <w:szCs w:val="22"/>
                <w:lang w:val="en-AU"/>
              </w:rPr>
              <w:t>Strategic Workforce Planning Toolkit</w:t>
            </w:r>
            <w:r w:rsidRPr="00262F10">
              <w:rPr>
                <w:szCs w:val="22"/>
                <w:lang w:val="en-AU"/>
              </w:rPr>
              <w:t xml:space="preserve"> has been developed to assist with strategic workforce planning, to align workforces to future business needs, and to determine what is required to create, access and mobilise the workforce.</w:t>
            </w:r>
          </w:p>
          <w:p w14:paraId="78CE84E9" w14:textId="42BF1BD9" w:rsidR="00262F10" w:rsidRPr="003E5418" w:rsidRDefault="00262F10" w:rsidP="004548FB">
            <w:pPr>
              <w:numPr>
                <w:ilvl w:val="0"/>
                <w:numId w:val="28"/>
              </w:numPr>
              <w:spacing w:after="160" w:line="278" w:lineRule="auto"/>
              <w:ind w:left="714" w:hanging="357"/>
              <w:rPr>
                <w:szCs w:val="22"/>
                <w:lang w:val="en-AU"/>
              </w:rPr>
            </w:pPr>
            <w:r w:rsidRPr="00262F10">
              <w:rPr>
                <w:szCs w:val="22"/>
                <w:lang w:val="en-AU"/>
              </w:rPr>
              <w:t xml:space="preserve">The </w:t>
            </w:r>
            <w:r w:rsidRPr="00F97323">
              <w:rPr>
                <w:szCs w:val="22"/>
                <w:lang w:val="en-AU"/>
              </w:rPr>
              <w:t>Secretaries’ Guide for working with Ministers</w:t>
            </w:r>
            <w:r w:rsidRPr="00262F10">
              <w:rPr>
                <w:szCs w:val="22"/>
                <w:lang w:val="en-AU"/>
              </w:rPr>
              <w:t xml:space="preserve">, the </w:t>
            </w:r>
            <w:r w:rsidRPr="00F97323">
              <w:rPr>
                <w:szCs w:val="22"/>
                <w:lang w:val="en-AU"/>
              </w:rPr>
              <w:t>Officer and Executive Guide for informing and advising ministers</w:t>
            </w:r>
            <w:r w:rsidRPr="00262F10">
              <w:rPr>
                <w:szCs w:val="22"/>
                <w:lang w:val="en-AU"/>
              </w:rPr>
              <w:t xml:space="preserve">, and </w:t>
            </w:r>
            <w:r w:rsidRPr="00F97323">
              <w:rPr>
                <w:szCs w:val="22"/>
                <w:lang w:val="en-AU"/>
              </w:rPr>
              <w:t>the Model Protocol for Engaging with Ministerial Office</w:t>
            </w:r>
            <w:r w:rsidRPr="00262F10">
              <w:rPr>
                <w:szCs w:val="22"/>
                <w:lang w:val="en-AU"/>
              </w:rPr>
              <w:t xml:space="preserve"> provide guidance on working with executive government.</w:t>
            </w:r>
          </w:p>
          <w:p w14:paraId="679FE8EB" w14:textId="470D8D7C" w:rsidR="00262F10" w:rsidRPr="00262F10" w:rsidRDefault="00262F10" w:rsidP="00262F10">
            <w:pPr>
              <w:spacing w:after="160" w:line="278" w:lineRule="auto"/>
              <w:rPr>
                <w:szCs w:val="22"/>
                <w:lang w:val="en-AU"/>
              </w:rPr>
            </w:pPr>
            <w:r w:rsidRPr="00262F10">
              <w:rPr>
                <w:szCs w:val="22"/>
                <w:lang w:val="en-AU"/>
              </w:rPr>
              <w:t>The Review recommends the VPSC develo</w:t>
            </w:r>
            <w:r w:rsidR="00FA3EE0">
              <w:rPr>
                <w:szCs w:val="22"/>
                <w:lang w:val="en-AU"/>
              </w:rPr>
              <w:t>p</w:t>
            </w:r>
            <w:r w:rsidRPr="00262F10">
              <w:rPr>
                <w:szCs w:val="22"/>
                <w:lang w:val="en-AU"/>
              </w:rPr>
              <w:t xml:space="preserve"> a consolidated protocol on working with executive government, building on its existing work and </w:t>
            </w:r>
            <w:r w:rsidR="000701D5">
              <w:rPr>
                <w:szCs w:val="22"/>
                <w:lang w:val="en-AU"/>
              </w:rPr>
              <w:t>drawing on</w:t>
            </w:r>
            <w:r w:rsidRPr="00262F10">
              <w:rPr>
                <w:szCs w:val="22"/>
                <w:lang w:val="en-AU"/>
              </w:rPr>
              <w:t xml:space="preserve"> the </w:t>
            </w:r>
            <w:r w:rsidR="0079455B">
              <w:rPr>
                <w:szCs w:val="22"/>
                <w:lang w:val="en-AU"/>
              </w:rPr>
              <w:t>APSC</w:t>
            </w:r>
            <w:r w:rsidRPr="00262F10">
              <w:rPr>
                <w:szCs w:val="22"/>
                <w:lang w:val="en-AU"/>
              </w:rPr>
              <w:t xml:space="preserve"> </w:t>
            </w:r>
            <w:r w:rsidRPr="005C36E7">
              <w:rPr>
                <w:szCs w:val="22"/>
                <w:lang w:val="en-AU"/>
              </w:rPr>
              <w:t xml:space="preserve">Working with Ministers </w:t>
            </w:r>
            <w:r w:rsidRPr="00262F10">
              <w:rPr>
                <w:szCs w:val="22"/>
                <w:lang w:val="en-AU"/>
              </w:rPr>
              <w:t xml:space="preserve">policy. The Review also recommends the VPSC establish and implement a </w:t>
            </w:r>
            <w:r w:rsidR="00A73EF2">
              <w:rPr>
                <w:szCs w:val="22"/>
                <w:lang w:val="en-AU"/>
              </w:rPr>
              <w:t>VPS</w:t>
            </w:r>
            <w:r w:rsidRPr="00262F10">
              <w:rPr>
                <w:szCs w:val="22"/>
                <w:lang w:val="en-AU"/>
              </w:rPr>
              <w:t xml:space="preserve"> capability review </w:t>
            </w:r>
            <w:r w:rsidR="00A73EF2">
              <w:rPr>
                <w:szCs w:val="22"/>
                <w:lang w:val="en-AU"/>
              </w:rPr>
              <w:t>program</w:t>
            </w:r>
            <w:r w:rsidRPr="00262F10">
              <w:rPr>
                <w:szCs w:val="22"/>
                <w:lang w:val="en-AU"/>
              </w:rPr>
              <w:t>.</w:t>
            </w:r>
          </w:p>
          <w:p w14:paraId="1F0829C2" w14:textId="685B2FBD" w:rsidR="00E24270" w:rsidRDefault="00DC12E9" w:rsidP="00262F10">
            <w:pPr>
              <w:spacing w:after="160" w:line="278" w:lineRule="auto"/>
              <w:rPr>
                <w:szCs w:val="22"/>
                <w:lang w:val="en-AU"/>
              </w:rPr>
            </w:pPr>
            <w:r>
              <w:rPr>
                <w:szCs w:val="22"/>
                <w:lang w:val="en-AU"/>
              </w:rPr>
              <w:t>T</w:t>
            </w:r>
            <w:r w:rsidR="00262F10" w:rsidRPr="00262F10">
              <w:rPr>
                <w:szCs w:val="22"/>
                <w:lang w:val="en-AU"/>
              </w:rPr>
              <w:t>he Review proposes the VPSC develop new guidance on organisational design</w:t>
            </w:r>
            <w:r>
              <w:rPr>
                <w:szCs w:val="22"/>
                <w:lang w:val="en-AU"/>
              </w:rPr>
              <w:t xml:space="preserve"> and</w:t>
            </w:r>
            <w:r w:rsidR="00262F10" w:rsidRPr="00262F10">
              <w:rPr>
                <w:szCs w:val="22"/>
                <w:lang w:val="en-AU"/>
              </w:rPr>
              <w:t xml:space="preserve"> updat</w:t>
            </w:r>
            <w:r>
              <w:rPr>
                <w:szCs w:val="22"/>
                <w:lang w:val="en-AU"/>
              </w:rPr>
              <w:t>e</w:t>
            </w:r>
            <w:r w:rsidR="00262F10" w:rsidRPr="00262F10">
              <w:rPr>
                <w:szCs w:val="22"/>
                <w:lang w:val="en-AU"/>
              </w:rPr>
              <w:t xml:space="preserve"> its guidance on work value and role re</w:t>
            </w:r>
            <w:r w:rsidR="00700DCF">
              <w:rPr>
                <w:szCs w:val="22"/>
                <w:lang w:val="en-AU"/>
              </w:rPr>
              <w:t>-</w:t>
            </w:r>
            <w:r w:rsidR="00262F10" w:rsidRPr="00262F10">
              <w:rPr>
                <w:szCs w:val="22"/>
                <w:lang w:val="en-AU"/>
              </w:rPr>
              <w:t>sizing</w:t>
            </w:r>
            <w:r w:rsidR="008371DA" w:rsidRPr="00DE0028">
              <w:rPr>
                <w:szCs w:val="22"/>
                <w:lang w:val="en-AU"/>
              </w:rPr>
              <w:t>.</w:t>
            </w:r>
            <w:r w:rsidR="004D1E67" w:rsidRPr="00DE0028">
              <w:rPr>
                <w:szCs w:val="22"/>
                <w:lang w:val="en-AU"/>
              </w:rPr>
              <w:t xml:space="preserve"> It </w:t>
            </w:r>
            <w:r w:rsidRPr="00DE0028">
              <w:rPr>
                <w:szCs w:val="22"/>
                <w:lang w:val="en-AU"/>
              </w:rPr>
              <w:t>sh</w:t>
            </w:r>
            <w:r w:rsidR="004D1E67" w:rsidRPr="00DE0028">
              <w:rPr>
                <w:szCs w:val="22"/>
                <w:lang w:val="en-AU"/>
              </w:rPr>
              <w:t>ould also</w:t>
            </w:r>
            <w:r w:rsidR="00262F10" w:rsidRPr="00262F10">
              <w:rPr>
                <w:szCs w:val="22"/>
                <w:lang w:val="en-AU"/>
              </w:rPr>
              <w:t xml:space="preserve"> support DTF </w:t>
            </w:r>
            <w:r>
              <w:rPr>
                <w:szCs w:val="22"/>
                <w:lang w:val="en-AU"/>
              </w:rPr>
              <w:t>to</w:t>
            </w:r>
            <w:r w:rsidR="00262F10" w:rsidRPr="00262F10">
              <w:rPr>
                <w:szCs w:val="22"/>
                <w:lang w:val="en-AU"/>
              </w:rPr>
              <w:t xml:space="preserve"> monitor closely departments’ implementation of the Review’s recommended changes to the VPS</w:t>
            </w:r>
            <w:r>
              <w:rPr>
                <w:szCs w:val="22"/>
                <w:lang w:val="en-AU"/>
              </w:rPr>
              <w:t>,</w:t>
            </w:r>
            <w:r w:rsidR="004D1E67">
              <w:rPr>
                <w:szCs w:val="22"/>
                <w:lang w:val="en-AU"/>
              </w:rPr>
              <w:t xml:space="preserve"> </w:t>
            </w:r>
            <w:r w:rsidRPr="00DE0028">
              <w:rPr>
                <w:szCs w:val="22"/>
                <w:lang w:val="en-AU"/>
              </w:rPr>
              <w:t>including</w:t>
            </w:r>
            <w:r w:rsidR="00262F10" w:rsidRPr="00262F10">
              <w:rPr>
                <w:szCs w:val="22"/>
                <w:lang w:val="en-AU"/>
              </w:rPr>
              <w:t xml:space="preserve"> identifying any deviations or perverse </w:t>
            </w:r>
            <w:r w:rsidRPr="00DE0028">
              <w:rPr>
                <w:szCs w:val="22"/>
                <w:lang w:val="en-AU"/>
              </w:rPr>
              <w:t>outcomes</w:t>
            </w:r>
            <w:r w:rsidR="00262F10" w:rsidRPr="00262F10">
              <w:rPr>
                <w:szCs w:val="22"/>
                <w:lang w:val="en-AU"/>
              </w:rPr>
              <w:t xml:space="preserve">. </w:t>
            </w:r>
          </w:p>
          <w:p w14:paraId="57E06963" w14:textId="0280B764" w:rsidR="00262F10" w:rsidRPr="00DC12E9" w:rsidRDefault="00262F10" w:rsidP="00262F10">
            <w:pPr>
              <w:spacing w:after="160" w:line="278" w:lineRule="auto"/>
              <w:rPr>
                <w:szCs w:val="22"/>
                <w:lang w:val="en-AU"/>
              </w:rPr>
            </w:pPr>
            <w:r w:rsidRPr="00262F10">
              <w:rPr>
                <w:szCs w:val="22"/>
                <w:lang w:val="en-AU"/>
              </w:rPr>
              <w:t xml:space="preserve">Given its current capacity, the VPSC will need initial support from DPC to be able to move quickly, while additional resourcing can be secured.  </w:t>
            </w:r>
          </w:p>
        </w:tc>
      </w:tr>
    </w:tbl>
    <w:p w14:paraId="41AF2280" w14:textId="7D7F7171" w:rsidR="004D26BC" w:rsidRPr="000B178D" w:rsidRDefault="0070287D" w:rsidP="00FA7BD3">
      <w:pPr>
        <w:pStyle w:val="Heading2"/>
        <w:numPr>
          <w:ilvl w:val="0"/>
          <w:numId w:val="0"/>
        </w:numPr>
        <w:spacing w:before="360"/>
      </w:pPr>
      <w:bookmarkStart w:id="68" w:name="_Toc202523986"/>
      <w:bookmarkStart w:id="69" w:name="_Toc214912006"/>
      <w:r>
        <w:lastRenderedPageBreak/>
        <w:t xml:space="preserve">5.8   </w:t>
      </w:r>
      <w:r w:rsidR="004D26BC" w:rsidRPr="003E5418">
        <w:t>Implementation</w:t>
      </w:r>
      <w:bookmarkEnd w:id="68"/>
      <w:bookmarkEnd w:id="69"/>
    </w:p>
    <w:p w14:paraId="70D2ECEE" w14:textId="77777777" w:rsidR="004135E3" w:rsidRDefault="004135E3" w:rsidP="004B0A13">
      <w:pPr>
        <w:rPr>
          <w:szCs w:val="22"/>
        </w:rPr>
        <w:sectPr w:rsidR="004135E3" w:rsidSect="00AE6104">
          <w:type w:val="continuous"/>
          <w:pgSz w:w="11906" w:h="16838"/>
          <w:pgMar w:top="1440" w:right="1440" w:bottom="1440" w:left="1440" w:header="708" w:footer="708" w:gutter="0"/>
          <w:cols w:space="708"/>
          <w:docGrid w:linePitch="360"/>
          <w15:footnoteColumns w:val="1"/>
        </w:sectPr>
      </w:pPr>
    </w:p>
    <w:p w14:paraId="76CB6868" w14:textId="2C4D24FC" w:rsidR="004D26BC" w:rsidRPr="00E1432E" w:rsidRDefault="004D26BC" w:rsidP="004B0A13">
      <w:pPr>
        <w:rPr>
          <w:szCs w:val="22"/>
        </w:rPr>
      </w:pPr>
      <w:r w:rsidRPr="00E1432E">
        <w:rPr>
          <w:szCs w:val="22"/>
        </w:rPr>
        <w:t xml:space="preserve">Any changes to the workforce, including reductions, should be thoughtfully undertaken with a robust assessment of recommended spans and </w:t>
      </w:r>
      <w:r w:rsidRPr="007255B4">
        <w:rPr>
          <w:szCs w:val="22"/>
        </w:rPr>
        <w:t>layers relevant to the organisation. The Review considers that targeted separation packages may be required to deliver these reforms effectively and to retain the most appropriate staff.</w:t>
      </w:r>
      <w:r w:rsidRPr="00E1432E">
        <w:rPr>
          <w:szCs w:val="22"/>
        </w:rPr>
        <w:t xml:space="preserve"> </w:t>
      </w:r>
    </w:p>
    <w:p w14:paraId="74714ACD" w14:textId="77777777" w:rsidR="004D26BC" w:rsidRPr="00E1432E" w:rsidRDefault="004D26BC" w:rsidP="004B0A13">
      <w:pPr>
        <w:rPr>
          <w:szCs w:val="22"/>
        </w:rPr>
      </w:pPr>
      <w:r w:rsidRPr="00E1432E">
        <w:rPr>
          <w:szCs w:val="22"/>
        </w:rPr>
        <w:t xml:space="preserve">The Review appreciates this will be a </w:t>
      </w:r>
      <w:r>
        <w:rPr>
          <w:szCs w:val="22"/>
        </w:rPr>
        <w:t>challenging</w:t>
      </w:r>
      <w:r w:rsidRPr="00E1432E">
        <w:rPr>
          <w:szCs w:val="22"/>
        </w:rPr>
        <w:t xml:space="preserve"> change management process. These changes are not arbitrary </w:t>
      </w:r>
      <w:r>
        <w:rPr>
          <w:szCs w:val="22"/>
        </w:rPr>
        <w:t>and</w:t>
      </w:r>
      <w:r w:rsidRPr="00E1432E">
        <w:rPr>
          <w:szCs w:val="22"/>
        </w:rPr>
        <w:t xml:space="preserve"> are necessary for effective and efficient delivery of the government’s priorities.</w:t>
      </w:r>
      <w:r>
        <w:rPr>
          <w:szCs w:val="22"/>
        </w:rPr>
        <w:t xml:space="preserve"> </w:t>
      </w:r>
    </w:p>
    <w:p w14:paraId="394F7F67" w14:textId="3F9103C5" w:rsidR="004D26BC" w:rsidRPr="00E1432E" w:rsidRDefault="004D26BC" w:rsidP="004B0A13">
      <w:pPr>
        <w:rPr>
          <w:szCs w:val="22"/>
        </w:rPr>
      </w:pPr>
      <w:r>
        <w:rPr>
          <w:szCs w:val="22"/>
        </w:rPr>
        <w:t xml:space="preserve">In undertaking the restructuring and rebalancing in their departments, the Review recommends that </w:t>
      </w:r>
      <w:r w:rsidR="00CE50CA">
        <w:rPr>
          <w:szCs w:val="22"/>
        </w:rPr>
        <w:t>S</w:t>
      </w:r>
      <w:r>
        <w:rPr>
          <w:szCs w:val="22"/>
        </w:rPr>
        <w:t>ecretaries actively pursue wider spans of control and remov</w:t>
      </w:r>
      <w:r w:rsidR="003C0F61">
        <w:rPr>
          <w:szCs w:val="22"/>
        </w:rPr>
        <w:t>e</w:t>
      </w:r>
      <w:r>
        <w:rPr>
          <w:szCs w:val="22"/>
        </w:rPr>
        <w:t xml:space="preserve"> layers consistent with the Review’s indicative </w:t>
      </w:r>
      <w:r w:rsidR="00F654E4">
        <w:rPr>
          <w:szCs w:val="22"/>
        </w:rPr>
        <w:t>advice</w:t>
      </w:r>
      <w:r>
        <w:rPr>
          <w:szCs w:val="22"/>
        </w:rPr>
        <w:t xml:space="preserve">. In addition, the Review recommends that </w:t>
      </w:r>
      <w:r w:rsidR="00CE50CA">
        <w:rPr>
          <w:szCs w:val="22"/>
        </w:rPr>
        <w:t>S</w:t>
      </w:r>
      <w:r>
        <w:rPr>
          <w:szCs w:val="22"/>
        </w:rPr>
        <w:t xml:space="preserve">ecretaries drive the </w:t>
      </w:r>
      <w:r>
        <w:rPr>
          <w:szCs w:val="22"/>
        </w:rPr>
        <w:t xml:space="preserve">adoption of new ways of working, with fewer lines of clearance, and a higher tolerance for risk in </w:t>
      </w:r>
      <w:r w:rsidRPr="008D4B45">
        <w:rPr>
          <w:szCs w:val="22"/>
        </w:rPr>
        <w:t>low</w:t>
      </w:r>
      <w:r w:rsidR="00C85D90" w:rsidRPr="008D4B45">
        <w:rPr>
          <w:szCs w:val="22"/>
        </w:rPr>
        <w:t>er complexity</w:t>
      </w:r>
      <w:r>
        <w:rPr>
          <w:szCs w:val="22"/>
        </w:rPr>
        <w:t xml:space="preserve"> work.</w:t>
      </w:r>
    </w:p>
    <w:p w14:paraId="39D75FAB" w14:textId="5BCBFBE6" w:rsidR="004D26BC" w:rsidRPr="004C3BDB" w:rsidRDefault="004D26BC" w:rsidP="004B0A13">
      <w:pPr>
        <w:rPr>
          <w:szCs w:val="22"/>
        </w:rPr>
      </w:pPr>
      <w:r w:rsidRPr="00E1432E">
        <w:rPr>
          <w:szCs w:val="22"/>
        </w:rPr>
        <w:t xml:space="preserve">To maintain a focus on cost effective and efficient organisational structures in the VPS, the VPSC should play a key </w:t>
      </w:r>
      <w:r w:rsidRPr="004C3BDB">
        <w:rPr>
          <w:szCs w:val="22"/>
        </w:rPr>
        <w:t>role, including through enhanced guidance on a</w:t>
      </w:r>
      <w:r w:rsidR="00701811">
        <w:rPr>
          <w:szCs w:val="22"/>
        </w:rPr>
        <w:t> </w:t>
      </w:r>
      <w:r w:rsidRPr="004C3BDB">
        <w:rPr>
          <w:szCs w:val="22"/>
        </w:rPr>
        <w:t xml:space="preserve">range of critical workforce and culture matters, </w:t>
      </w:r>
      <w:r w:rsidR="003F0FA0">
        <w:rPr>
          <w:szCs w:val="22"/>
        </w:rPr>
        <w:t xml:space="preserve">and </w:t>
      </w:r>
      <w:r w:rsidRPr="004C3BDB">
        <w:rPr>
          <w:szCs w:val="22"/>
        </w:rPr>
        <w:t xml:space="preserve">establishing the proposed capability review program.  </w:t>
      </w:r>
    </w:p>
    <w:p w14:paraId="167E0761" w14:textId="666420AB" w:rsidR="004D26BC" w:rsidRPr="00E1432E" w:rsidRDefault="004D26BC" w:rsidP="004B0A13">
      <w:pPr>
        <w:rPr>
          <w:szCs w:val="22"/>
        </w:rPr>
      </w:pPr>
      <w:r w:rsidRPr="004C3BDB">
        <w:rPr>
          <w:szCs w:val="22"/>
        </w:rPr>
        <w:t>The Review also considers that implementation</w:t>
      </w:r>
      <w:r w:rsidRPr="00E1432E">
        <w:rPr>
          <w:szCs w:val="22"/>
        </w:rPr>
        <w:t xml:space="preserve"> of workforce changes must maintain government commitments to diversity and inclusion, including gender equality and targets for disability employment and employment of Aboriginal and Torres Strait Islander peoples. All statutory and industrial obligations must be followed diligently.  </w:t>
      </w:r>
    </w:p>
    <w:p w14:paraId="0FFB426E" w14:textId="6D9FC590" w:rsidR="00771307" w:rsidRDefault="004D26BC">
      <w:pPr>
        <w:rPr>
          <w:szCs w:val="22"/>
        </w:rPr>
      </w:pPr>
      <w:r>
        <w:rPr>
          <w:szCs w:val="22"/>
        </w:rPr>
        <w:lastRenderedPageBreak/>
        <w:t>The changes will require strong and considerate leadership and expert change</w:t>
      </w:r>
      <w:r w:rsidR="00121AEF">
        <w:rPr>
          <w:szCs w:val="22"/>
        </w:rPr>
        <w:t> </w:t>
      </w:r>
      <w:r>
        <w:rPr>
          <w:szCs w:val="22"/>
        </w:rPr>
        <w:t xml:space="preserve">management. </w:t>
      </w:r>
      <w:r w:rsidRPr="00E1432E">
        <w:rPr>
          <w:szCs w:val="22"/>
        </w:rPr>
        <w:t xml:space="preserve">Implementation needs to consider the approach to delivering staff reductions and structural </w:t>
      </w:r>
      <w:r w:rsidRPr="00E1432E">
        <w:rPr>
          <w:szCs w:val="22"/>
        </w:rPr>
        <w:t>shifts</w:t>
      </w:r>
      <w:r w:rsidR="0048607B">
        <w:rPr>
          <w:szCs w:val="22"/>
        </w:rPr>
        <w:t>;</w:t>
      </w:r>
      <w:r w:rsidRPr="00E1432E">
        <w:rPr>
          <w:szCs w:val="22"/>
        </w:rPr>
        <w:t xml:space="preserve"> </w:t>
      </w:r>
      <w:r w:rsidR="0048607B">
        <w:rPr>
          <w:szCs w:val="22"/>
        </w:rPr>
        <w:t>i</w:t>
      </w:r>
      <w:r w:rsidRPr="00E1432E">
        <w:rPr>
          <w:szCs w:val="22"/>
        </w:rPr>
        <w:t>t must also consider the wellbeing and capability of remaining staff to ensure the workforce is</w:t>
      </w:r>
      <w:r w:rsidR="002C695B">
        <w:rPr>
          <w:szCs w:val="22"/>
        </w:rPr>
        <w:t> </w:t>
      </w:r>
      <w:r w:rsidRPr="00E1432E">
        <w:rPr>
          <w:szCs w:val="22"/>
        </w:rPr>
        <w:t>supported to deliver on government priorities.</w:t>
      </w:r>
    </w:p>
    <w:p w14:paraId="66D86264" w14:textId="77777777" w:rsidR="004135E3" w:rsidRDefault="004135E3" w:rsidP="00E24C7B">
      <w:pPr>
        <w:pStyle w:val="Heading2"/>
        <w:numPr>
          <w:ilvl w:val="0"/>
          <w:numId w:val="0"/>
        </w:numPr>
        <w:sectPr w:rsidR="004135E3" w:rsidSect="004135E3">
          <w:type w:val="continuous"/>
          <w:pgSz w:w="11906" w:h="16838"/>
          <w:pgMar w:top="1440" w:right="1440" w:bottom="1440" w:left="1440" w:header="708" w:footer="708" w:gutter="0"/>
          <w:cols w:num="2" w:space="708"/>
          <w:docGrid w:linePitch="360"/>
          <w15:footnoteColumns w:val="1"/>
        </w:sectPr>
      </w:pPr>
      <w:bookmarkStart w:id="70" w:name="_Toc202523987"/>
    </w:p>
    <w:p w14:paraId="6C4746D2" w14:textId="208C027D" w:rsidR="004D26BC" w:rsidRPr="006D30ED" w:rsidRDefault="0070287D" w:rsidP="003F3FBE">
      <w:pPr>
        <w:pStyle w:val="Heading2"/>
        <w:numPr>
          <w:ilvl w:val="0"/>
          <w:numId w:val="0"/>
        </w:numPr>
        <w:spacing w:before="360"/>
        <w:rPr>
          <w:b w:val="0"/>
        </w:rPr>
      </w:pPr>
      <w:bookmarkStart w:id="71" w:name="_Toc214912007"/>
      <w:r>
        <w:t xml:space="preserve">5.9   </w:t>
      </w:r>
      <w:r w:rsidR="004D26BC" w:rsidRPr="0001252D">
        <w:t>Recommendations</w:t>
      </w:r>
      <w:bookmarkEnd w:id="70"/>
      <w:bookmarkEnd w:id="71"/>
    </w:p>
    <w:tbl>
      <w:tblPr>
        <w:tblStyle w:val="TableGrid"/>
        <w:tblW w:w="0" w:type="auto"/>
        <w:tblBorders>
          <w:top w:val="single" w:sz="4" w:space="0" w:color="156082" w:themeColor="accent1"/>
          <w:left w:val="single" w:sz="4" w:space="0" w:color="156082" w:themeColor="accent1"/>
          <w:bottom w:val="single" w:sz="4" w:space="0" w:color="156082" w:themeColor="accent1"/>
          <w:right w:val="single" w:sz="4" w:space="0" w:color="156082" w:themeColor="accent1"/>
          <w:insideH w:val="none" w:sz="0" w:space="0" w:color="auto"/>
          <w:insideV w:val="none" w:sz="0" w:space="0" w:color="auto"/>
        </w:tblBorders>
        <w:tblLook w:val="04A0" w:firstRow="1" w:lastRow="0" w:firstColumn="1" w:lastColumn="0" w:noHBand="0" w:noVBand="1"/>
      </w:tblPr>
      <w:tblGrid>
        <w:gridCol w:w="9016"/>
      </w:tblGrid>
      <w:tr w:rsidR="004D26BC" w14:paraId="5D8B1E17" w14:textId="77777777" w:rsidTr="004B0A13">
        <w:tc>
          <w:tcPr>
            <w:tcW w:w="9016" w:type="dxa"/>
          </w:tcPr>
          <w:p w14:paraId="0574E898" w14:textId="4D57F32B" w:rsidR="004D26BC" w:rsidRPr="00433439" w:rsidRDefault="004D26BC" w:rsidP="00C41ADC">
            <w:pPr>
              <w:pStyle w:val="ListParagraph"/>
              <w:numPr>
                <w:ilvl w:val="1"/>
                <w:numId w:val="24"/>
              </w:numPr>
              <w:spacing w:before="60" w:after="160" w:line="278" w:lineRule="auto"/>
              <w:ind w:left="567" w:hanging="567"/>
              <w:contextualSpacing w:val="0"/>
              <w:rPr>
                <w:szCs w:val="22"/>
              </w:rPr>
            </w:pPr>
            <w:r w:rsidRPr="00433439">
              <w:rPr>
                <w:szCs w:val="22"/>
              </w:rPr>
              <w:t xml:space="preserve">Reduce SES and STS roles by </w:t>
            </w:r>
            <w:r w:rsidR="00225973" w:rsidRPr="00433439">
              <w:rPr>
                <w:szCs w:val="22"/>
              </w:rPr>
              <w:t>332</w:t>
            </w:r>
            <w:r w:rsidRPr="00433439">
              <w:rPr>
                <w:szCs w:val="22"/>
              </w:rPr>
              <w:t xml:space="preserve"> FTE</w:t>
            </w:r>
            <w:r w:rsidR="00611488" w:rsidRPr="00433439">
              <w:rPr>
                <w:szCs w:val="22"/>
              </w:rPr>
              <w:t xml:space="preserve"> in departments and some large entities</w:t>
            </w:r>
            <w:r w:rsidRPr="00433439">
              <w:rPr>
                <w:szCs w:val="22"/>
              </w:rPr>
              <w:t>, capped at 15 per cent</w:t>
            </w:r>
            <w:r w:rsidR="00A7638E" w:rsidRPr="00433439">
              <w:rPr>
                <w:szCs w:val="22"/>
              </w:rPr>
              <w:t xml:space="preserve"> for departments</w:t>
            </w:r>
            <w:r w:rsidRPr="00433439">
              <w:rPr>
                <w:szCs w:val="22"/>
              </w:rPr>
              <w:t xml:space="preserve">, to return towards 2019 </w:t>
            </w:r>
            <w:r w:rsidR="00C27782" w:rsidRPr="00433439">
              <w:rPr>
                <w:szCs w:val="22"/>
              </w:rPr>
              <w:t xml:space="preserve">executive to staff </w:t>
            </w:r>
            <w:r w:rsidRPr="00433439">
              <w:rPr>
                <w:szCs w:val="22"/>
              </w:rPr>
              <w:t>ratios.</w:t>
            </w:r>
          </w:p>
          <w:p w14:paraId="710BBDE5" w14:textId="77777777" w:rsidR="004D26BC" w:rsidRPr="00EC23F9" w:rsidRDefault="004D26BC" w:rsidP="00D207B3">
            <w:pPr>
              <w:pStyle w:val="ListParagraph"/>
              <w:numPr>
                <w:ilvl w:val="1"/>
                <w:numId w:val="24"/>
              </w:numPr>
              <w:spacing w:after="160" w:line="278" w:lineRule="auto"/>
              <w:ind w:left="567" w:hanging="567"/>
              <w:contextualSpacing w:val="0"/>
            </w:pPr>
            <w:r>
              <w:rPr>
                <w:szCs w:val="22"/>
              </w:rPr>
              <w:t>Rebalance the proportion of VPS5 and VPS6 positions, capped at 15 per cent, towards pre-pandemic profiles that included more staff at junior classifications, and create space for additional graduate positions</w:t>
            </w:r>
            <w:r w:rsidRPr="00EC23F9">
              <w:rPr>
                <w:szCs w:val="22"/>
              </w:rPr>
              <w:t xml:space="preserve">. </w:t>
            </w:r>
          </w:p>
          <w:p w14:paraId="6A81009C" w14:textId="73ED18E4" w:rsidR="004D26BC" w:rsidRPr="00EC23F9" w:rsidRDefault="004D26BC" w:rsidP="00D207B3">
            <w:pPr>
              <w:pStyle w:val="ListParagraph"/>
              <w:numPr>
                <w:ilvl w:val="1"/>
                <w:numId w:val="24"/>
              </w:numPr>
              <w:spacing w:after="160" w:line="278" w:lineRule="auto"/>
              <w:ind w:left="567" w:hanging="567"/>
              <w:contextualSpacing w:val="0"/>
              <w:rPr>
                <w:szCs w:val="22"/>
              </w:rPr>
            </w:pPr>
            <w:r w:rsidRPr="00EC23F9">
              <w:rPr>
                <w:szCs w:val="22"/>
              </w:rPr>
              <w:t>Require Secretaries, in implementing staff and salary reductions, to:</w:t>
            </w:r>
          </w:p>
          <w:p w14:paraId="72015BC7" w14:textId="444D3FA3" w:rsidR="004D26BC" w:rsidRPr="00EC23F9" w:rsidRDefault="004D26BC" w:rsidP="00D207B3">
            <w:pPr>
              <w:pStyle w:val="ListParagraph"/>
              <w:numPr>
                <w:ilvl w:val="1"/>
                <w:numId w:val="29"/>
              </w:numPr>
              <w:spacing w:after="160" w:line="278" w:lineRule="auto"/>
              <w:contextualSpacing w:val="0"/>
              <w:rPr>
                <w:szCs w:val="22"/>
              </w:rPr>
            </w:pPr>
            <w:r w:rsidRPr="00EC23F9">
              <w:rPr>
                <w:szCs w:val="22"/>
              </w:rPr>
              <w:t>Restructure departments with a view to removing layers and widening spans</w:t>
            </w:r>
            <w:r w:rsidR="00250497">
              <w:rPr>
                <w:szCs w:val="22"/>
              </w:rPr>
              <w:t> </w:t>
            </w:r>
            <w:r w:rsidRPr="00EC23F9">
              <w:rPr>
                <w:szCs w:val="22"/>
              </w:rPr>
              <w:t>of</w:t>
            </w:r>
            <w:r w:rsidR="0071720D">
              <w:rPr>
                <w:szCs w:val="22"/>
              </w:rPr>
              <w:t> </w:t>
            </w:r>
            <w:r w:rsidRPr="00EC23F9">
              <w:rPr>
                <w:szCs w:val="22"/>
              </w:rPr>
              <w:t xml:space="preserve">control, consistent with principles of good </w:t>
            </w:r>
            <w:proofErr w:type="spellStart"/>
            <w:r w:rsidRPr="00EC23F9">
              <w:rPr>
                <w:szCs w:val="22"/>
              </w:rPr>
              <w:t>organisational</w:t>
            </w:r>
            <w:proofErr w:type="spellEnd"/>
            <w:r w:rsidRPr="00EC23F9">
              <w:rPr>
                <w:szCs w:val="22"/>
              </w:rPr>
              <w:t xml:space="preserve"> design, including removal of any non-standard roles not aligned to a level in the classification structure.</w:t>
            </w:r>
          </w:p>
          <w:p w14:paraId="392ACBD7" w14:textId="0DC4A591" w:rsidR="004D26BC" w:rsidRPr="00EC23F9" w:rsidRDefault="004D26BC" w:rsidP="00D207B3">
            <w:pPr>
              <w:pStyle w:val="ListParagraph"/>
              <w:numPr>
                <w:ilvl w:val="1"/>
                <w:numId w:val="29"/>
              </w:numPr>
              <w:spacing w:after="160" w:line="278" w:lineRule="auto"/>
              <w:contextualSpacing w:val="0"/>
              <w:rPr>
                <w:szCs w:val="22"/>
              </w:rPr>
            </w:pPr>
            <w:r w:rsidRPr="00EC23F9">
              <w:rPr>
                <w:szCs w:val="22"/>
              </w:rPr>
              <w:t>Adopt new ways of working and delegating that remove excessive layers of</w:t>
            </w:r>
            <w:r w:rsidR="00E74146">
              <w:rPr>
                <w:szCs w:val="22"/>
              </w:rPr>
              <w:t> </w:t>
            </w:r>
            <w:r w:rsidRPr="00EC23F9">
              <w:rPr>
                <w:szCs w:val="22"/>
              </w:rPr>
              <w:t>clearance</w:t>
            </w:r>
            <w:r>
              <w:rPr>
                <w:szCs w:val="22"/>
              </w:rPr>
              <w:t>.</w:t>
            </w:r>
          </w:p>
          <w:p w14:paraId="39DADC56" w14:textId="77777777" w:rsidR="004D26BC" w:rsidRPr="00EC23F9" w:rsidRDefault="004D26BC" w:rsidP="00D207B3">
            <w:pPr>
              <w:pStyle w:val="ListParagraph"/>
              <w:numPr>
                <w:ilvl w:val="1"/>
                <w:numId w:val="24"/>
              </w:numPr>
              <w:spacing w:after="160" w:line="278" w:lineRule="auto"/>
              <w:ind w:left="567" w:hanging="567"/>
              <w:contextualSpacing w:val="0"/>
              <w:rPr>
                <w:szCs w:val="22"/>
              </w:rPr>
            </w:pPr>
            <w:r w:rsidRPr="00EC23F9">
              <w:rPr>
                <w:szCs w:val="22"/>
              </w:rPr>
              <w:t xml:space="preserve">Improve VPS employee data systems by introducing a workforce identifier. </w:t>
            </w:r>
          </w:p>
          <w:p w14:paraId="1C4391EE" w14:textId="3719B093" w:rsidR="004D26BC" w:rsidRPr="00EC23F9" w:rsidRDefault="004D26BC" w:rsidP="00D207B3">
            <w:pPr>
              <w:pStyle w:val="ListParagraph"/>
              <w:numPr>
                <w:ilvl w:val="1"/>
                <w:numId w:val="24"/>
              </w:numPr>
              <w:spacing w:after="160" w:line="278" w:lineRule="auto"/>
              <w:ind w:left="567" w:hanging="567"/>
              <w:contextualSpacing w:val="0"/>
              <w:rPr>
                <w:szCs w:val="22"/>
              </w:rPr>
            </w:pPr>
            <w:r w:rsidRPr="00EC23F9">
              <w:rPr>
                <w:szCs w:val="22"/>
              </w:rPr>
              <w:t xml:space="preserve">Establish and implement a protocol between the executive </w:t>
            </w:r>
            <w:r>
              <w:rPr>
                <w:szCs w:val="22"/>
              </w:rPr>
              <w:t xml:space="preserve">government </w:t>
            </w:r>
            <w:r w:rsidRPr="00EC23F9">
              <w:rPr>
                <w:szCs w:val="22"/>
              </w:rPr>
              <w:t xml:space="preserve">and the </w:t>
            </w:r>
            <w:r w:rsidR="0087610B">
              <w:rPr>
                <w:szCs w:val="22"/>
              </w:rPr>
              <w:t>VPS</w:t>
            </w:r>
            <w:r w:rsidRPr="00EC23F9">
              <w:rPr>
                <w:szCs w:val="22"/>
              </w:rPr>
              <w:t xml:space="preserve"> that defines roles, </w:t>
            </w:r>
            <w:proofErr w:type="spellStart"/>
            <w:r w:rsidRPr="00EC23F9">
              <w:rPr>
                <w:szCs w:val="22"/>
              </w:rPr>
              <w:t>recognises</w:t>
            </w:r>
            <w:proofErr w:type="spellEnd"/>
            <w:r w:rsidRPr="00EC23F9">
              <w:rPr>
                <w:szCs w:val="22"/>
              </w:rPr>
              <w:t xml:space="preserve"> </w:t>
            </w:r>
            <w:r w:rsidR="00FB2227">
              <w:rPr>
                <w:szCs w:val="22"/>
              </w:rPr>
              <w:t>capacity</w:t>
            </w:r>
            <w:r w:rsidRPr="00EC23F9">
              <w:rPr>
                <w:szCs w:val="22"/>
              </w:rPr>
              <w:t xml:space="preserve"> constraints and promotes shared stewardship of government effectiveness. </w:t>
            </w:r>
          </w:p>
          <w:p w14:paraId="67422443" w14:textId="672F2D44" w:rsidR="004D26BC" w:rsidRPr="00EC23F9" w:rsidRDefault="00B72B81" w:rsidP="00D207B3">
            <w:pPr>
              <w:pStyle w:val="ListParagraph"/>
              <w:numPr>
                <w:ilvl w:val="1"/>
                <w:numId w:val="24"/>
              </w:numPr>
              <w:spacing w:after="160" w:line="278" w:lineRule="auto"/>
              <w:ind w:left="567" w:hanging="567"/>
              <w:contextualSpacing w:val="0"/>
              <w:rPr>
                <w:szCs w:val="22"/>
              </w:rPr>
            </w:pPr>
            <w:r w:rsidRPr="008215CB">
              <w:rPr>
                <w:szCs w:val="22"/>
              </w:rPr>
              <w:t xml:space="preserve">Establish and </w:t>
            </w:r>
            <w:r>
              <w:rPr>
                <w:szCs w:val="22"/>
              </w:rPr>
              <w:t>invest in</w:t>
            </w:r>
            <w:r w:rsidRPr="008215CB">
              <w:rPr>
                <w:szCs w:val="22"/>
              </w:rPr>
              <w:t xml:space="preserve"> a </w:t>
            </w:r>
            <w:r>
              <w:rPr>
                <w:szCs w:val="22"/>
              </w:rPr>
              <w:t>VPS c</w:t>
            </w:r>
            <w:r w:rsidRPr="008215CB">
              <w:rPr>
                <w:szCs w:val="22"/>
              </w:rPr>
              <w:t xml:space="preserve">apability </w:t>
            </w:r>
            <w:r>
              <w:rPr>
                <w:szCs w:val="22"/>
              </w:rPr>
              <w:t>r</w:t>
            </w:r>
            <w:r w:rsidRPr="008215CB">
              <w:rPr>
                <w:szCs w:val="22"/>
              </w:rPr>
              <w:t xml:space="preserve">eview </w:t>
            </w:r>
            <w:r>
              <w:rPr>
                <w:szCs w:val="22"/>
              </w:rPr>
              <w:t>p</w:t>
            </w:r>
            <w:r w:rsidRPr="008215CB">
              <w:rPr>
                <w:szCs w:val="22"/>
              </w:rPr>
              <w:t>rogram</w:t>
            </w:r>
            <w:r>
              <w:rPr>
                <w:szCs w:val="22"/>
              </w:rPr>
              <w:t>,</w:t>
            </w:r>
            <w:r w:rsidRPr="008215CB">
              <w:rPr>
                <w:szCs w:val="22"/>
              </w:rPr>
              <w:t xml:space="preserve"> commencing with a review of</w:t>
            </w:r>
            <w:r w:rsidR="00125C57">
              <w:rPr>
                <w:szCs w:val="22"/>
              </w:rPr>
              <w:t> </w:t>
            </w:r>
            <w:r w:rsidRPr="008215CB">
              <w:rPr>
                <w:szCs w:val="22"/>
              </w:rPr>
              <w:t xml:space="preserve">DGS. </w:t>
            </w:r>
            <w:r w:rsidR="004D26BC" w:rsidRPr="00EC23F9">
              <w:rPr>
                <w:szCs w:val="22"/>
              </w:rPr>
              <w:t xml:space="preserve"> </w:t>
            </w:r>
          </w:p>
          <w:p w14:paraId="6F75FF25" w14:textId="457F31C1" w:rsidR="004D26BC" w:rsidRPr="00EC23F9" w:rsidRDefault="004D26BC" w:rsidP="00D207B3">
            <w:pPr>
              <w:pStyle w:val="ListParagraph"/>
              <w:numPr>
                <w:ilvl w:val="1"/>
                <w:numId w:val="24"/>
              </w:numPr>
              <w:spacing w:after="160" w:line="278" w:lineRule="auto"/>
              <w:ind w:left="567" w:hanging="567"/>
              <w:contextualSpacing w:val="0"/>
              <w:rPr>
                <w:szCs w:val="22"/>
              </w:rPr>
            </w:pPr>
            <w:r w:rsidRPr="00EC23F9">
              <w:rPr>
                <w:szCs w:val="22"/>
              </w:rPr>
              <w:t>Task and equip the VPSC</w:t>
            </w:r>
            <w:r>
              <w:rPr>
                <w:szCs w:val="22"/>
              </w:rPr>
              <w:t>, supported by DPC,</w:t>
            </w:r>
            <w:r w:rsidRPr="00EC23F9">
              <w:rPr>
                <w:szCs w:val="22"/>
              </w:rPr>
              <w:t xml:space="preserve"> to play a stronger VPS workforce strategy development role</w:t>
            </w:r>
            <w:r w:rsidR="00026C26">
              <w:rPr>
                <w:szCs w:val="22"/>
              </w:rPr>
              <w:t>,</w:t>
            </w:r>
            <w:r w:rsidRPr="00EC23F9">
              <w:rPr>
                <w:szCs w:val="22"/>
              </w:rPr>
              <w:t xml:space="preserve"> including:</w:t>
            </w:r>
          </w:p>
          <w:p w14:paraId="1CCA225C" w14:textId="6AE0A4AD" w:rsidR="004D26BC" w:rsidRPr="00EC23F9" w:rsidRDefault="004D26BC" w:rsidP="00D207B3">
            <w:pPr>
              <w:pStyle w:val="ListParagraph"/>
              <w:numPr>
                <w:ilvl w:val="2"/>
                <w:numId w:val="30"/>
              </w:numPr>
              <w:spacing w:after="160" w:line="278" w:lineRule="auto"/>
              <w:ind w:left="1156" w:hanging="425"/>
              <w:contextualSpacing w:val="0"/>
              <w:rPr>
                <w:szCs w:val="22"/>
              </w:rPr>
            </w:pPr>
            <w:r w:rsidRPr="00EC23F9">
              <w:rPr>
                <w:szCs w:val="22"/>
              </w:rPr>
              <w:t xml:space="preserve">Designing and </w:t>
            </w:r>
            <w:r>
              <w:rPr>
                <w:szCs w:val="22"/>
              </w:rPr>
              <w:t>leading</w:t>
            </w:r>
            <w:r w:rsidRPr="00EC23F9">
              <w:rPr>
                <w:szCs w:val="22"/>
              </w:rPr>
              <w:t xml:space="preserve"> the implementation of </w:t>
            </w:r>
            <w:r w:rsidR="00F97327">
              <w:rPr>
                <w:szCs w:val="22"/>
              </w:rPr>
              <w:t>a</w:t>
            </w:r>
            <w:r w:rsidRPr="00EC23F9">
              <w:rPr>
                <w:szCs w:val="22"/>
              </w:rPr>
              <w:t xml:space="preserve"> </w:t>
            </w:r>
            <w:r>
              <w:rPr>
                <w:szCs w:val="22"/>
              </w:rPr>
              <w:t>c</w:t>
            </w:r>
            <w:r w:rsidRPr="00EC23F9">
              <w:rPr>
                <w:szCs w:val="22"/>
              </w:rPr>
              <w:t xml:space="preserve">apability </w:t>
            </w:r>
            <w:r>
              <w:rPr>
                <w:szCs w:val="22"/>
              </w:rPr>
              <w:t>r</w:t>
            </w:r>
            <w:r w:rsidRPr="00EC23F9">
              <w:rPr>
                <w:szCs w:val="22"/>
              </w:rPr>
              <w:t xml:space="preserve">eview </w:t>
            </w:r>
            <w:r>
              <w:rPr>
                <w:szCs w:val="22"/>
              </w:rPr>
              <w:t>p</w:t>
            </w:r>
            <w:r w:rsidRPr="00EC23F9">
              <w:rPr>
                <w:szCs w:val="22"/>
              </w:rPr>
              <w:t>rogram</w:t>
            </w:r>
          </w:p>
          <w:p w14:paraId="1194D6E7" w14:textId="77777777" w:rsidR="004D26BC" w:rsidRPr="00EC23F9" w:rsidRDefault="004D26BC" w:rsidP="00D207B3">
            <w:pPr>
              <w:pStyle w:val="ListParagraph"/>
              <w:numPr>
                <w:ilvl w:val="2"/>
                <w:numId w:val="30"/>
              </w:numPr>
              <w:spacing w:after="160" w:line="278" w:lineRule="auto"/>
              <w:ind w:left="1156" w:hanging="425"/>
              <w:contextualSpacing w:val="0"/>
              <w:rPr>
                <w:szCs w:val="22"/>
              </w:rPr>
            </w:pPr>
            <w:r w:rsidRPr="00EC23F9">
              <w:rPr>
                <w:szCs w:val="22"/>
              </w:rPr>
              <w:t xml:space="preserve">Issuing new guidance on </w:t>
            </w:r>
            <w:proofErr w:type="spellStart"/>
            <w:r w:rsidRPr="00EC23F9">
              <w:rPr>
                <w:szCs w:val="22"/>
              </w:rPr>
              <w:t>organisational</w:t>
            </w:r>
            <w:proofErr w:type="spellEnd"/>
            <w:r w:rsidRPr="00EC23F9">
              <w:rPr>
                <w:szCs w:val="22"/>
              </w:rPr>
              <w:t xml:space="preserve"> design</w:t>
            </w:r>
          </w:p>
          <w:p w14:paraId="1605073B" w14:textId="77777777" w:rsidR="004D26BC" w:rsidRPr="00EC23F9" w:rsidRDefault="004D26BC" w:rsidP="00D207B3">
            <w:pPr>
              <w:pStyle w:val="ListParagraph"/>
              <w:numPr>
                <w:ilvl w:val="2"/>
                <w:numId w:val="30"/>
              </w:numPr>
              <w:spacing w:after="160" w:line="278" w:lineRule="auto"/>
              <w:ind w:left="1156" w:hanging="425"/>
              <w:contextualSpacing w:val="0"/>
              <w:rPr>
                <w:szCs w:val="22"/>
              </w:rPr>
            </w:pPr>
            <w:r w:rsidRPr="00EC23F9">
              <w:rPr>
                <w:szCs w:val="22"/>
              </w:rPr>
              <w:t>Disseminating advice on work value and re-sizing roles</w:t>
            </w:r>
          </w:p>
          <w:p w14:paraId="59F31575" w14:textId="3BA48278" w:rsidR="004D26BC" w:rsidRPr="00512E64" w:rsidRDefault="004D26BC" w:rsidP="00D207B3">
            <w:pPr>
              <w:pStyle w:val="ListParagraph"/>
              <w:numPr>
                <w:ilvl w:val="2"/>
                <w:numId w:val="30"/>
              </w:numPr>
              <w:spacing w:after="160" w:line="278" w:lineRule="auto"/>
              <w:ind w:left="1156" w:hanging="425"/>
              <w:contextualSpacing w:val="0"/>
              <w:rPr>
                <w:szCs w:val="22"/>
              </w:rPr>
            </w:pPr>
            <w:r w:rsidRPr="00EC23F9">
              <w:rPr>
                <w:szCs w:val="22"/>
              </w:rPr>
              <w:t xml:space="preserve">Monitoring departments’ implementation (in partnership with DTF) of the structural changes recommended by the Review. </w:t>
            </w:r>
          </w:p>
        </w:tc>
      </w:tr>
    </w:tbl>
    <w:p w14:paraId="53DC5EE0" w14:textId="77777777" w:rsidR="004D53AD" w:rsidRDefault="004D53AD" w:rsidP="003C356B"/>
    <w:p w14:paraId="0A7C19F1" w14:textId="77777777" w:rsidR="004D53AD" w:rsidRDefault="004D53AD" w:rsidP="003C356B">
      <w:r>
        <w:br w:type="page"/>
      </w:r>
    </w:p>
    <w:p w14:paraId="1F490525" w14:textId="77777777" w:rsidR="004135E3" w:rsidRDefault="004135E3" w:rsidP="0095201D">
      <w:pPr>
        <w:pStyle w:val="Heading1"/>
        <w:rPr>
          <w:bCs/>
        </w:rPr>
      </w:pPr>
      <w:r>
        <w:rPr>
          <w:bCs/>
        </w:rPr>
        <w:lastRenderedPageBreak/>
        <w:br w:type="page"/>
      </w:r>
    </w:p>
    <w:p w14:paraId="4B239721" w14:textId="36B6D653" w:rsidR="0095201D" w:rsidRPr="0040655E" w:rsidRDefault="0068471A" w:rsidP="0095201D">
      <w:pPr>
        <w:pStyle w:val="Heading1"/>
      </w:pPr>
      <w:bookmarkStart w:id="72" w:name="_Toc214912008"/>
      <w:r>
        <w:rPr>
          <w:bCs/>
        </w:rPr>
        <w:lastRenderedPageBreak/>
        <w:t xml:space="preserve">Chapter 6:  </w:t>
      </w:r>
      <w:r w:rsidR="0095201D">
        <w:rPr>
          <w:bCs/>
        </w:rPr>
        <w:t>Public e</w:t>
      </w:r>
      <w:r w:rsidR="0095201D" w:rsidRPr="0040655E">
        <w:rPr>
          <w:bCs/>
        </w:rPr>
        <w:t>ntit</w:t>
      </w:r>
      <w:r w:rsidR="0095201D">
        <w:rPr>
          <w:bCs/>
        </w:rPr>
        <w:t xml:space="preserve">y </w:t>
      </w:r>
      <w:r w:rsidR="0095201D">
        <w:t>reform</w:t>
      </w:r>
      <w:bookmarkEnd w:id="72"/>
      <w:r w:rsidR="0095201D" w:rsidRPr="0040655E">
        <w:t xml:space="preserve"> </w:t>
      </w:r>
    </w:p>
    <w:p w14:paraId="2F69A914" w14:textId="77777777" w:rsidR="0095201D" w:rsidRPr="00510DCD" w:rsidRDefault="0095201D" w:rsidP="00510DCD">
      <w:pPr>
        <w:spacing w:before="160" w:after="80"/>
        <w:rPr>
          <w:rFonts w:asciiTheme="majorHAnsi" w:hAnsiTheme="majorHAnsi"/>
          <w:b/>
          <w:color w:val="0F4761" w:themeColor="accent1" w:themeShade="BF"/>
          <w:sz w:val="32"/>
          <w:szCs w:val="32"/>
        </w:rPr>
      </w:pPr>
      <w:r w:rsidRPr="00510DCD">
        <w:rPr>
          <w:rFonts w:asciiTheme="majorHAnsi" w:hAnsiTheme="majorHAnsi"/>
          <w:b/>
          <w:color w:val="0F4761" w:themeColor="accent1" w:themeShade="BF"/>
          <w:sz w:val="32"/>
          <w:szCs w:val="32"/>
        </w:rPr>
        <w:t>Key points</w:t>
      </w:r>
    </w:p>
    <w:p w14:paraId="038820D0" w14:textId="17A3CC41" w:rsidR="0095201D" w:rsidRPr="006B02B9" w:rsidRDefault="0095201D" w:rsidP="00B66583">
      <w:pPr>
        <w:pStyle w:val="ShadedBoxBullet"/>
        <w:rPr>
          <w:rFonts w:ascii="Aptos" w:eastAsia="Aptos" w:hAnsi="Aptos" w:cs="Aptos"/>
          <w:color w:val="000000" w:themeColor="text1"/>
        </w:rPr>
      </w:pPr>
      <w:bookmarkStart w:id="73" w:name="_Hlk201735196"/>
      <w:r>
        <w:t>Victoria has more than 500 public entities and 3,400 boards and committees. More than 20 entities have been established since 2020. These are costly arrangements and</w:t>
      </w:r>
      <w:r w:rsidR="008361C9">
        <w:t> </w:t>
      </w:r>
      <w:r>
        <w:t xml:space="preserve">make government </w:t>
      </w:r>
      <w:r w:rsidR="0064415C" w:rsidRPr="001D005C">
        <w:t>more</w:t>
      </w:r>
      <w:r w:rsidR="0064415C">
        <w:t xml:space="preserve"> </w:t>
      </w:r>
      <w:r>
        <w:t xml:space="preserve">difficult for business and citizens to deal with. </w:t>
      </w:r>
    </w:p>
    <w:p w14:paraId="185F760D" w14:textId="77777777" w:rsidR="0095201D" w:rsidRDefault="0095201D" w:rsidP="00B66583">
      <w:pPr>
        <w:pStyle w:val="ShadedBoxBullet"/>
        <w:rPr>
          <w:rFonts w:ascii="Aptos" w:eastAsia="Aptos" w:hAnsi="Aptos" w:cs="Aptos"/>
          <w:color w:val="000000" w:themeColor="text1"/>
        </w:rPr>
      </w:pPr>
      <w:r w:rsidRPr="44A3A006">
        <w:t>There has been disproportionate growth of FTE in public</w:t>
      </w:r>
      <w:r>
        <w:t xml:space="preserve"> sector</w:t>
      </w:r>
      <w:r w:rsidRPr="44A3A006">
        <w:t xml:space="preserve"> entities and VPS non-departmental entities</w:t>
      </w:r>
      <w:r>
        <w:t xml:space="preserve"> over the past 5 years</w:t>
      </w:r>
      <w:r w:rsidRPr="44A3A006">
        <w:t xml:space="preserve">. </w:t>
      </w:r>
    </w:p>
    <w:p w14:paraId="214083D3" w14:textId="63BB1A8E" w:rsidR="0095201D" w:rsidRDefault="0095201D" w:rsidP="00B66583">
      <w:pPr>
        <w:pStyle w:val="ShadedBoxBullet"/>
        <w:rPr>
          <w:rFonts w:ascii="Aptos" w:eastAsia="Aptos" w:hAnsi="Aptos" w:cs="Aptos"/>
          <w:color w:val="000000" w:themeColor="text1"/>
        </w:rPr>
      </w:pPr>
      <w:r w:rsidRPr="44A3A006">
        <w:rPr>
          <w:rFonts w:ascii="Aptos" w:eastAsia="Aptos" w:hAnsi="Aptos" w:cs="Aptos"/>
          <w:color w:val="000000" w:themeColor="text1"/>
        </w:rPr>
        <w:t>T</w:t>
      </w:r>
      <w:r>
        <w:rPr>
          <w:rFonts w:ascii="Aptos" w:eastAsia="Aptos" w:hAnsi="Aptos" w:cs="Aptos"/>
          <w:color w:val="000000" w:themeColor="text1"/>
        </w:rPr>
        <w:t>he</w:t>
      </w:r>
      <w:r w:rsidRPr="44A3A006">
        <w:rPr>
          <w:rFonts w:ascii="Aptos" w:eastAsia="Aptos" w:hAnsi="Aptos" w:cs="Aptos"/>
          <w:color w:val="000000" w:themeColor="text1"/>
        </w:rPr>
        <w:t>re are substantial opportunities to streamline entities through carefully targeted cessation, merging and streamlining.</w:t>
      </w:r>
      <w:r>
        <w:rPr>
          <w:rFonts w:ascii="Aptos" w:eastAsia="Aptos" w:hAnsi="Aptos" w:cs="Aptos"/>
          <w:color w:val="000000" w:themeColor="text1"/>
        </w:rPr>
        <w:t xml:space="preserve"> </w:t>
      </w:r>
      <w:r w:rsidRPr="0040406B">
        <w:rPr>
          <w:rFonts w:ascii="Aptos" w:eastAsia="Aptos" w:hAnsi="Aptos" w:cs="Aptos"/>
          <w:color w:val="000000" w:themeColor="text1"/>
        </w:rPr>
        <w:t>Th</w:t>
      </w:r>
      <w:r w:rsidR="009E5E61">
        <w:rPr>
          <w:rFonts w:ascii="Aptos" w:eastAsia="Aptos" w:hAnsi="Aptos" w:cs="Aptos"/>
          <w:color w:val="000000" w:themeColor="text1"/>
        </w:rPr>
        <w:t>e</w:t>
      </w:r>
      <w:r>
        <w:rPr>
          <w:rFonts w:ascii="Aptos" w:eastAsia="Aptos" w:hAnsi="Aptos" w:cs="Aptos"/>
          <w:color w:val="000000" w:themeColor="text1"/>
        </w:rPr>
        <w:t xml:space="preserve"> Review </w:t>
      </w:r>
      <w:r w:rsidRPr="00D45D27">
        <w:rPr>
          <w:rFonts w:ascii="Aptos" w:eastAsia="Aptos" w:hAnsi="Aptos" w:cs="Aptos"/>
          <w:color w:val="000000" w:themeColor="text1"/>
        </w:rPr>
        <w:t>recommends a major package of reform that would</w:t>
      </w:r>
      <w:r w:rsidRPr="0040406B">
        <w:rPr>
          <w:rFonts w:ascii="Aptos" w:eastAsia="Aptos" w:hAnsi="Aptos" w:cs="Aptos"/>
          <w:color w:val="000000" w:themeColor="text1"/>
        </w:rPr>
        <w:t xml:space="preserve"> </w:t>
      </w:r>
      <w:r>
        <w:rPr>
          <w:rFonts w:ascii="Aptos" w:eastAsia="Aptos" w:hAnsi="Aptos" w:cs="Aptos"/>
          <w:color w:val="000000" w:themeColor="text1"/>
        </w:rPr>
        <w:t xml:space="preserve">reduce the number of public entities by </w:t>
      </w:r>
      <w:r w:rsidR="003869B7">
        <w:rPr>
          <w:rFonts w:ascii="Aptos" w:eastAsia="Aptos" w:hAnsi="Aptos" w:cs="Aptos"/>
          <w:color w:val="000000" w:themeColor="text1"/>
        </w:rPr>
        <w:t>78</w:t>
      </w:r>
      <w:r>
        <w:rPr>
          <w:rFonts w:ascii="Aptos" w:eastAsia="Aptos" w:hAnsi="Aptos" w:cs="Aptos"/>
          <w:color w:val="000000" w:themeColor="text1"/>
        </w:rPr>
        <w:t xml:space="preserve"> and cease up to 90</w:t>
      </w:r>
      <w:r w:rsidR="00EF5C75">
        <w:rPr>
          <w:rFonts w:ascii="Aptos" w:eastAsia="Aptos" w:hAnsi="Aptos" w:cs="Aptos"/>
          <w:color w:val="000000" w:themeColor="text1"/>
        </w:rPr>
        <w:t> </w:t>
      </w:r>
      <w:r>
        <w:rPr>
          <w:rFonts w:ascii="Aptos" w:eastAsia="Aptos" w:hAnsi="Aptos" w:cs="Aptos"/>
          <w:color w:val="000000" w:themeColor="text1"/>
        </w:rPr>
        <w:t>advisory committees, resulting in</w:t>
      </w:r>
      <w:r w:rsidRPr="0040406B">
        <w:rPr>
          <w:rFonts w:ascii="Aptos" w:eastAsia="Aptos" w:hAnsi="Aptos" w:cs="Aptos"/>
          <w:color w:val="000000" w:themeColor="text1"/>
        </w:rPr>
        <w:t xml:space="preserve"> direct cost savings of </w:t>
      </w:r>
      <w:r w:rsidRPr="001D005C">
        <w:rPr>
          <w:rFonts w:ascii="Aptos" w:eastAsia="Aptos" w:hAnsi="Aptos" w:cs="Aptos"/>
          <w:color w:val="000000" w:themeColor="text1"/>
        </w:rPr>
        <w:t>$4</w:t>
      </w:r>
      <w:r w:rsidR="00C04A98" w:rsidRPr="001D005C">
        <w:rPr>
          <w:rFonts w:ascii="Aptos" w:eastAsia="Aptos" w:hAnsi="Aptos" w:cs="Aptos"/>
          <w:color w:val="000000" w:themeColor="text1"/>
        </w:rPr>
        <w:t>27</w:t>
      </w:r>
      <w:r w:rsidRPr="001D005C">
        <w:rPr>
          <w:rFonts w:ascii="Aptos" w:eastAsia="Aptos" w:hAnsi="Aptos" w:cs="Aptos"/>
          <w:color w:val="000000" w:themeColor="text1"/>
        </w:rPr>
        <w:t xml:space="preserve"> million over 4 years</w:t>
      </w:r>
      <w:r w:rsidRPr="0040406B">
        <w:rPr>
          <w:rFonts w:ascii="Aptos" w:eastAsia="Aptos" w:hAnsi="Aptos" w:cs="Aptos"/>
          <w:color w:val="000000" w:themeColor="text1"/>
        </w:rPr>
        <w:t xml:space="preserve"> and FTE reductions of </w:t>
      </w:r>
      <w:r w:rsidR="001A59C6" w:rsidRPr="001D005C">
        <w:rPr>
          <w:rFonts w:ascii="Aptos" w:eastAsia="Aptos" w:hAnsi="Aptos" w:cs="Aptos"/>
          <w:color w:val="000000" w:themeColor="text1"/>
        </w:rPr>
        <w:t>536</w:t>
      </w:r>
      <w:r w:rsidRPr="0040406B">
        <w:rPr>
          <w:rFonts w:ascii="Aptos" w:eastAsia="Aptos" w:hAnsi="Aptos" w:cs="Aptos"/>
          <w:color w:val="000000" w:themeColor="text1"/>
        </w:rPr>
        <w:t xml:space="preserve"> VPS and public sector FTE. </w:t>
      </w:r>
    </w:p>
    <w:p w14:paraId="430E0AD9" w14:textId="7C422E56" w:rsidR="0095201D" w:rsidRPr="00F90146" w:rsidRDefault="0095201D" w:rsidP="00B66583">
      <w:pPr>
        <w:pStyle w:val="ShadedBoxBullet"/>
        <w:rPr>
          <w:rFonts w:ascii="Aptos" w:eastAsia="Aptos" w:hAnsi="Aptos" w:cs="Aptos"/>
          <w:color w:val="000000" w:themeColor="text1"/>
        </w:rPr>
      </w:pPr>
      <w:r>
        <w:rPr>
          <w:rFonts w:ascii="Aptos" w:eastAsia="Aptos" w:hAnsi="Aptos" w:cs="Aptos"/>
          <w:color w:val="000000" w:themeColor="text1"/>
        </w:rPr>
        <w:t xml:space="preserve">A smaller number of entities will enable clearer structures and oversight, and stronger accountability. It will make government less complex for </w:t>
      </w:r>
      <w:r w:rsidR="002F316E">
        <w:rPr>
          <w:rFonts w:ascii="Aptos" w:eastAsia="Aptos" w:hAnsi="Aptos" w:cs="Aptos"/>
          <w:color w:val="000000" w:themeColor="text1"/>
        </w:rPr>
        <w:t>citizens</w:t>
      </w:r>
      <w:r>
        <w:rPr>
          <w:rFonts w:ascii="Aptos" w:eastAsia="Aptos" w:hAnsi="Aptos" w:cs="Aptos"/>
          <w:color w:val="000000" w:themeColor="text1"/>
        </w:rPr>
        <w:t xml:space="preserve"> and business to navigate and streamline departments with less time spent managing and</w:t>
      </w:r>
      <w:r w:rsidR="008361C9">
        <w:rPr>
          <w:rFonts w:ascii="Aptos" w:eastAsia="Aptos" w:hAnsi="Aptos" w:cs="Aptos"/>
          <w:color w:val="000000" w:themeColor="text1"/>
        </w:rPr>
        <w:t> </w:t>
      </w:r>
      <w:r>
        <w:rPr>
          <w:rFonts w:ascii="Aptos" w:eastAsia="Aptos" w:hAnsi="Aptos" w:cs="Aptos"/>
          <w:color w:val="000000" w:themeColor="text1"/>
        </w:rPr>
        <w:t>overseeing multiple bodies and stakeholders.</w:t>
      </w:r>
    </w:p>
    <w:p w14:paraId="0CC2EE78" w14:textId="2523C463" w:rsidR="0095201D" w:rsidRPr="00FE104D" w:rsidRDefault="0095201D" w:rsidP="00B66583">
      <w:pPr>
        <w:pStyle w:val="ShadedBoxBullet"/>
        <w:rPr>
          <w:rFonts w:ascii="Aptos" w:eastAsia="Aptos" w:hAnsi="Aptos" w:cs="Aptos"/>
          <w:color w:val="000000" w:themeColor="text1"/>
        </w:rPr>
      </w:pPr>
      <w:r w:rsidRPr="008B5D9A">
        <w:rPr>
          <w:rFonts w:ascii="Aptos" w:eastAsia="Aptos" w:hAnsi="Aptos" w:cs="Aptos"/>
          <w:color w:val="000000" w:themeColor="text1"/>
        </w:rPr>
        <w:t>Improved administration and oversight of entity establishment and governance</w:t>
      </w:r>
      <w:r>
        <w:rPr>
          <w:rFonts w:ascii="Aptos" w:eastAsia="Aptos" w:hAnsi="Aptos" w:cs="Aptos"/>
          <w:color w:val="000000" w:themeColor="text1"/>
        </w:rPr>
        <w:t xml:space="preserve"> </w:t>
      </w:r>
      <w:r w:rsidR="001C5DF7">
        <w:rPr>
          <w:rFonts w:ascii="Aptos" w:eastAsia="Aptos" w:hAnsi="Aptos" w:cs="Aptos"/>
          <w:color w:val="000000" w:themeColor="text1"/>
        </w:rPr>
        <w:t>are</w:t>
      </w:r>
      <w:r w:rsidRPr="008B5D9A">
        <w:rPr>
          <w:rFonts w:ascii="Aptos" w:eastAsia="Aptos" w:hAnsi="Aptos" w:cs="Aptos"/>
          <w:color w:val="000000" w:themeColor="text1"/>
        </w:rPr>
        <w:t xml:space="preserve"> </w:t>
      </w:r>
      <w:r>
        <w:rPr>
          <w:rFonts w:ascii="Aptos" w:eastAsia="Aptos" w:hAnsi="Aptos" w:cs="Aptos"/>
          <w:color w:val="000000" w:themeColor="text1"/>
        </w:rPr>
        <w:t xml:space="preserve">also </w:t>
      </w:r>
      <w:r w:rsidRPr="008B5D9A">
        <w:rPr>
          <w:rFonts w:ascii="Aptos" w:eastAsia="Aptos" w:hAnsi="Aptos" w:cs="Aptos"/>
          <w:color w:val="000000" w:themeColor="text1"/>
        </w:rPr>
        <w:t>required</w:t>
      </w:r>
      <w:r>
        <w:rPr>
          <w:rFonts w:ascii="Aptos" w:eastAsia="Aptos" w:hAnsi="Aptos" w:cs="Aptos"/>
          <w:color w:val="000000" w:themeColor="text1"/>
        </w:rPr>
        <w:t xml:space="preserve">, including default </w:t>
      </w:r>
      <w:r w:rsidR="00CA0687">
        <w:rPr>
          <w:rFonts w:ascii="Aptos" w:eastAsia="Aptos" w:hAnsi="Aptos" w:cs="Aptos"/>
          <w:color w:val="000000" w:themeColor="text1"/>
        </w:rPr>
        <w:t xml:space="preserve">entity </w:t>
      </w:r>
      <w:r>
        <w:rPr>
          <w:rFonts w:ascii="Aptos" w:eastAsia="Aptos" w:hAnsi="Aptos" w:cs="Aptos"/>
          <w:color w:val="000000" w:themeColor="text1"/>
        </w:rPr>
        <w:t>sunset dates and regular review</w:t>
      </w:r>
      <w:r w:rsidR="00CA0687">
        <w:rPr>
          <w:rFonts w:ascii="Aptos" w:eastAsia="Aptos" w:hAnsi="Aptos" w:cs="Aptos"/>
          <w:color w:val="000000" w:themeColor="text1"/>
        </w:rPr>
        <w:t>s</w:t>
      </w:r>
      <w:r w:rsidRPr="008B5D9A">
        <w:rPr>
          <w:rFonts w:ascii="Aptos" w:eastAsia="Aptos" w:hAnsi="Aptos" w:cs="Aptos"/>
          <w:color w:val="000000" w:themeColor="text1"/>
        </w:rPr>
        <w:t xml:space="preserve">.  </w:t>
      </w:r>
      <w:bookmarkEnd w:id="73"/>
    </w:p>
    <w:p w14:paraId="2D431795" w14:textId="65592197" w:rsidR="0095201D" w:rsidRPr="0040655E" w:rsidRDefault="00A503B1" w:rsidP="001A6E30">
      <w:pPr>
        <w:pStyle w:val="Heading2"/>
        <w:spacing w:before="360" w:after="160" w:line="259" w:lineRule="auto"/>
        <w:rPr>
          <w:b w:val="0"/>
        </w:rPr>
      </w:pPr>
      <w:bookmarkStart w:id="74" w:name="_Toc202523989"/>
      <w:bookmarkStart w:id="75" w:name="_Toc214912009"/>
      <w:bookmarkStart w:id="76" w:name="_Hlk201654546"/>
      <w:r>
        <w:t xml:space="preserve">6.1   </w:t>
      </w:r>
      <w:r w:rsidR="0095201D" w:rsidRPr="0040655E">
        <w:t>Introduction</w:t>
      </w:r>
      <w:bookmarkEnd w:id="74"/>
      <w:bookmarkEnd w:id="75"/>
      <w:r w:rsidR="0095201D" w:rsidRPr="0040655E">
        <w:t xml:space="preserve"> </w:t>
      </w:r>
    </w:p>
    <w:bookmarkEnd w:id="76"/>
    <w:p w14:paraId="310EC518" w14:textId="77777777" w:rsidR="00DD45EC" w:rsidRDefault="00DD45EC" w:rsidP="0095201D">
      <w:pPr>
        <w:sectPr w:rsidR="00DD45EC" w:rsidSect="00AE6104">
          <w:type w:val="continuous"/>
          <w:pgSz w:w="11906" w:h="16838"/>
          <w:pgMar w:top="1440" w:right="1440" w:bottom="1440" w:left="1440" w:header="708" w:footer="708" w:gutter="0"/>
          <w:cols w:space="708"/>
          <w:docGrid w:linePitch="360"/>
          <w15:footnoteColumns w:val="1"/>
        </w:sectPr>
      </w:pPr>
    </w:p>
    <w:p w14:paraId="01EC8C7E" w14:textId="381A5479" w:rsidR="0095201D" w:rsidRPr="00BE079F" w:rsidRDefault="0095201D" w:rsidP="0095201D">
      <w:r>
        <w:t>This chapter helps address a key element in</w:t>
      </w:r>
      <w:r w:rsidR="0012759E">
        <w:t> </w:t>
      </w:r>
      <w:r>
        <w:t xml:space="preserve">the Review’s </w:t>
      </w:r>
      <w:r w:rsidR="00F264FD">
        <w:t>T</w:t>
      </w:r>
      <w:r>
        <w:t xml:space="preserve">erms of </w:t>
      </w:r>
      <w:r w:rsidR="00F264FD">
        <w:t>R</w:t>
      </w:r>
      <w:r>
        <w:t xml:space="preserve">eference of </w:t>
      </w:r>
      <w:r w:rsidRPr="51E2ACC3">
        <w:t>identify</w:t>
      </w:r>
      <w:r>
        <w:t>ing</w:t>
      </w:r>
      <w:r w:rsidRPr="51E2ACC3">
        <w:t xml:space="preserve"> overlaps, inefficiencies, functions and programs that can be streamlined or eliminated, with a focus on</w:t>
      </w:r>
      <w:r w:rsidR="0012759E">
        <w:t> </w:t>
      </w:r>
      <w:r w:rsidRPr="51E2ACC3">
        <w:t>entity consolidation</w:t>
      </w:r>
      <w:r>
        <w:t xml:space="preserve">. </w:t>
      </w:r>
    </w:p>
    <w:p w14:paraId="6AD67DAF" w14:textId="46B2A666" w:rsidR="0095201D" w:rsidRDefault="0095201D" w:rsidP="0095201D">
      <w:pPr>
        <w:rPr>
          <w:rFonts w:ascii="Aptos" w:eastAsia="Aptos" w:hAnsi="Aptos" w:cs="Aptos"/>
          <w:color w:val="000000" w:themeColor="text1"/>
          <w:lang w:val="en-GB"/>
        </w:rPr>
      </w:pPr>
      <w:r w:rsidRPr="00A95716">
        <w:t xml:space="preserve">Victoria </w:t>
      </w:r>
      <w:r>
        <w:t>has more than</w:t>
      </w:r>
      <w:r w:rsidRPr="00A95716">
        <w:t xml:space="preserve"> 500 </w:t>
      </w:r>
      <w:r>
        <w:t xml:space="preserve">public </w:t>
      </w:r>
      <w:r w:rsidRPr="00A95716">
        <w:t>entities and 3,400 boards and committees</w:t>
      </w:r>
      <w:r>
        <w:t xml:space="preserve"> –</w:t>
      </w:r>
      <w:r>
        <w:rPr>
          <w:rStyle w:val="FootnoteReference"/>
        </w:rPr>
        <w:footnoteReference w:id="17"/>
      </w:r>
      <w:r>
        <w:t xml:space="preserve"> understood to be </w:t>
      </w:r>
      <w:r w:rsidRPr="00A95716">
        <w:t>more than any other</w:t>
      </w:r>
      <w:r>
        <w:t xml:space="preserve"> Australian</w:t>
      </w:r>
      <w:r w:rsidRPr="00A95716">
        <w:t xml:space="preserve"> state</w:t>
      </w:r>
      <w:r>
        <w:t xml:space="preserve"> or territory.</w:t>
      </w:r>
      <w:r w:rsidRPr="00C02834">
        <w:rPr>
          <w:rFonts w:ascii="Aptos" w:eastAsia="Aptos" w:hAnsi="Aptos" w:cs="Aptos"/>
          <w:color w:val="000000" w:themeColor="text1"/>
          <w:lang w:val="en-GB"/>
        </w:rPr>
        <w:t xml:space="preserve"> </w:t>
      </w:r>
      <w:r>
        <w:rPr>
          <w:rFonts w:ascii="Aptos" w:eastAsia="Aptos" w:hAnsi="Aptos" w:cs="Aptos"/>
          <w:color w:val="000000" w:themeColor="text1"/>
          <w:lang w:val="en-GB"/>
        </w:rPr>
        <w:t xml:space="preserve">More than </w:t>
      </w:r>
      <w:r w:rsidR="00DD45EC">
        <w:rPr>
          <w:rFonts w:ascii="Aptos" w:eastAsia="Aptos" w:hAnsi="Aptos" w:cs="Aptos"/>
          <w:color w:val="000000" w:themeColor="text1"/>
          <w:lang w:val="en-GB"/>
        </w:rPr>
        <w:br w:type="column"/>
      </w:r>
      <w:r>
        <w:rPr>
          <w:rFonts w:ascii="Aptos" w:eastAsia="Aptos" w:hAnsi="Aptos" w:cs="Aptos"/>
          <w:color w:val="000000" w:themeColor="text1"/>
          <w:lang w:val="en-GB"/>
        </w:rPr>
        <w:t>20</w:t>
      </w:r>
      <w:r w:rsidR="00C814F4">
        <w:rPr>
          <w:rFonts w:ascii="Aptos" w:eastAsia="Aptos" w:hAnsi="Aptos" w:cs="Aptos"/>
          <w:color w:val="000000" w:themeColor="text1"/>
          <w:lang w:val="en-GB"/>
        </w:rPr>
        <w:t> </w:t>
      </w:r>
      <w:r>
        <w:rPr>
          <w:rFonts w:ascii="Aptos" w:eastAsia="Aptos" w:hAnsi="Aptos" w:cs="Aptos"/>
          <w:color w:val="000000" w:themeColor="text1"/>
          <w:lang w:val="en-GB"/>
        </w:rPr>
        <w:t xml:space="preserve">entities have been created since 2020, for example, </w:t>
      </w:r>
      <w:r w:rsidR="006A2EE5">
        <w:rPr>
          <w:rFonts w:ascii="Aptos" w:eastAsia="Aptos" w:hAnsi="Aptos" w:cs="Aptos"/>
          <w:color w:val="000000" w:themeColor="text1"/>
          <w:lang w:val="en-GB"/>
        </w:rPr>
        <w:t xml:space="preserve">the </w:t>
      </w:r>
      <w:r w:rsidRPr="00BE51A7">
        <w:rPr>
          <w:rFonts w:ascii="Aptos" w:eastAsia="Aptos" w:hAnsi="Aptos" w:cs="Aptos"/>
          <w:color w:val="000000" w:themeColor="text1"/>
          <w:lang w:val="en-GB"/>
        </w:rPr>
        <w:t>Wage Inspectorate Victoria</w:t>
      </w:r>
      <w:r>
        <w:rPr>
          <w:rFonts w:ascii="Aptos" w:eastAsia="Aptos" w:hAnsi="Aptos" w:cs="Aptos"/>
          <w:color w:val="000000" w:themeColor="text1"/>
          <w:lang w:val="en-GB"/>
        </w:rPr>
        <w:t xml:space="preserve"> and </w:t>
      </w:r>
      <w:r w:rsidR="001D30BA">
        <w:rPr>
          <w:rFonts w:ascii="Aptos" w:eastAsia="Aptos" w:hAnsi="Aptos" w:cs="Aptos"/>
          <w:color w:val="000000" w:themeColor="text1"/>
          <w:lang w:val="en-GB"/>
        </w:rPr>
        <w:t xml:space="preserve">the </w:t>
      </w:r>
      <w:r w:rsidR="001D30BA" w:rsidRPr="00394D24">
        <w:rPr>
          <w:rFonts w:ascii="Aptos" w:eastAsia="Aptos" w:hAnsi="Aptos" w:cs="Aptos"/>
          <w:color w:val="000000" w:themeColor="text1"/>
          <w:lang w:val="en-GB"/>
        </w:rPr>
        <w:t>Portable Long Service Authority</w:t>
      </w:r>
      <w:r w:rsidRPr="00394D24">
        <w:rPr>
          <w:rFonts w:ascii="Aptos" w:eastAsia="Aptos" w:hAnsi="Aptos" w:cs="Aptos"/>
          <w:color w:val="000000" w:themeColor="text1"/>
          <w:lang w:val="en-GB"/>
        </w:rPr>
        <w:t>.</w:t>
      </w:r>
      <w:r>
        <w:rPr>
          <w:rFonts w:ascii="Aptos" w:eastAsia="Aptos" w:hAnsi="Aptos" w:cs="Aptos"/>
          <w:color w:val="000000" w:themeColor="text1"/>
          <w:lang w:val="en-GB"/>
        </w:rPr>
        <w:t xml:space="preserve"> </w:t>
      </w:r>
    </w:p>
    <w:p w14:paraId="41A0A075" w14:textId="7FD94298" w:rsidR="0095201D" w:rsidRPr="00C41ADC" w:rsidRDefault="0095201D" w:rsidP="0095201D">
      <w:r>
        <w:rPr>
          <w:rFonts w:ascii="Aptos" w:eastAsia="Aptos" w:hAnsi="Aptos" w:cs="Aptos"/>
          <w:color w:val="000000" w:themeColor="text1"/>
          <w:lang w:val="en-GB"/>
        </w:rPr>
        <w:t>Victorian public entities are estimated to</w:t>
      </w:r>
      <w:r w:rsidR="00265FA9">
        <w:rPr>
          <w:rFonts w:ascii="Aptos" w:eastAsia="Aptos" w:hAnsi="Aptos" w:cs="Aptos"/>
          <w:color w:val="000000" w:themeColor="text1"/>
          <w:lang w:val="en-GB"/>
        </w:rPr>
        <w:t> </w:t>
      </w:r>
      <w:r>
        <w:rPr>
          <w:rFonts w:ascii="Aptos" w:eastAsia="Aptos" w:hAnsi="Aptos" w:cs="Aptos"/>
          <w:color w:val="000000" w:themeColor="text1"/>
          <w:lang w:val="en-GB"/>
        </w:rPr>
        <w:t xml:space="preserve">have a total of around </w:t>
      </w:r>
      <w:r w:rsidRPr="00D66A62">
        <w:rPr>
          <w:rFonts w:ascii="Aptos" w:eastAsia="Aptos" w:hAnsi="Aptos" w:cs="Aptos"/>
          <w:color w:val="000000" w:themeColor="text1"/>
          <w:lang w:val="en-GB"/>
        </w:rPr>
        <w:t>$35 billion</w:t>
      </w:r>
      <w:r>
        <w:rPr>
          <w:rFonts w:ascii="Aptos" w:eastAsia="Aptos" w:hAnsi="Aptos" w:cs="Aptos"/>
          <w:color w:val="000000" w:themeColor="text1"/>
          <w:lang w:val="en-GB"/>
        </w:rPr>
        <w:t xml:space="preserve"> in annual operating expenditure.</w:t>
      </w:r>
      <w:r>
        <w:rPr>
          <w:rStyle w:val="FootnoteReference"/>
          <w:rFonts w:ascii="Aptos" w:eastAsia="Aptos" w:hAnsi="Aptos" w:cs="Aptos"/>
          <w:color w:val="000000" w:themeColor="text1"/>
          <w:lang w:val="en-GB"/>
        </w:rPr>
        <w:footnoteReference w:id="18"/>
      </w:r>
      <w:r>
        <w:rPr>
          <w:rFonts w:ascii="Aptos" w:eastAsia="Aptos" w:hAnsi="Aptos" w:cs="Aptos"/>
          <w:color w:val="000000" w:themeColor="text1"/>
          <w:lang w:val="en-GB"/>
        </w:rPr>
        <w:t xml:space="preserve"> </w:t>
      </w:r>
      <w:r w:rsidRPr="00B967E6">
        <w:rPr>
          <w:rFonts w:ascii="Aptos" w:eastAsia="Aptos" w:hAnsi="Aptos" w:cs="Aptos"/>
          <w:color w:val="000000" w:themeColor="text1"/>
          <w:lang w:val="en-GB"/>
        </w:rPr>
        <w:t xml:space="preserve">The </w:t>
      </w:r>
      <w:r>
        <w:rPr>
          <w:rFonts w:ascii="Aptos" w:eastAsia="Aptos" w:hAnsi="Aptos" w:cs="Aptos"/>
          <w:color w:val="000000" w:themeColor="text1"/>
          <w:lang w:val="en-GB"/>
        </w:rPr>
        <w:t>largest</w:t>
      </w:r>
      <w:r w:rsidRPr="00B967E6">
        <w:rPr>
          <w:rFonts w:ascii="Aptos" w:eastAsia="Aptos" w:hAnsi="Aptos" w:cs="Aptos"/>
          <w:color w:val="000000" w:themeColor="text1"/>
          <w:lang w:val="en-GB"/>
        </w:rPr>
        <w:t xml:space="preserve"> </w:t>
      </w:r>
      <w:r>
        <w:rPr>
          <w:rFonts w:ascii="Aptos" w:eastAsia="Aptos" w:hAnsi="Aptos" w:cs="Aptos"/>
          <w:color w:val="000000" w:themeColor="text1"/>
          <w:lang w:val="en-GB"/>
        </w:rPr>
        <w:t>20</w:t>
      </w:r>
      <w:r w:rsidRPr="00B967E6">
        <w:rPr>
          <w:rFonts w:ascii="Aptos" w:eastAsia="Aptos" w:hAnsi="Aptos" w:cs="Aptos"/>
          <w:color w:val="000000" w:themeColor="text1"/>
          <w:lang w:val="en-GB"/>
        </w:rPr>
        <w:t xml:space="preserve"> entities </w:t>
      </w:r>
      <w:r>
        <w:rPr>
          <w:rFonts w:ascii="Aptos" w:eastAsia="Aptos" w:hAnsi="Aptos" w:cs="Aptos"/>
          <w:color w:val="000000" w:themeColor="text1"/>
          <w:lang w:val="en-GB"/>
        </w:rPr>
        <w:t>employ</w:t>
      </w:r>
      <w:r w:rsidRPr="00B967E6">
        <w:rPr>
          <w:rFonts w:ascii="Aptos" w:eastAsia="Aptos" w:hAnsi="Aptos" w:cs="Aptos"/>
          <w:color w:val="000000" w:themeColor="text1"/>
          <w:lang w:val="en-GB"/>
        </w:rPr>
        <w:t xml:space="preserve"> </w:t>
      </w:r>
      <w:r>
        <w:rPr>
          <w:rFonts w:ascii="Aptos" w:eastAsia="Aptos" w:hAnsi="Aptos" w:cs="Aptos"/>
          <w:color w:val="000000" w:themeColor="text1"/>
          <w:lang w:val="en-GB"/>
        </w:rPr>
        <w:t>around 65 per cent</w:t>
      </w:r>
      <w:r w:rsidRPr="00B967E6">
        <w:rPr>
          <w:rFonts w:ascii="Aptos" w:eastAsia="Aptos" w:hAnsi="Aptos" w:cs="Aptos"/>
          <w:color w:val="000000" w:themeColor="text1"/>
          <w:lang w:val="en-GB"/>
        </w:rPr>
        <w:t xml:space="preserve"> of the</w:t>
      </w:r>
      <w:r w:rsidR="00F350B8">
        <w:rPr>
          <w:rFonts w:ascii="Aptos" w:eastAsia="Aptos" w:hAnsi="Aptos" w:cs="Aptos"/>
          <w:color w:val="000000" w:themeColor="text1"/>
          <w:lang w:val="en-GB"/>
        </w:rPr>
        <w:t> </w:t>
      </w:r>
      <w:r>
        <w:rPr>
          <w:rFonts w:ascii="Aptos" w:eastAsia="Aptos" w:hAnsi="Aptos" w:cs="Aptos"/>
          <w:color w:val="000000" w:themeColor="text1"/>
          <w:lang w:val="en-GB"/>
        </w:rPr>
        <w:t xml:space="preserve">total </w:t>
      </w:r>
      <w:r w:rsidRPr="00B967E6">
        <w:rPr>
          <w:rFonts w:ascii="Aptos" w:eastAsia="Aptos" w:hAnsi="Aptos" w:cs="Aptos"/>
          <w:color w:val="000000" w:themeColor="text1"/>
          <w:lang w:val="en-GB"/>
        </w:rPr>
        <w:t>entity workforce.</w:t>
      </w:r>
      <w:r>
        <w:rPr>
          <w:rFonts w:ascii="Aptos" w:eastAsia="Aptos" w:hAnsi="Aptos" w:cs="Aptos"/>
          <w:color w:val="000000" w:themeColor="text1"/>
          <w:lang w:val="en-GB"/>
        </w:rPr>
        <w:t xml:space="preserve"> </w:t>
      </w:r>
      <w:r w:rsidRPr="00A95716">
        <w:t xml:space="preserve">Many </w:t>
      </w:r>
      <w:r>
        <w:t xml:space="preserve">entities have </w:t>
      </w:r>
      <w:r w:rsidRPr="00A95716">
        <w:t>less than $10 million in annual expenditure</w:t>
      </w:r>
      <w:r>
        <w:t xml:space="preserve"> and around 45 per cent of </w:t>
      </w:r>
      <w:r w:rsidR="00F350B8">
        <w:br w:type="column"/>
      </w:r>
      <w:r>
        <w:lastRenderedPageBreak/>
        <w:t>entitie</w:t>
      </w:r>
      <w:r w:rsidR="006650C0">
        <w:t>s</w:t>
      </w:r>
      <w:r w:rsidR="009C65DD">
        <w:t xml:space="preserve"> </w:t>
      </w:r>
      <w:r>
        <w:t>contribute to only 2 per cent of total</w:t>
      </w:r>
      <w:r w:rsidR="001E7EFA">
        <w:t> </w:t>
      </w:r>
      <w:r>
        <w:t>entity</w:t>
      </w:r>
      <w:r w:rsidR="00C41ADC">
        <w:t xml:space="preserve"> </w:t>
      </w:r>
      <w:r>
        <w:t>expenditure (Figure 6.1)</w:t>
      </w:r>
      <w:r w:rsidRPr="00A95716">
        <w:t>.</w:t>
      </w:r>
      <w:r>
        <w:t xml:space="preserve"> Growth in entity FTE </w:t>
      </w:r>
      <w:r w:rsidRPr="00A95716">
        <w:rPr>
          <w:lang w:val="en-US"/>
        </w:rPr>
        <w:t>(</w:t>
      </w:r>
      <w:r w:rsidRPr="00BD2BDA">
        <w:rPr>
          <w:lang w:val="en-US"/>
        </w:rPr>
        <w:t>19</w:t>
      </w:r>
      <w:r>
        <w:rPr>
          <w:lang w:val="en-US"/>
        </w:rPr>
        <w:t> per cent</w:t>
      </w:r>
      <w:r w:rsidRPr="00A95716">
        <w:rPr>
          <w:lang w:val="en-US"/>
        </w:rPr>
        <w:t>)</w:t>
      </w:r>
      <w:r>
        <w:rPr>
          <w:lang w:val="en-US"/>
        </w:rPr>
        <w:t xml:space="preserve"> has</w:t>
      </w:r>
      <w:r w:rsidRPr="00A95716">
        <w:rPr>
          <w:lang w:val="en-US"/>
        </w:rPr>
        <w:t xml:space="preserve"> outpac</w:t>
      </w:r>
      <w:r>
        <w:rPr>
          <w:lang w:val="en-US"/>
        </w:rPr>
        <w:t>ed</w:t>
      </w:r>
      <w:r w:rsidRPr="00A95716">
        <w:rPr>
          <w:lang w:val="en-US"/>
        </w:rPr>
        <w:t xml:space="preserve"> </w:t>
      </w:r>
      <w:r w:rsidRPr="00B150BB">
        <w:rPr>
          <w:lang w:val="en-US"/>
        </w:rPr>
        <w:t xml:space="preserve">growth in </w:t>
      </w:r>
      <w:r w:rsidRPr="00A95716">
        <w:rPr>
          <w:lang w:val="en-US"/>
        </w:rPr>
        <w:t>departments (13</w:t>
      </w:r>
      <w:r>
        <w:rPr>
          <w:lang w:val="en-US"/>
        </w:rPr>
        <w:t xml:space="preserve"> per cent</w:t>
      </w:r>
      <w:r w:rsidRPr="00A95716">
        <w:rPr>
          <w:lang w:val="en-US"/>
        </w:rPr>
        <w:t>)</w:t>
      </w:r>
      <w:r>
        <w:rPr>
          <w:lang w:val="en-US"/>
        </w:rPr>
        <w:t xml:space="preserve"> over the past 5</w:t>
      </w:r>
      <w:r w:rsidR="005A1532">
        <w:rPr>
          <w:lang w:val="en-US"/>
        </w:rPr>
        <w:t> </w:t>
      </w:r>
      <w:r>
        <w:rPr>
          <w:lang w:val="en-US"/>
        </w:rPr>
        <w:t>years</w:t>
      </w:r>
      <w:r w:rsidRPr="00A95716">
        <w:rPr>
          <w:lang w:val="en-US"/>
        </w:rPr>
        <w:t xml:space="preserve">. </w:t>
      </w:r>
      <w:r w:rsidRPr="00C02834">
        <w:rPr>
          <w:rFonts w:ascii="Aptos" w:eastAsia="Aptos" w:hAnsi="Aptos" w:cs="Aptos"/>
          <w:color w:val="000000" w:themeColor="text1"/>
          <w:lang w:val="en-GB"/>
        </w:rPr>
        <w:t xml:space="preserve"> </w:t>
      </w:r>
    </w:p>
    <w:p w14:paraId="1EABFA6B" w14:textId="77777777" w:rsidR="00DD45EC" w:rsidRDefault="00DD45EC" w:rsidP="001E716C">
      <w:pPr>
        <w:pStyle w:val="Figureheading"/>
        <w:sectPr w:rsidR="00DD45EC" w:rsidSect="00DD45EC">
          <w:type w:val="continuous"/>
          <w:pgSz w:w="11906" w:h="16838"/>
          <w:pgMar w:top="1440" w:right="1440" w:bottom="1440" w:left="1440" w:header="708" w:footer="708" w:gutter="0"/>
          <w:cols w:num="2" w:space="708"/>
          <w:docGrid w:linePitch="360"/>
          <w15:footnoteColumns w:val="1"/>
        </w:sectPr>
      </w:pPr>
    </w:p>
    <w:p w14:paraId="4A38790D" w14:textId="5E74B00E" w:rsidR="0095201D" w:rsidRDefault="0095201D" w:rsidP="00DD45EC">
      <w:pPr>
        <w:pStyle w:val="Figureheading"/>
      </w:pPr>
      <w:r w:rsidRPr="00C97AD8">
        <w:t xml:space="preserve">Figure </w:t>
      </w:r>
      <w:r w:rsidR="00B97BAA">
        <w:t>6</w:t>
      </w:r>
      <w:r>
        <w:t>.</w:t>
      </w:r>
      <w:r w:rsidR="009D5FCD">
        <w:fldChar w:fldCharType="begin"/>
      </w:r>
      <w:r w:rsidR="009D5FCD">
        <w:instrText xml:space="preserve"> SEQ Figure \* ARABIC \s 1 </w:instrText>
      </w:r>
      <w:r w:rsidR="009D5FCD">
        <w:fldChar w:fldCharType="separate"/>
      </w:r>
      <w:r w:rsidR="009D1283">
        <w:rPr>
          <w:noProof/>
        </w:rPr>
        <w:t>1</w:t>
      </w:r>
      <w:r w:rsidR="009D5FCD">
        <w:rPr>
          <w:noProof/>
        </w:rPr>
        <w:fldChar w:fldCharType="end"/>
      </w:r>
      <w:r w:rsidRPr="00C97AD8">
        <w:t xml:space="preserve">: </w:t>
      </w:r>
      <w:r>
        <w:t>Total expenditure and share of total by public entities in 2025</w:t>
      </w:r>
      <w:r w:rsidR="007D0713">
        <w:t>–</w:t>
      </w:r>
      <w:r>
        <w:t>26</w:t>
      </w:r>
    </w:p>
    <w:p w14:paraId="24B45DF7" w14:textId="48B37E03" w:rsidR="0085398B" w:rsidRPr="00C97AD8" w:rsidRDefault="00B665DB" w:rsidP="001E716C">
      <w:pPr>
        <w:pStyle w:val="Figureheading"/>
      </w:pPr>
      <w:r>
        <w:rPr>
          <w:noProof/>
        </w:rPr>
        <mc:AlternateContent>
          <mc:Choice Requires="wps">
            <w:drawing>
              <wp:anchor distT="0" distB="0" distL="114300" distR="114300" simplePos="0" relativeHeight="251658301" behindDoc="0" locked="0" layoutInCell="1" allowOverlap="1" wp14:anchorId="5629DCB7" wp14:editId="28F61DDF">
                <wp:simplePos x="0" y="0"/>
                <wp:positionH relativeFrom="margin">
                  <wp:align>left</wp:align>
                </wp:positionH>
                <wp:positionV relativeFrom="paragraph">
                  <wp:posOffset>8972</wp:posOffset>
                </wp:positionV>
                <wp:extent cx="1094105" cy="401320"/>
                <wp:effectExtent l="0" t="0" r="0" b="0"/>
                <wp:wrapNone/>
                <wp:docPr id="1164222961" name="TextBox 4"/>
                <wp:cNvGraphicFramePr/>
                <a:graphic xmlns:a="http://schemas.openxmlformats.org/drawingml/2006/main">
                  <a:graphicData uri="http://schemas.microsoft.com/office/word/2010/wordprocessingShape">
                    <wps:wsp>
                      <wps:cNvSpPr txBox="1"/>
                      <wps:spPr>
                        <a:xfrm>
                          <a:off x="0" y="0"/>
                          <a:ext cx="1094105" cy="401320"/>
                        </a:xfrm>
                        <a:prstGeom prst="rect">
                          <a:avLst/>
                        </a:prstGeom>
                        <a:noFill/>
                        <a:ln>
                          <a:noFill/>
                        </a:ln>
                        <a:effectLst/>
                      </wps:spPr>
                      <wps:txbx>
                        <w:txbxContent>
                          <w:p w14:paraId="7875AAA2" w14:textId="77777777" w:rsidR="00787045" w:rsidRPr="001C0636" w:rsidRDefault="00787045" w:rsidP="0085398B">
                            <w:pPr>
                              <w:textAlignment w:val="baseline"/>
                              <w:rPr>
                                <w:rFonts w:ascii="Aptos" w:hAnsi="Aptos"/>
                                <w:color w:val="000000"/>
                                <w:kern w:val="0"/>
                                <w:szCs w:val="22"/>
                                <w14:ligatures w14:val="none"/>
                              </w:rPr>
                            </w:pPr>
                            <w:r w:rsidRPr="001C0636">
                              <w:rPr>
                                <w:rFonts w:ascii="Aptos" w:hAnsi="Aptos"/>
                                <w:color w:val="000000"/>
                                <w:szCs w:val="22"/>
                              </w:rPr>
                              <w:t>Expenditure</w:t>
                            </w:r>
                          </w:p>
                        </w:txbxContent>
                      </wps:txbx>
                      <wps:bodyPr vertOverflow="clip" horzOverflow="clip" wrap="square" rtlCol="0" anchor="t">
                        <a:noAutofit/>
                      </wps:bodyPr>
                    </wps:wsp>
                  </a:graphicData>
                </a:graphic>
                <wp14:sizeRelH relativeFrom="margin">
                  <wp14:pctWidth>0</wp14:pctWidth>
                </wp14:sizeRelH>
              </wp:anchor>
            </w:drawing>
          </mc:Choice>
          <mc:Fallback>
            <w:pict>
              <v:shape w14:anchorId="5629DCB7" id="_x0000_s1092" type="#_x0000_t202" style="position:absolute;margin-left:0;margin-top:.7pt;width:86.15pt;height:31.6pt;z-index:25165830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" filled="f" stroked="f">
                <v:textbox>
                  <w:txbxContent>
                    <w:p w14:paraId="7875AAA2" w14:textId="77777777" w:rsidR="00787045" w:rsidRPr="001C0636" w:rsidRDefault="00787045" w:rsidP="0085398B">
                      <w:pPr>
                        <w:textAlignment w:val="baseline"/>
                        <w:rPr>
                          <w:rFonts w:ascii="Aptos" w:hAnsi="Aptos"/>
                          <w:color w:val="000000"/>
                          <w:kern w:val="0"/>
                          <w:szCs w:val="22"/>
                          <w14:ligatures w14:val="none"/>
                        </w:rPr>
                      </w:pPr>
                      <w:r w:rsidRPr="001C0636">
                        <w:rPr>
                          <w:rFonts w:ascii="Aptos" w:hAnsi="Aptos"/>
                          <w:color w:val="000000"/>
                          <w:szCs w:val="22"/>
                        </w:rPr>
                        <w:t>Expenditure</w:t>
                      </w:r>
                    </w:p>
                  </w:txbxContent>
                </v:textbox>
                <w10:wrap anchorx="margin"/>
              </v:shape>
            </w:pict>
          </mc:Fallback>
        </mc:AlternateContent>
      </w:r>
      <w:r w:rsidR="0085398B">
        <w:rPr>
          <w:noProof/>
        </w:rPr>
        <mc:AlternateContent>
          <mc:Choice Requires="wps">
            <w:drawing>
              <wp:anchor distT="0" distB="0" distL="114300" distR="114300" simplePos="0" relativeHeight="251658304" behindDoc="0" locked="0" layoutInCell="1" allowOverlap="1" wp14:anchorId="29B2540F" wp14:editId="39E4F939">
                <wp:simplePos x="0" y="0"/>
                <wp:positionH relativeFrom="column">
                  <wp:posOffset>4765040</wp:posOffset>
                </wp:positionH>
                <wp:positionV relativeFrom="paragraph">
                  <wp:posOffset>6985</wp:posOffset>
                </wp:positionV>
                <wp:extent cx="880110" cy="320040"/>
                <wp:effectExtent l="0" t="0" r="0" b="3810"/>
                <wp:wrapNone/>
                <wp:docPr id="764487253" name="TextBox 4"/>
                <wp:cNvGraphicFramePr/>
                <a:graphic xmlns:a="http://schemas.openxmlformats.org/drawingml/2006/main">
                  <a:graphicData uri="http://schemas.microsoft.com/office/word/2010/wordprocessingShape">
                    <wps:wsp>
                      <wps:cNvSpPr txBox="1"/>
                      <wps:spPr>
                        <a:xfrm>
                          <a:off x="0" y="0"/>
                          <a:ext cx="880110" cy="320040"/>
                        </a:xfrm>
                        <a:prstGeom prst="rect">
                          <a:avLst/>
                        </a:prstGeom>
                        <a:noFill/>
                        <a:ln>
                          <a:noFill/>
                        </a:ln>
                        <a:effectLst/>
                      </wps:spPr>
                      <wps:txbx>
                        <w:txbxContent>
                          <w:p w14:paraId="551FF56C" w14:textId="77777777" w:rsidR="00787045" w:rsidRPr="001C0636" w:rsidRDefault="00787045" w:rsidP="0085398B">
                            <w:pPr>
                              <w:textAlignment w:val="baseline"/>
                              <w:rPr>
                                <w:rFonts w:ascii="Aptos" w:hAnsi="Aptos"/>
                                <w:color w:val="000000"/>
                                <w:kern w:val="0"/>
                                <w:szCs w:val="22"/>
                                <w14:ligatures w14:val="none"/>
                              </w:rPr>
                            </w:pPr>
                            <w:r w:rsidRPr="001C0636">
                              <w:rPr>
                                <w:rFonts w:ascii="Aptos" w:hAnsi="Aptos"/>
                                <w:color w:val="000000"/>
                                <w:szCs w:val="22"/>
                              </w:rPr>
                              <w:t>Per cent</w:t>
                            </w:r>
                          </w:p>
                        </w:txbxContent>
                      </wps:txbx>
                      <wps:bodyPr vertOverflow="clip" horzOverflow="clip" wrap="none" rtlCol="0" anchor="t">
                        <a:noAutofit/>
                      </wps:bodyPr>
                    </wps:wsp>
                  </a:graphicData>
                </a:graphic>
              </wp:anchor>
            </w:drawing>
          </mc:Choice>
          <mc:Fallback>
            <w:pict>
              <v:shape w14:anchorId="29B2540F" id="_x0000_s1093" type="#_x0000_t202" style="position:absolute;margin-left:375.2pt;margin-top:.55pt;width:69.3pt;height:25.2pt;z-index:251658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" filled="f" stroked="f">
                <v:textbox>
                  <w:txbxContent>
                    <w:p w14:paraId="551FF56C" w14:textId="77777777" w:rsidR="00787045" w:rsidRPr="001C0636" w:rsidRDefault="00787045" w:rsidP="0085398B">
                      <w:pPr>
                        <w:textAlignment w:val="baseline"/>
                        <w:rPr>
                          <w:rFonts w:ascii="Aptos" w:hAnsi="Aptos"/>
                          <w:color w:val="000000"/>
                          <w:kern w:val="0"/>
                          <w:szCs w:val="22"/>
                          <w14:ligatures w14:val="none"/>
                        </w:rPr>
                      </w:pPr>
                      <w:r w:rsidRPr="001C0636">
                        <w:rPr>
                          <w:rFonts w:ascii="Aptos" w:hAnsi="Aptos"/>
                          <w:color w:val="000000"/>
                          <w:szCs w:val="22"/>
                        </w:rPr>
                        <w:t>Per cent</w:t>
                      </w:r>
                    </w:p>
                  </w:txbxContent>
                </v:textbox>
              </v:shape>
            </w:pict>
          </mc:Fallback>
        </mc:AlternateContent>
      </w:r>
    </w:p>
    <w:p w14:paraId="36903ABB" w14:textId="4954975C" w:rsidR="00787045" w:rsidRDefault="008A6FD3" w:rsidP="00180AED">
      <w:pPr>
        <w:spacing w:after="0"/>
      </w:pPr>
      <w:r>
        <w:rPr>
          <w:noProof/>
        </w:rPr>
        <mc:AlternateContent>
          <mc:Choice Requires="wps">
            <w:drawing>
              <wp:anchor distT="0" distB="0" distL="114300" distR="114300" simplePos="0" relativeHeight="251658303" behindDoc="0" locked="0" layoutInCell="1" allowOverlap="1" wp14:anchorId="7473992D" wp14:editId="6B21D55C">
                <wp:simplePos x="0" y="0"/>
                <wp:positionH relativeFrom="column">
                  <wp:posOffset>3567770</wp:posOffset>
                </wp:positionH>
                <wp:positionV relativeFrom="paragraph">
                  <wp:posOffset>361000</wp:posOffset>
                </wp:positionV>
                <wp:extent cx="1461627" cy="804954"/>
                <wp:effectExtent l="0" t="0" r="0" b="0"/>
                <wp:wrapNone/>
                <wp:docPr id="19" name="TextBox 4">
                  <a:extLst xmlns:a="http://schemas.openxmlformats.org/drawingml/2006/main">
                    <a:ext uri="{FF2B5EF4-FFF2-40B4-BE49-F238E27FC236}">
                      <a16:creationId xmlns:a16="http://schemas.microsoft.com/office/drawing/2014/main" id="{AC3C8DA3-26F3-4495-8AB2-FF18EF612E47}"/>
                    </a:ext>
                  </a:extLst>
                </wp:docPr>
                <wp:cNvGraphicFramePr/>
                <a:graphic xmlns:a="http://schemas.openxmlformats.org/drawingml/2006/main">
                  <a:graphicData uri="http://schemas.microsoft.com/office/word/2010/wordprocessingShape">
                    <wps:wsp>
                      <wps:cNvSpPr txBox="1"/>
                      <wps:spPr>
                        <a:xfrm>
                          <a:off x="0" y="0"/>
                          <a:ext cx="1461627" cy="804954"/>
                        </a:xfrm>
                        <a:prstGeom prst="rect">
                          <a:avLst/>
                        </a:prstGeom>
                        <a:noFill/>
                        <a:ln>
                          <a:noFill/>
                        </a:ln>
                        <a:effectLst/>
                      </wps:spPr>
                      <wps:txbx>
                        <w:txbxContent>
                          <w:p w14:paraId="7E0F7F61" w14:textId="77777777" w:rsidR="00787045" w:rsidRPr="001C0636" w:rsidRDefault="00787045" w:rsidP="00787045">
                            <w:pPr>
                              <w:textAlignment w:val="baseline"/>
                              <w:rPr>
                                <w:rFonts w:ascii="Aptos" w:hAnsi="Aptos"/>
                                <w:color w:val="264C72"/>
                                <w:szCs w:val="22"/>
                              </w:rPr>
                            </w:pPr>
                            <w:r w:rsidRPr="001C0636">
                              <w:rPr>
                                <w:rFonts w:ascii="Aptos" w:hAnsi="Aptos"/>
                                <w:color w:val="264C72"/>
                                <w:szCs w:val="22"/>
                              </w:rPr>
                              <w:t>Per cent of total expenditure</w:t>
                            </w:r>
                            <w:r w:rsidRPr="001C0636">
                              <w:rPr>
                                <w:rFonts w:ascii="Aptos" w:hAnsi="Aptos"/>
                                <w:color w:val="264C72"/>
                                <w:szCs w:val="22"/>
                              </w:rPr>
                              <w:br/>
                              <w:t>(RHS)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473992D" id="_x0000_s1094" type="#_x0000_t202" style="position:absolute;margin-left:280.95pt;margin-top:28.45pt;width:115.1pt;height:63.4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" filled="f" stroked="f">
                <v:textbox>
                  <w:txbxContent>
                    <w:p w14:paraId="7E0F7F61" w14:textId="77777777" w:rsidR="00787045" w:rsidRPr="001C0636" w:rsidRDefault="00787045" w:rsidP="00787045">
                      <w:pPr>
                        <w:textAlignment w:val="baseline"/>
                        <w:rPr>
                          <w:rFonts w:ascii="Aptos" w:hAnsi="Aptos"/>
                          <w:color w:val="264C72"/>
                          <w:szCs w:val="22"/>
                        </w:rPr>
                      </w:pPr>
                      <w:r w:rsidRPr="001C0636">
                        <w:rPr>
                          <w:rFonts w:ascii="Aptos" w:hAnsi="Aptos"/>
                          <w:color w:val="264C72"/>
                          <w:szCs w:val="22"/>
                        </w:rPr>
                        <w:t>Per cent of total expenditure</w:t>
                      </w:r>
                      <w:r w:rsidRPr="001C0636">
                        <w:rPr>
                          <w:rFonts w:ascii="Aptos" w:hAnsi="Aptos"/>
                          <w:color w:val="264C72"/>
                          <w:szCs w:val="22"/>
                        </w:rPr>
                        <w:br/>
                        <w:t>(RHS)</w:t>
                      </w:r>
                    </w:p>
                  </w:txbxContent>
                </v:textbox>
              </v:shape>
            </w:pict>
          </mc:Fallback>
        </mc:AlternateContent>
      </w:r>
      <w:r w:rsidR="00787045">
        <w:rPr>
          <w:noProof/>
        </w:rPr>
        <mc:AlternateContent>
          <mc:Choice Requires="wps">
            <w:drawing>
              <wp:anchor distT="0" distB="0" distL="114300" distR="114300" simplePos="0" relativeHeight="251658302" behindDoc="0" locked="0" layoutInCell="1" allowOverlap="1" wp14:anchorId="3E0CF4A9" wp14:editId="6176A41C">
                <wp:simplePos x="0" y="0"/>
                <wp:positionH relativeFrom="column">
                  <wp:posOffset>1153996</wp:posOffset>
                </wp:positionH>
                <wp:positionV relativeFrom="paragraph">
                  <wp:posOffset>2454030</wp:posOffset>
                </wp:positionV>
                <wp:extent cx="1673458" cy="497801"/>
                <wp:effectExtent l="0" t="0" r="0" b="0"/>
                <wp:wrapNone/>
                <wp:docPr id="18" name="TextBox 4">
                  <a:extLst xmlns:a="http://schemas.openxmlformats.org/drawingml/2006/main">
                    <a:ext uri="{FF2B5EF4-FFF2-40B4-BE49-F238E27FC236}">
                      <a16:creationId xmlns:a16="http://schemas.microsoft.com/office/drawing/2014/main" id="{8D8D1304-DC3A-479D-B598-CF8E504F2426}"/>
                    </a:ext>
                  </a:extLst>
                </wp:docPr>
                <wp:cNvGraphicFramePr/>
                <a:graphic xmlns:a="http://schemas.openxmlformats.org/drawingml/2006/main">
                  <a:graphicData uri="http://schemas.microsoft.com/office/word/2010/wordprocessingShape">
                    <wps:wsp>
                      <wps:cNvSpPr txBox="1"/>
                      <wps:spPr>
                        <a:xfrm>
                          <a:off x="0" y="0"/>
                          <a:ext cx="1673458" cy="497801"/>
                        </a:xfrm>
                        <a:prstGeom prst="rect">
                          <a:avLst/>
                        </a:prstGeom>
                        <a:noFill/>
                        <a:ln>
                          <a:noFill/>
                        </a:ln>
                        <a:effectLst/>
                      </wps:spPr>
                      <wps:txbx>
                        <w:txbxContent>
                          <w:p w14:paraId="461711B7" w14:textId="77777777" w:rsidR="00787045" w:rsidRPr="001C0636" w:rsidRDefault="00787045" w:rsidP="00787045">
                            <w:pPr>
                              <w:textAlignment w:val="baseline"/>
                              <w:rPr>
                                <w:rFonts w:ascii="Aptos" w:hAnsi="Aptos"/>
                                <w:color w:val="1CADE4"/>
                                <w:kern w:val="0"/>
                                <w:szCs w:val="22"/>
                                <w14:ligatures w14:val="none"/>
                              </w:rPr>
                            </w:pPr>
                            <w:r w:rsidRPr="001C0636">
                              <w:rPr>
                                <w:rFonts w:ascii="Aptos" w:hAnsi="Aptos"/>
                                <w:color w:val="1CADE4"/>
                                <w:szCs w:val="22"/>
                              </w:rPr>
                              <w:t>Total expenditure</w:t>
                            </w:r>
                            <w:r w:rsidRPr="001C0636">
                              <w:rPr>
                                <w:rFonts w:ascii="Aptos" w:hAnsi="Aptos"/>
                                <w:color w:val="1CADE4"/>
                                <w:kern w:val="0"/>
                                <w:szCs w:val="22"/>
                                <w14:ligatures w14:val="none"/>
                              </w:rPr>
                              <w:br/>
                            </w:r>
                            <w:r w:rsidRPr="001C0636">
                              <w:rPr>
                                <w:rFonts w:ascii="Aptos" w:hAnsi="Aptos"/>
                                <w:color w:val="1CADE4"/>
                                <w:szCs w:val="22"/>
                              </w:rPr>
                              <w:t>(LHS)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E0CF4A9" id="_x0000_s1095" type="#_x0000_t202" style="position:absolute;margin-left:90.85pt;margin-top:193.25pt;width:131.75pt;height:39.2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" filled="f" stroked="f">
                <v:textbox>
                  <w:txbxContent>
                    <w:p w14:paraId="461711B7" w14:textId="77777777" w:rsidR="00787045" w:rsidRPr="001C0636" w:rsidRDefault="00787045" w:rsidP="00787045">
                      <w:pPr>
                        <w:textAlignment w:val="baseline"/>
                        <w:rPr>
                          <w:rFonts w:ascii="Aptos" w:hAnsi="Aptos"/>
                          <w:color w:val="1CADE4"/>
                          <w:kern w:val="0"/>
                          <w:szCs w:val="22"/>
                          <w14:ligatures w14:val="none"/>
                        </w:rPr>
                      </w:pPr>
                      <w:r w:rsidRPr="001C0636">
                        <w:rPr>
                          <w:rFonts w:ascii="Aptos" w:hAnsi="Aptos"/>
                          <w:color w:val="1CADE4"/>
                          <w:szCs w:val="22"/>
                        </w:rPr>
                        <w:t>Total expenditure</w:t>
                      </w:r>
                      <w:r w:rsidRPr="001C0636">
                        <w:rPr>
                          <w:rFonts w:ascii="Aptos" w:hAnsi="Aptos"/>
                          <w:color w:val="1CADE4"/>
                          <w:kern w:val="0"/>
                          <w:szCs w:val="22"/>
                          <w14:ligatures w14:val="none"/>
                        </w:rPr>
                        <w:br/>
                      </w:r>
                      <w:r w:rsidRPr="001C0636">
                        <w:rPr>
                          <w:rFonts w:ascii="Aptos" w:hAnsi="Aptos"/>
                          <w:color w:val="1CADE4"/>
                          <w:szCs w:val="22"/>
                        </w:rPr>
                        <w:t>(LHS)</w:t>
                      </w:r>
                    </w:p>
                  </w:txbxContent>
                </v:textbox>
              </v:shape>
            </w:pict>
          </mc:Fallback>
        </mc:AlternateContent>
      </w:r>
      <w:r w:rsidR="00787045">
        <w:rPr>
          <w:noProof/>
        </w:rPr>
        <mc:AlternateContent>
          <mc:Choice Requires="cx1">
            <w:drawing>
              <wp:inline distT="0" distB="0" distL="0" distR="0" wp14:anchorId="4C48A4D5" wp14:editId="2CE0C6E9">
                <wp:extent cx="5731510" cy="3716655"/>
                <wp:effectExtent l="0" t="0" r="2540" b="17145"/>
                <wp:docPr id="1984548804" name="Chart 1" descr="A chart that displays trends in expenditure by public entities in 2025-26. The chart includes bars that show annual expenditure by entity in that year, which range from lots of expenditure to very little. The chart also includes a line on top of these bars that represents the cumulative share of total expenditure, that increase from zero to 100 per cent over all the entities. This line demonstrates how a few entities account for the majority of expenditure.">
                  <a:extLst xmlns:a="http://schemas.openxmlformats.org/drawingml/2006/main">
                    <a:ext uri="{FF2B5EF4-FFF2-40B4-BE49-F238E27FC236}">
                      <a16:creationId xmlns:a16="http://schemas.microsoft.com/office/drawing/2014/main" id="{4E2D47F5-27BA-81A5-EEFF-BAB072F470C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5"/>
                  </a:graphicData>
                </a:graphic>
              </wp:inline>
            </w:drawing>
          </mc:Choice>
          <mc:Fallback xmlns:arto="http://schemas.microsoft.com/office/word/2006/arto">
            <w:drawing>
              <wp:inline distT="0" distB="0" distL="0" distR="0" wp14:anchorId="4C48A4D5" wp14:editId="2CE0C6E9">
                <wp:extent cx="5731510" cy="3716655"/>
                <wp:effectExtent l="0" t="0" r="2540" b="17145"/>
                <wp:docPr id="1984548804" name="Chart 1" descr="A chart that displays trends in expenditure by public entities in 2025-26. The chart includes bars that show annual expenditure by entity in that year, which range from lots of expenditure to very little. The chart also includes a line on top of these bars that represents the cumulative share of total expenditure, that increase from zero to 100 per cent over all the entities. This line demonstrates how a few entities account for the majority of expenditure.">
                  <a:extLst xmlns:a="http://schemas.openxmlformats.org/drawingml/2006/main">
                    <a:ext uri="{FF2B5EF4-FFF2-40B4-BE49-F238E27FC236}">
                      <a16:creationId xmlns:a16="http://schemas.microsoft.com/office/drawing/2014/main" id="{4E2D47F5-27BA-81A5-EEFF-BAB072F470C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84548804" name="Chart 1" descr="A chart that displays trends in expenditure by public entities in 2025-26. The chart includes bars that show annual expenditure by entity in that year, which range from lots of expenditure to very little. The chart also includes a line on top of these bars that represents the cumulative share of total expenditure, that increase from zero to 100 per cent over all the entities. This line demonstrates how a few entities account for the majority of expenditure.">
                          <a:extLst>
                            <a:ext uri="{FF2B5EF4-FFF2-40B4-BE49-F238E27FC236}">
                              <a16:creationId xmlns:a16="http://schemas.microsoft.com/office/drawing/2014/main" id="{4E2D47F5-27BA-81A5-EEFF-BAB072F470C6}"/>
                            </a:ext>
                          </a:extLst>
                        </pic:cNvPr>
                        <pic:cNvPicPr>
                          <a:picLocks noGrp="1" noRot="1" noChangeAspect="1" noMove="1" noResize="1" noEditPoints="1" noAdjustHandles="1" noChangeArrowheads="1" noChangeShapeType="1"/>
                        </pic:cNvPicPr>
                      </pic:nvPicPr>
                      <pic:blipFill>
                        <a:blip r:embed="rId37"/>
                        <a:stretch>
                          <a:fillRect/>
                        </a:stretch>
                      </pic:blipFill>
                      <pic:spPr>
                        <a:xfrm>
                          <a:off x="0" y="0"/>
                          <a:ext cx="5731510" cy="3716655"/>
                        </a:xfrm>
                        <a:prstGeom prst="rect">
                          <a:avLst/>
                        </a:prstGeom>
                      </pic:spPr>
                    </pic:pic>
                  </a:graphicData>
                </a:graphic>
              </wp:inline>
            </w:drawing>
          </mc:Fallback>
        </mc:AlternateContent>
      </w:r>
      <w:r w:rsidR="00787045">
        <w:rPr>
          <w:noProof/>
        </w:rPr>
        <mc:AlternateContent>
          <mc:Choice Requires="wps">
            <w:drawing>
              <wp:anchor distT="0" distB="0" distL="114300" distR="114300" simplePos="0" relativeHeight="251658300" behindDoc="0" locked="0" layoutInCell="1" allowOverlap="1" wp14:anchorId="02D01E37" wp14:editId="0523E506">
                <wp:simplePos x="0" y="0"/>
                <wp:positionH relativeFrom="column">
                  <wp:posOffset>7462520</wp:posOffset>
                </wp:positionH>
                <wp:positionV relativeFrom="paragraph">
                  <wp:posOffset>0</wp:posOffset>
                </wp:positionV>
                <wp:extent cx="880148" cy="320099"/>
                <wp:effectExtent l="0" t="0" r="0" b="0"/>
                <wp:wrapNone/>
                <wp:docPr id="513341305" name="TextBox 4"/>
                <wp:cNvGraphicFramePr/>
                <a:graphic xmlns:a="http://schemas.openxmlformats.org/drawingml/2006/main">
                  <a:graphicData uri="http://schemas.microsoft.com/office/word/2010/wordprocessingShape">
                    <wps:wsp>
                      <wps:cNvSpPr txBox="1"/>
                      <wps:spPr>
                        <a:xfrm>
                          <a:off x="0" y="0"/>
                          <a:ext cx="880148" cy="320099"/>
                        </a:xfrm>
                        <a:prstGeom prst="rect">
                          <a:avLst/>
                        </a:prstGeom>
                        <a:noFill/>
                        <a:ln>
                          <a:noFill/>
                        </a:ln>
                        <a:effectLst/>
                      </wps:spPr>
                      <wps:txbx>
                        <w:txbxContent>
                          <w:p w14:paraId="3396ADA4" w14:textId="77777777" w:rsidR="00787045" w:rsidRDefault="00787045" w:rsidP="00787045">
                            <w:pPr>
                              <w:textAlignment w:val="baseline"/>
                              <w:rPr>
                                <w:rFonts w:ascii="Aptos" w:hAnsi="Aptos"/>
                                <w:color w:val="000000"/>
                                <w:kern w:val="0"/>
                                <w:sz w:val="32"/>
                                <w:szCs w:val="32"/>
                                <w14:ligatures w14:val="none"/>
                              </w:rPr>
                            </w:pPr>
                            <w:r>
                              <w:rPr>
                                <w:rFonts w:ascii="Aptos" w:hAnsi="Aptos"/>
                                <w:color w:val="000000"/>
                                <w:sz w:val="32"/>
                                <w:szCs w:val="32"/>
                              </w:rPr>
                              <w:t>Per cent</w:t>
                            </w:r>
                          </w:p>
                        </w:txbxContent>
                      </wps:txbx>
                      <wps:bodyPr vertOverflow="clip" horzOverflow="clip" wrap="none" rtlCol="0" anchor="t">
                        <a:noAutofit/>
                      </wps:bodyPr>
                    </wps:wsp>
                  </a:graphicData>
                </a:graphic>
              </wp:anchor>
            </w:drawing>
          </mc:Choice>
          <mc:Fallback>
            <w:pict>
              <v:shape w14:anchorId="02D01E37" id="_x0000_s1096" type="#_x0000_t202" style="position:absolute;margin-left:587.6pt;margin-top:0;width:69.3pt;height:25.2pt;z-index:2516583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" filled="f" stroked="f">
                <v:textbox>
                  <w:txbxContent>
                    <w:p w14:paraId="3396ADA4" w14:textId="77777777" w:rsidR="00787045" w:rsidRDefault="00787045" w:rsidP="00787045">
                      <w:pPr>
                        <w:textAlignment w:val="baseline"/>
                        <w:rPr>
                          <w:rFonts w:ascii="Aptos" w:hAnsi="Aptos"/>
                          <w:color w:val="000000"/>
                          <w:kern w:val="0"/>
                          <w:sz w:val="32"/>
                          <w:szCs w:val="32"/>
                          <w14:ligatures w14:val="none"/>
                        </w:rPr>
                      </w:pPr>
                      <w:r>
                        <w:rPr>
                          <w:rFonts w:ascii="Aptos" w:hAnsi="Aptos"/>
                          <w:color w:val="000000"/>
                          <w:sz w:val="32"/>
                          <w:szCs w:val="32"/>
                        </w:rPr>
                        <w:t>Per cent</w:t>
                      </w:r>
                    </w:p>
                  </w:txbxContent>
                </v:textbox>
              </v:shape>
            </w:pict>
          </mc:Fallback>
        </mc:AlternateContent>
      </w:r>
    </w:p>
    <w:p w14:paraId="61FA9186" w14:textId="4AEB9A90" w:rsidR="0095201D" w:rsidRPr="00530E98" w:rsidRDefault="0095201D" w:rsidP="003A3B24">
      <w:pPr>
        <w:pStyle w:val="Caption"/>
        <w:spacing w:before="120" w:after="120"/>
      </w:pPr>
      <w:r w:rsidRPr="00530E98">
        <w:t>Source: Independent Review of the VPS</w:t>
      </w:r>
      <w:r w:rsidR="0016699C" w:rsidRPr="00530E98">
        <w:t>,</w:t>
      </w:r>
      <w:r w:rsidRPr="00530E98">
        <w:t xml:space="preserve"> 2025</w:t>
      </w:r>
    </w:p>
    <w:p w14:paraId="64ADAE40" w14:textId="77777777" w:rsidR="0095201D" w:rsidRPr="008012DB" w:rsidRDefault="0095201D" w:rsidP="005A1532">
      <w:pPr>
        <w:pStyle w:val="Caption"/>
        <w:rPr>
          <w:i w:val="0"/>
          <w:sz w:val="20"/>
          <w:szCs w:val="20"/>
        </w:rPr>
      </w:pPr>
      <w:r>
        <w:t>Note: Not exhaustive; illustrative only.</w:t>
      </w:r>
    </w:p>
    <w:p w14:paraId="1B5A83C6" w14:textId="77777777" w:rsidR="005A1532" w:rsidRDefault="005A1532" w:rsidP="0095201D">
      <w:pPr>
        <w:rPr>
          <w:rFonts w:ascii="Aptos" w:eastAsia="Aptos" w:hAnsi="Aptos" w:cs="Aptos"/>
          <w:color w:val="000000" w:themeColor="text1"/>
        </w:rPr>
        <w:sectPr w:rsidR="005A1532" w:rsidSect="00AE6104">
          <w:type w:val="continuous"/>
          <w:pgSz w:w="11906" w:h="16838"/>
          <w:pgMar w:top="1440" w:right="1440" w:bottom="1440" w:left="1440" w:header="708" w:footer="708" w:gutter="0"/>
          <w:cols w:space="708"/>
          <w:docGrid w:linePitch="360"/>
          <w15:footnoteColumns w:val="1"/>
        </w:sectPr>
      </w:pPr>
    </w:p>
    <w:p w14:paraId="7602AEA7" w14:textId="2D86AA32" w:rsidR="0095201D" w:rsidRDefault="0095201D" w:rsidP="0095201D">
      <w:pPr>
        <w:rPr>
          <w:rFonts w:ascii="Aptos" w:eastAsia="Aptos" w:hAnsi="Aptos" w:cs="Aptos"/>
          <w:color w:val="000000" w:themeColor="text1"/>
        </w:rPr>
      </w:pPr>
      <w:r w:rsidRPr="006D1213">
        <w:rPr>
          <w:rFonts w:ascii="Aptos" w:eastAsia="Aptos" w:hAnsi="Aptos" w:cs="Aptos"/>
          <w:color w:val="000000" w:themeColor="text1"/>
        </w:rPr>
        <w:t xml:space="preserve">There are </w:t>
      </w:r>
      <w:r>
        <w:rPr>
          <w:rFonts w:ascii="Aptos" w:eastAsia="Aptos" w:hAnsi="Aptos" w:cs="Aptos"/>
          <w:color w:val="000000" w:themeColor="text1"/>
        </w:rPr>
        <w:t>good</w:t>
      </w:r>
      <w:r w:rsidRPr="006D1213">
        <w:rPr>
          <w:rFonts w:ascii="Aptos" w:eastAsia="Aptos" w:hAnsi="Aptos" w:cs="Aptos"/>
          <w:color w:val="000000" w:themeColor="text1"/>
        </w:rPr>
        <w:t xml:space="preserve"> reasons for establishing entities</w:t>
      </w:r>
      <w:r>
        <w:rPr>
          <w:rFonts w:ascii="Aptos" w:eastAsia="Aptos" w:hAnsi="Aptos" w:cs="Aptos"/>
          <w:color w:val="000000" w:themeColor="text1"/>
        </w:rPr>
        <w:t xml:space="preserve"> to achieve a policy goal at a particular point in time, and they employ</w:t>
      </w:r>
      <w:r w:rsidR="0023495B">
        <w:rPr>
          <w:rFonts w:ascii="Aptos" w:eastAsia="Aptos" w:hAnsi="Aptos" w:cs="Aptos"/>
          <w:color w:val="000000" w:themeColor="text1"/>
        </w:rPr>
        <w:t> </w:t>
      </w:r>
      <w:r>
        <w:rPr>
          <w:rFonts w:ascii="Aptos" w:eastAsia="Aptos" w:hAnsi="Aptos" w:cs="Aptos"/>
          <w:color w:val="000000" w:themeColor="text1"/>
        </w:rPr>
        <w:t>many talented and dedicated staff. H</w:t>
      </w:r>
      <w:r w:rsidRPr="006D1213">
        <w:rPr>
          <w:rFonts w:ascii="Aptos" w:eastAsia="Aptos" w:hAnsi="Aptos" w:cs="Aptos"/>
          <w:color w:val="000000" w:themeColor="text1"/>
        </w:rPr>
        <w:t>owever</w:t>
      </w:r>
      <w:r>
        <w:rPr>
          <w:rFonts w:ascii="Aptos" w:eastAsia="Aptos" w:hAnsi="Aptos" w:cs="Aptos"/>
          <w:color w:val="000000" w:themeColor="text1"/>
        </w:rPr>
        <w:t>,</w:t>
      </w:r>
      <w:r w:rsidRPr="006D1213">
        <w:rPr>
          <w:rFonts w:ascii="Aptos" w:eastAsia="Aptos" w:hAnsi="Aptos" w:cs="Aptos"/>
          <w:color w:val="000000" w:themeColor="text1"/>
        </w:rPr>
        <w:t xml:space="preserve"> </w:t>
      </w:r>
      <w:r>
        <w:rPr>
          <w:rFonts w:ascii="Aptos" w:eastAsia="Aptos" w:hAnsi="Aptos" w:cs="Aptos"/>
          <w:color w:val="000000" w:themeColor="text1"/>
        </w:rPr>
        <w:t>the large and growing number of</w:t>
      </w:r>
      <w:r w:rsidR="00CF111A">
        <w:rPr>
          <w:rFonts w:ascii="Aptos" w:eastAsia="Aptos" w:hAnsi="Aptos" w:cs="Aptos"/>
          <w:color w:val="000000" w:themeColor="text1"/>
        </w:rPr>
        <w:t> </w:t>
      </w:r>
      <w:r>
        <w:rPr>
          <w:rFonts w:ascii="Aptos" w:eastAsia="Aptos" w:hAnsi="Aptos" w:cs="Aptos"/>
          <w:color w:val="000000" w:themeColor="text1"/>
        </w:rPr>
        <w:t>public entities and their complexity are</w:t>
      </w:r>
      <w:r w:rsidR="00A127D1">
        <w:rPr>
          <w:rFonts w:ascii="Aptos" w:eastAsia="Aptos" w:hAnsi="Aptos" w:cs="Aptos"/>
          <w:color w:val="000000" w:themeColor="text1"/>
        </w:rPr>
        <w:t> </w:t>
      </w:r>
      <w:r>
        <w:rPr>
          <w:rFonts w:ascii="Aptos" w:eastAsia="Aptos" w:hAnsi="Aptos" w:cs="Aptos"/>
          <w:color w:val="000000" w:themeColor="text1"/>
        </w:rPr>
        <w:t>creating duplication and confusion, and</w:t>
      </w:r>
      <w:r w:rsidR="00A127D1">
        <w:rPr>
          <w:rFonts w:ascii="Aptos" w:eastAsia="Aptos" w:hAnsi="Aptos" w:cs="Aptos"/>
          <w:color w:val="000000" w:themeColor="text1"/>
        </w:rPr>
        <w:t> </w:t>
      </w:r>
      <w:r>
        <w:rPr>
          <w:rFonts w:ascii="Aptos" w:eastAsia="Aptos" w:hAnsi="Aptos" w:cs="Aptos"/>
          <w:color w:val="000000" w:themeColor="text1"/>
        </w:rPr>
        <w:t xml:space="preserve">stifling public and private sector productivity. </w:t>
      </w:r>
    </w:p>
    <w:p w14:paraId="5FF341F7" w14:textId="6BBB6316" w:rsidR="0095201D" w:rsidRPr="00E51DA2" w:rsidRDefault="0095201D" w:rsidP="0095201D">
      <w:pPr>
        <w:rPr>
          <w:rFonts w:ascii="Aptos" w:eastAsia="Aptos" w:hAnsi="Aptos" w:cs="Aptos"/>
          <w:color w:val="000000" w:themeColor="text1"/>
          <w:lang w:val="en-US"/>
        </w:rPr>
      </w:pPr>
      <w:r w:rsidRPr="00BD6439">
        <w:rPr>
          <w:rFonts w:ascii="Aptos" w:eastAsia="Aptos" w:hAnsi="Aptos" w:cs="Aptos"/>
          <w:color w:val="000000" w:themeColor="text1"/>
          <w:lang w:val="en-US"/>
        </w:rPr>
        <w:t>Entities represent a substantial</w:t>
      </w:r>
      <w:r>
        <w:rPr>
          <w:rFonts w:ascii="Aptos" w:eastAsia="Aptos" w:hAnsi="Aptos" w:cs="Aptos"/>
          <w:color w:val="000000" w:themeColor="text1"/>
          <w:lang w:val="en-US"/>
        </w:rPr>
        <w:t>, direct</w:t>
      </w:r>
      <w:r w:rsidRPr="00BD6439">
        <w:rPr>
          <w:rFonts w:ascii="Aptos" w:eastAsia="Aptos" w:hAnsi="Aptos" w:cs="Aptos"/>
          <w:color w:val="000000" w:themeColor="text1"/>
          <w:lang w:val="en-US"/>
        </w:rPr>
        <w:t xml:space="preserve"> cost to the government</w:t>
      </w:r>
      <w:r>
        <w:rPr>
          <w:rFonts w:ascii="Aptos" w:eastAsia="Aptos" w:hAnsi="Aptos" w:cs="Aptos"/>
          <w:color w:val="000000" w:themeColor="text1"/>
          <w:lang w:val="en-US"/>
        </w:rPr>
        <w:t>, including</w:t>
      </w:r>
      <w:r w:rsidRPr="00BD6439">
        <w:rPr>
          <w:rFonts w:ascii="Aptos" w:eastAsia="Aptos" w:hAnsi="Aptos" w:cs="Aptos"/>
          <w:color w:val="000000" w:themeColor="text1"/>
          <w:lang w:val="en-US"/>
        </w:rPr>
        <w:t xml:space="preserve"> governance (</w:t>
      </w:r>
      <w:r>
        <w:rPr>
          <w:rFonts w:ascii="Aptos" w:eastAsia="Aptos" w:hAnsi="Aptos" w:cs="Aptos"/>
          <w:color w:val="000000" w:themeColor="text1"/>
          <w:lang w:val="en-US"/>
        </w:rPr>
        <w:t xml:space="preserve">e.g. </w:t>
      </w:r>
      <w:r w:rsidRPr="00BD6439">
        <w:rPr>
          <w:rFonts w:ascii="Aptos" w:eastAsia="Aptos" w:hAnsi="Aptos" w:cs="Aptos"/>
          <w:color w:val="000000" w:themeColor="text1"/>
          <w:lang w:val="en-US"/>
        </w:rPr>
        <w:t>a board), service delivery</w:t>
      </w:r>
      <w:r>
        <w:rPr>
          <w:rFonts w:ascii="Aptos" w:eastAsia="Aptos" w:hAnsi="Aptos" w:cs="Aptos"/>
          <w:color w:val="000000" w:themeColor="text1"/>
          <w:lang w:val="en-US"/>
        </w:rPr>
        <w:t xml:space="preserve">, </w:t>
      </w:r>
      <w:r w:rsidRPr="00BD6439">
        <w:rPr>
          <w:rFonts w:ascii="Aptos" w:eastAsia="Aptos" w:hAnsi="Aptos" w:cs="Aptos"/>
          <w:color w:val="000000" w:themeColor="text1"/>
          <w:lang w:val="en-US"/>
        </w:rPr>
        <w:t>corporate services (</w:t>
      </w:r>
      <w:r>
        <w:rPr>
          <w:rFonts w:ascii="Aptos" w:eastAsia="Aptos" w:hAnsi="Aptos" w:cs="Aptos"/>
          <w:color w:val="000000" w:themeColor="text1"/>
          <w:lang w:val="en-US"/>
        </w:rPr>
        <w:t xml:space="preserve">e.g. </w:t>
      </w:r>
      <w:r w:rsidRPr="00BD6439">
        <w:rPr>
          <w:rFonts w:ascii="Aptos" w:eastAsia="Aptos" w:hAnsi="Aptos" w:cs="Aptos"/>
          <w:color w:val="000000" w:themeColor="text1"/>
          <w:lang w:val="en-US"/>
        </w:rPr>
        <w:t>payroll, procurement and I</w:t>
      </w:r>
      <w:r>
        <w:rPr>
          <w:rFonts w:ascii="Aptos" w:eastAsia="Aptos" w:hAnsi="Aptos" w:cs="Aptos"/>
          <w:color w:val="000000" w:themeColor="text1"/>
          <w:lang w:val="en-US"/>
        </w:rPr>
        <w:t>C</w:t>
      </w:r>
      <w:r w:rsidRPr="00BD6439">
        <w:rPr>
          <w:rFonts w:ascii="Aptos" w:eastAsia="Aptos" w:hAnsi="Aptos" w:cs="Aptos"/>
          <w:color w:val="000000" w:themeColor="text1"/>
          <w:lang w:val="en-US"/>
        </w:rPr>
        <w:t>T)</w:t>
      </w:r>
      <w:r>
        <w:rPr>
          <w:rFonts w:ascii="Aptos" w:eastAsia="Aptos" w:hAnsi="Aptos" w:cs="Aptos"/>
          <w:color w:val="000000" w:themeColor="text1"/>
          <w:lang w:val="en-US"/>
        </w:rPr>
        <w:t xml:space="preserve"> </w:t>
      </w:r>
      <w:r>
        <w:rPr>
          <w:rFonts w:ascii="Aptos" w:eastAsia="Aptos" w:hAnsi="Aptos" w:cs="Aptos"/>
          <w:color w:val="000000" w:themeColor="text1"/>
          <w:lang w:val="en-US"/>
        </w:rPr>
        <w:t xml:space="preserve">and </w:t>
      </w:r>
      <w:r w:rsidRPr="00BD6439">
        <w:rPr>
          <w:rFonts w:ascii="Aptos" w:eastAsia="Aptos" w:hAnsi="Aptos" w:cs="Aptos"/>
          <w:color w:val="000000" w:themeColor="text1"/>
          <w:lang w:val="en-US"/>
        </w:rPr>
        <w:t>reporting requirements (</w:t>
      </w:r>
      <w:r>
        <w:rPr>
          <w:rFonts w:ascii="Aptos" w:eastAsia="Aptos" w:hAnsi="Aptos" w:cs="Aptos"/>
          <w:color w:val="000000" w:themeColor="text1"/>
          <w:lang w:val="en-US"/>
        </w:rPr>
        <w:t>e.g.</w:t>
      </w:r>
      <w:r w:rsidRPr="00BD6439">
        <w:rPr>
          <w:rFonts w:ascii="Aptos" w:eastAsia="Aptos" w:hAnsi="Aptos" w:cs="Aptos"/>
          <w:color w:val="000000" w:themeColor="text1"/>
          <w:lang w:val="en-US"/>
        </w:rPr>
        <w:t xml:space="preserve"> annual reports and auditing)</w:t>
      </w:r>
      <w:r>
        <w:rPr>
          <w:rFonts w:ascii="Aptos" w:eastAsia="Aptos" w:hAnsi="Aptos" w:cs="Aptos"/>
          <w:color w:val="000000" w:themeColor="text1"/>
          <w:lang w:val="en-US"/>
        </w:rPr>
        <w:t>. They</w:t>
      </w:r>
      <w:r w:rsidRPr="00BD6439">
        <w:rPr>
          <w:rFonts w:ascii="Aptos" w:eastAsia="Aptos" w:hAnsi="Aptos" w:cs="Aptos"/>
          <w:color w:val="000000" w:themeColor="text1"/>
          <w:lang w:val="en-US"/>
        </w:rPr>
        <w:t xml:space="preserve"> also create</w:t>
      </w:r>
      <w:r w:rsidR="003F0E5A">
        <w:rPr>
          <w:rFonts w:ascii="Aptos" w:eastAsia="Aptos" w:hAnsi="Aptos" w:cs="Aptos"/>
          <w:color w:val="000000" w:themeColor="text1"/>
          <w:lang w:val="en-US"/>
        </w:rPr>
        <w:t xml:space="preserve"> significant</w:t>
      </w:r>
      <w:r w:rsidRPr="00BD6439">
        <w:rPr>
          <w:rFonts w:ascii="Aptos" w:eastAsia="Aptos" w:hAnsi="Aptos" w:cs="Aptos"/>
          <w:color w:val="000000" w:themeColor="text1"/>
          <w:lang w:val="en-US"/>
        </w:rPr>
        <w:t xml:space="preserve"> indirect costs to government, including through</w:t>
      </w:r>
      <w:r>
        <w:rPr>
          <w:rFonts w:ascii="Aptos" w:eastAsia="Aptos" w:hAnsi="Aptos" w:cs="Aptos"/>
          <w:color w:val="000000" w:themeColor="text1"/>
          <w:lang w:val="en-US"/>
        </w:rPr>
        <w:t xml:space="preserve"> interaction and</w:t>
      </w:r>
      <w:r w:rsidRPr="00BD6439">
        <w:rPr>
          <w:rFonts w:ascii="Aptos" w:eastAsia="Aptos" w:hAnsi="Aptos" w:cs="Aptos"/>
          <w:color w:val="000000" w:themeColor="text1"/>
          <w:lang w:val="en-US"/>
        </w:rPr>
        <w:t xml:space="preserve"> oversight </w:t>
      </w:r>
      <w:r>
        <w:rPr>
          <w:rFonts w:ascii="Aptos" w:eastAsia="Aptos" w:hAnsi="Aptos" w:cs="Aptos"/>
          <w:color w:val="000000" w:themeColor="text1"/>
          <w:lang w:val="en-US"/>
        </w:rPr>
        <w:t xml:space="preserve">by </w:t>
      </w:r>
      <w:r w:rsidRPr="00BD6439">
        <w:rPr>
          <w:rFonts w:ascii="Aptos" w:eastAsia="Aptos" w:hAnsi="Aptos" w:cs="Aptos"/>
          <w:color w:val="000000" w:themeColor="text1"/>
          <w:lang w:val="en-US"/>
        </w:rPr>
        <w:t>departments</w:t>
      </w:r>
      <w:r>
        <w:rPr>
          <w:rFonts w:ascii="Aptos" w:eastAsia="Aptos" w:hAnsi="Aptos" w:cs="Aptos"/>
          <w:color w:val="000000" w:themeColor="text1"/>
          <w:lang w:val="en-US"/>
        </w:rPr>
        <w:t xml:space="preserve"> and ministers</w:t>
      </w:r>
      <w:r w:rsidRPr="00BD6439">
        <w:rPr>
          <w:rFonts w:ascii="Aptos" w:eastAsia="Aptos" w:hAnsi="Aptos" w:cs="Aptos"/>
          <w:color w:val="000000" w:themeColor="text1"/>
          <w:lang w:val="en-US"/>
        </w:rPr>
        <w:t xml:space="preserve">, which </w:t>
      </w:r>
      <w:r w:rsidR="006E1350" w:rsidRPr="00BD6439">
        <w:rPr>
          <w:rFonts w:ascii="Aptos" w:eastAsia="Aptos" w:hAnsi="Aptos" w:cs="Aptos"/>
          <w:color w:val="000000" w:themeColor="text1"/>
          <w:lang w:val="en-US"/>
        </w:rPr>
        <w:t>absorb</w:t>
      </w:r>
      <w:r w:rsidRPr="00BD6439">
        <w:rPr>
          <w:rFonts w:ascii="Aptos" w:eastAsia="Aptos" w:hAnsi="Aptos" w:cs="Aptos"/>
          <w:color w:val="000000" w:themeColor="text1"/>
          <w:lang w:val="en-US"/>
        </w:rPr>
        <w:t xml:space="preserve"> executive and officer resources.</w:t>
      </w:r>
    </w:p>
    <w:p w14:paraId="12367FF8" w14:textId="7A81B754" w:rsidR="0095201D" w:rsidRDefault="0095201D" w:rsidP="0095201D">
      <w:pPr>
        <w:rPr>
          <w:rFonts w:ascii="Aptos" w:eastAsia="Aptos" w:hAnsi="Aptos" w:cs="Aptos"/>
          <w:color w:val="000000" w:themeColor="text1"/>
        </w:rPr>
      </w:pPr>
      <w:r>
        <w:rPr>
          <w:rFonts w:ascii="Aptos" w:eastAsia="Aptos" w:hAnsi="Aptos" w:cs="Aptos"/>
          <w:color w:val="000000" w:themeColor="text1"/>
        </w:rPr>
        <w:t>These costs and complexity risk undermining the government’s efforts to</w:t>
      </w:r>
      <w:r w:rsidR="00A127D1">
        <w:rPr>
          <w:rFonts w:ascii="Aptos" w:eastAsia="Aptos" w:hAnsi="Aptos" w:cs="Aptos"/>
          <w:color w:val="000000" w:themeColor="text1"/>
        </w:rPr>
        <w:t> </w:t>
      </w:r>
      <w:r>
        <w:rPr>
          <w:rFonts w:ascii="Aptos" w:eastAsia="Aptos" w:hAnsi="Aptos" w:cs="Aptos"/>
          <w:color w:val="000000" w:themeColor="text1"/>
        </w:rPr>
        <w:t xml:space="preserve">make </w:t>
      </w:r>
      <w:r w:rsidR="00972386">
        <w:rPr>
          <w:rFonts w:ascii="Aptos" w:eastAsia="Aptos" w:hAnsi="Aptos" w:cs="Aptos"/>
          <w:color w:val="000000" w:themeColor="text1"/>
        </w:rPr>
        <w:t>organisations and services</w:t>
      </w:r>
      <w:r>
        <w:rPr>
          <w:rFonts w:ascii="Aptos" w:eastAsia="Aptos" w:hAnsi="Aptos" w:cs="Aptos"/>
          <w:color w:val="000000" w:themeColor="text1"/>
        </w:rPr>
        <w:t xml:space="preserve"> easier</w:t>
      </w:r>
      <w:r w:rsidR="008E06BD">
        <w:rPr>
          <w:rFonts w:ascii="Aptos" w:eastAsia="Aptos" w:hAnsi="Aptos" w:cs="Aptos"/>
          <w:color w:val="000000" w:themeColor="text1"/>
        </w:rPr>
        <w:t> </w:t>
      </w:r>
      <w:r>
        <w:rPr>
          <w:rFonts w:ascii="Aptos" w:eastAsia="Aptos" w:hAnsi="Aptos" w:cs="Aptos"/>
          <w:color w:val="000000" w:themeColor="text1"/>
        </w:rPr>
        <w:t>for business and citizens to interact</w:t>
      </w:r>
      <w:r w:rsidR="008E06BD">
        <w:rPr>
          <w:rFonts w:ascii="Aptos" w:eastAsia="Aptos" w:hAnsi="Aptos" w:cs="Aptos"/>
          <w:color w:val="000000" w:themeColor="text1"/>
        </w:rPr>
        <w:t> </w:t>
      </w:r>
      <w:r>
        <w:rPr>
          <w:rFonts w:ascii="Aptos" w:eastAsia="Aptos" w:hAnsi="Aptos" w:cs="Aptos"/>
          <w:color w:val="000000" w:themeColor="text1"/>
        </w:rPr>
        <w:t>with. It</w:t>
      </w:r>
      <w:r w:rsidR="00A127D1">
        <w:rPr>
          <w:rFonts w:ascii="Aptos" w:eastAsia="Aptos" w:hAnsi="Aptos" w:cs="Aptos"/>
          <w:color w:val="000000" w:themeColor="text1"/>
        </w:rPr>
        <w:t> </w:t>
      </w:r>
      <w:r>
        <w:rPr>
          <w:rFonts w:ascii="Aptos" w:eastAsia="Aptos" w:hAnsi="Aptos" w:cs="Aptos"/>
          <w:color w:val="000000" w:themeColor="text1"/>
        </w:rPr>
        <w:t>also undermines efforts to</w:t>
      </w:r>
      <w:r w:rsidR="008E06BD">
        <w:rPr>
          <w:rFonts w:ascii="Aptos" w:eastAsia="Aptos" w:hAnsi="Aptos" w:cs="Aptos"/>
          <w:color w:val="000000" w:themeColor="text1"/>
        </w:rPr>
        <w:t> </w:t>
      </w:r>
      <w:r>
        <w:rPr>
          <w:rFonts w:ascii="Aptos" w:eastAsia="Aptos" w:hAnsi="Aptos" w:cs="Aptos"/>
          <w:color w:val="000000" w:themeColor="text1"/>
        </w:rPr>
        <w:t>reduce spending.</w:t>
      </w:r>
    </w:p>
    <w:p w14:paraId="4FD7FB66" w14:textId="2D7B1B68" w:rsidR="0095201D" w:rsidRDefault="0095201D" w:rsidP="0095201D">
      <w:pPr>
        <w:rPr>
          <w:rFonts w:ascii="Aptos" w:eastAsia="Aptos" w:hAnsi="Aptos" w:cs="Aptos"/>
          <w:color w:val="000000" w:themeColor="text1"/>
        </w:rPr>
      </w:pPr>
      <w:r>
        <w:rPr>
          <w:rFonts w:ascii="Aptos" w:eastAsia="Aptos" w:hAnsi="Aptos" w:cs="Aptos"/>
          <w:color w:val="000000" w:themeColor="text1"/>
        </w:rPr>
        <w:lastRenderedPageBreak/>
        <w:t>S</w:t>
      </w:r>
      <w:r w:rsidRPr="006D1213">
        <w:rPr>
          <w:rFonts w:ascii="Aptos" w:eastAsia="Aptos" w:hAnsi="Aptos" w:cs="Aptos"/>
          <w:color w:val="000000" w:themeColor="text1"/>
        </w:rPr>
        <w:t>ome entities can outlive their useful life</w:t>
      </w:r>
      <w:r>
        <w:rPr>
          <w:rFonts w:ascii="Aptos" w:eastAsia="Aptos" w:hAnsi="Aptos" w:cs="Aptos"/>
          <w:color w:val="000000" w:themeColor="text1"/>
        </w:rPr>
        <w:t xml:space="preserve">, </w:t>
      </w:r>
      <w:r w:rsidRPr="006D1213">
        <w:rPr>
          <w:rFonts w:ascii="Aptos" w:eastAsia="Aptos" w:hAnsi="Aptos" w:cs="Aptos"/>
          <w:color w:val="000000" w:themeColor="text1"/>
        </w:rPr>
        <w:t xml:space="preserve">continuing to operate despite a shift in government </w:t>
      </w:r>
      <w:r>
        <w:rPr>
          <w:rFonts w:ascii="Aptos" w:eastAsia="Aptos" w:hAnsi="Aptos" w:cs="Aptos"/>
          <w:color w:val="000000" w:themeColor="text1"/>
        </w:rPr>
        <w:t xml:space="preserve">or other </w:t>
      </w:r>
      <w:r w:rsidRPr="006D1213">
        <w:rPr>
          <w:rFonts w:ascii="Aptos" w:eastAsia="Aptos" w:hAnsi="Aptos" w:cs="Aptos"/>
          <w:color w:val="000000" w:themeColor="text1"/>
        </w:rPr>
        <w:t>priorities</w:t>
      </w:r>
      <w:r>
        <w:rPr>
          <w:rFonts w:ascii="Aptos" w:eastAsia="Aptos" w:hAnsi="Aptos" w:cs="Aptos"/>
          <w:color w:val="000000" w:themeColor="text1"/>
        </w:rPr>
        <w:t xml:space="preserve">. There should not be a </w:t>
      </w:r>
      <w:r w:rsidR="00C84C30">
        <w:rPr>
          <w:rFonts w:ascii="Aptos" w:eastAsia="Aptos" w:hAnsi="Aptos" w:cs="Aptos"/>
          <w:color w:val="000000" w:themeColor="text1"/>
        </w:rPr>
        <w:t>‘</w:t>
      </w:r>
      <w:r>
        <w:rPr>
          <w:rFonts w:ascii="Aptos" w:eastAsia="Aptos" w:hAnsi="Aptos" w:cs="Aptos"/>
          <w:color w:val="000000" w:themeColor="text1"/>
        </w:rPr>
        <w:t>set and forget</w:t>
      </w:r>
      <w:r w:rsidR="00C84C30">
        <w:rPr>
          <w:rFonts w:ascii="Aptos" w:eastAsia="Aptos" w:hAnsi="Aptos" w:cs="Aptos"/>
          <w:color w:val="000000" w:themeColor="text1"/>
        </w:rPr>
        <w:t>’</w:t>
      </w:r>
      <w:r>
        <w:rPr>
          <w:rFonts w:ascii="Aptos" w:eastAsia="Aptos" w:hAnsi="Aptos" w:cs="Aptos"/>
          <w:color w:val="000000" w:themeColor="text1"/>
        </w:rPr>
        <w:t xml:space="preserve"> stance when establishing entities. The Review is aware of some targeted reviews and changes to public entities – in recent years or underway now – but does not believe there has been </w:t>
      </w:r>
      <w:r w:rsidR="00C84C30">
        <w:rPr>
          <w:rFonts w:ascii="Aptos" w:eastAsia="Aptos" w:hAnsi="Aptos" w:cs="Aptos"/>
          <w:color w:val="000000" w:themeColor="text1"/>
        </w:rPr>
        <w:t xml:space="preserve">any </w:t>
      </w:r>
      <w:r>
        <w:rPr>
          <w:rFonts w:ascii="Aptos" w:eastAsia="Aptos" w:hAnsi="Aptos" w:cs="Aptos"/>
          <w:color w:val="000000" w:themeColor="text1"/>
        </w:rPr>
        <w:t>substantial review for more than 20</w:t>
      </w:r>
      <w:r w:rsidR="00C36CF8">
        <w:rPr>
          <w:rFonts w:ascii="Aptos" w:eastAsia="Aptos" w:hAnsi="Aptos" w:cs="Aptos"/>
          <w:color w:val="000000" w:themeColor="text1"/>
        </w:rPr>
        <w:t> </w:t>
      </w:r>
      <w:r>
        <w:rPr>
          <w:rFonts w:ascii="Aptos" w:eastAsia="Aptos" w:hAnsi="Aptos" w:cs="Aptos"/>
          <w:color w:val="000000" w:themeColor="text1"/>
        </w:rPr>
        <w:t xml:space="preserve">years. </w:t>
      </w:r>
    </w:p>
    <w:p w14:paraId="16ECCBA8" w14:textId="0C5ED1B4" w:rsidR="008612F0" w:rsidRPr="008612F0" w:rsidRDefault="0095201D" w:rsidP="0095201D">
      <w:pPr>
        <w:rPr>
          <w:rFonts w:ascii="Aptos" w:eastAsia="Aptos" w:hAnsi="Aptos" w:cs="Aptos"/>
          <w:color w:val="000000" w:themeColor="text1"/>
          <w:lang w:val="en-GB"/>
        </w:rPr>
      </w:pPr>
      <w:r>
        <w:rPr>
          <w:rFonts w:ascii="Aptos" w:eastAsia="Aptos" w:hAnsi="Aptos" w:cs="Aptos"/>
          <w:color w:val="000000" w:themeColor="text1"/>
        </w:rPr>
        <w:t xml:space="preserve">The Review has </w:t>
      </w:r>
      <w:r w:rsidRPr="3109DDC0">
        <w:rPr>
          <w:rFonts w:ascii="Aptos" w:eastAsia="Aptos" w:hAnsi="Aptos" w:cs="Aptos"/>
          <w:color w:val="000000" w:themeColor="text1"/>
        </w:rPr>
        <w:t>identified</w:t>
      </w:r>
      <w:r>
        <w:rPr>
          <w:rFonts w:ascii="Aptos" w:eastAsia="Aptos" w:hAnsi="Aptos" w:cs="Aptos"/>
          <w:color w:val="000000" w:themeColor="text1"/>
        </w:rPr>
        <w:t xml:space="preserve"> major</w:t>
      </w:r>
      <w:r w:rsidRPr="3109DDC0">
        <w:rPr>
          <w:rFonts w:ascii="Aptos" w:eastAsia="Aptos" w:hAnsi="Aptos" w:cs="Aptos"/>
          <w:color w:val="000000" w:themeColor="text1"/>
        </w:rPr>
        <w:t xml:space="preserve"> opportunities to</w:t>
      </w:r>
      <w:r>
        <w:rPr>
          <w:rFonts w:ascii="Aptos" w:eastAsia="Aptos" w:hAnsi="Aptos" w:cs="Aptos"/>
          <w:color w:val="000000" w:themeColor="text1"/>
        </w:rPr>
        <w:t xml:space="preserve"> reduce the number of </w:t>
      </w:r>
      <w:r w:rsidR="001E7EFA">
        <w:rPr>
          <w:rFonts w:ascii="Aptos" w:eastAsia="Aptos" w:hAnsi="Aptos" w:cs="Aptos"/>
          <w:color w:val="000000" w:themeColor="text1"/>
        </w:rPr>
        <w:br w:type="column"/>
      </w:r>
      <w:r>
        <w:rPr>
          <w:rFonts w:ascii="Aptos" w:eastAsia="Aptos" w:hAnsi="Aptos" w:cs="Aptos"/>
          <w:color w:val="000000" w:themeColor="text1"/>
        </w:rPr>
        <w:t>public entities currently operating in Victoria</w:t>
      </w:r>
      <w:r w:rsidR="00127F66">
        <w:rPr>
          <w:rFonts w:ascii="Aptos" w:eastAsia="Aptos" w:hAnsi="Aptos" w:cs="Aptos"/>
          <w:color w:val="000000" w:themeColor="text1"/>
        </w:rPr>
        <w:t xml:space="preserve"> </w:t>
      </w:r>
      <w:r>
        <w:rPr>
          <w:rFonts w:ascii="Aptos" w:eastAsia="Aptos" w:hAnsi="Aptos" w:cs="Aptos"/>
          <w:color w:val="000000" w:themeColor="text1"/>
        </w:rPr>
        <w:t>through</w:t>
      </w:r>
      <w:r w:rsidRPr="3109DDC0">
        <w:rPr>
          <w:rFonts w:ascii="Aptos" w:eastAsia="Aptos" w:hAnsi="Aptos" w:cs="Aptos"/>
          <w:color w:val="000000" w:themeColor="text1"/>
        </w:rPr>
        <w:t xml:space="preserve"> </w:t>
      </w:r>
      <w:r>
        <w:rPr>
          <w:rFonts w:ascii="Aptos" w:eastAsia="Aptos" w:hAnsi="Aptos" w:cs="Aptos"/>
          <w:color w:val="000000" w:themeColor="text1"/>
        </w:rPr>
        <w:t>ceasing</w:t>
      </w:r>
      <w:r w:rsidRPr="3109DDC0">
        <w:rPr>
          <w:rFonts w:ascii="Aptos" w:eastAsia="Aptos" w:hAnsi="Aptos" w:cs="Aptos"/>
          <w:color w:val="000000" w:themeColor="text1"/>
        </w:rPr>
        <w:t>, merg</w:t>
      </w:r>
      <w:r>
        <w:rPr>
          <w:rFonts w:ascii="Aptos" w:eastAsia="Aptos" w:hAnsi="Aptos" w:cs="Aptos"/>
          <w:color w:val="000000" w:themeColor="text1"/>
        </w:rPr>
        <w:t>ing</w:t>
      </w:r>
      <w:r w:rsidRPr="3109DDC0">
        <w:rPr>
          <w:rFonts w:ascii="Aptos" w:eastAsia="Aptos" w:hAnsi="Aptos" w:cs="Aptos"/>
          <w:color w:val="000000" w:themeColor="text1"/>
        </w:rPr>
        <w:t xml:space="preserve"> or streamlin</w:t>
      </w:r>
      <w:r>
        <w:rPr>
          <w:rFonts w:ascii="Aptos" w:eastAsia="Aptos" w:hAnsi="Aptos" w:cs="Aptos"/>
          <w:color w:val="000000" w:themeColor="text1"/>
        </w:rPr>
        <w:t xml:space="preserve">ing </w:t>
      </w:r>
      <w:r w:rsidRPr="3109DDC0">
        <w:rPr>
          <w:rFonts w:ascii="Aptos" w:eastAsia="Aptos" w:hAnsi="Aptos" w:cs="Aptos"/>
          <w:color w:val="000000" w:themeColor="text1"/>
        </w:rPr>
        <w:t>operations</w:t>
      </w:r>
      <w:r>
        <w:rPr>
          <w:rFonts w:ascii="Aptos" w:eastAsia="Aptos" w:hAnsi="Aptos" w:cs="Aptos"/>
          <w:color w:val="000000" w:themeColor="text1"/>
        </w:rPr>
        <w:t>.</w:t>
      </w:r>
      <w:r>
        <w:rPr>
          <w:rFonts w:ascii="Aptos" w:eastAsia="Aptos" w:hAnsi="Aptos" w:cs="Aptos"/>
          <w:color w:val="000000" w:themeColor="text1"/>
          <w:vertAlign w:val="superscript"/>
        </w:rPr>
        <w:t xml:space="preserve"> </w:t>
      </w:r>
      <w:r>
        <w:rPr>
          <w:rFonts w:ascii="Aptos" w:eastAsia="Aptos" w:hAnsi="Aptos" w:cs="Aptos"/>
          <w:color w:val="000000" w:themeColor="text1"/>
        </w:rPr>
        <w:t>The Review has also found opportunities to</w:t>
      </w:r>
      <w:r>
        <w:rPr>
          <w:rFonts w:ascii="Aptos" w:eastAsia="Aptos" w:hAnsi="Aptos" w:cs="Aptos"/>
          <w:color w:val="000000" w:themeColor="text1"/>
          <w:lang w:val="en-GB"/>
        </w:rPr>
        <w:t xml:space="preserve"> improve the oversight and administration of remaining entities, and to embed best practice governance.</w:t>
      </w:r>
      <w:r w:rsidR="00ED2DF7">
        <w:rPr>
          <w:rFonts w:ascii="Aptos" w:eastAsia="Aptos" w:hAnsi="Aptos" w:cs="Aptos"/>
          <w:color w:val="000000" w:themeColor="text1"/>
          <w:lang w:val="en-GB"/>
        </w:rPr>
        <w:t xml:space="preserve"> </w:t>
      </w:r>
      <w:r w:rsidR="008612F0" w:rsidRPr="001D005C">
        <w:rPr>
          <w:rFonts w:ascii="Aptos" w:eastAsia="Aptos" w:hAnsi="Aptos" w:cs="Aptos"/>
          <w:color w:val="000000" w:themeColor="text1"/>
          <w:lang w:val="en-GB"/>
        </w:rPr>
        <w:t>R</w:t>
      </w:r>
      <w:r w:rsidR="00ED2DF7" w:rsidRPr="001D005C">
        <w:rPr>
          <w:rFonts w:ascii="Aptos" w:eastAsia="Aptos" w:hAnsi="Aptos" w:cs="Aptos"/>
          <w:color w:val="000000" w:themeColor="text1"/>
          <w:lang w:val="en-GB"/>
        </w:rPr>
        <w:t>ecommend</w:t>
      </w:r>
      <w:r w:rsidR="008612F0" w:rsidRPr="001D005C">
        <w:rPr>
          <w:rFonts w:ascii="Aptos" w:eastAsia="Aptos" w:hAnsi="Aptos" w:cs="Aptos"/>
          <w:color w:val="000000" w:themeColor="text1"/>
          <w:lang w:val="en-GB"/>
        </w:rPr>
        <w:t>ations</w:t>
      </w:r>
      <w:r w:rsidR="00ED2DF7" w:rsidRPr="001D005C">
        <w:rPr>
          <w:rFonts w:ascii="Aptos" w:eastAsia="Aptos" w:hAnsi="Aptos" w:cs="Aptos"/>
          <w:color w:val="000000" w:themeColor="text1"/>
          <w:lang w:val="en-GB"/>
        </w:rPr>
        <w:t xml:space="preserve"> in this chapter build on</w:t>
      </w:r>
      <w:r w:rsidR="008612F0" w:rsidRPr="001D005C">
        <w:rPr>
          <w:szCs w:val="22"/>
          <w:lang w:val="en-US"/>
        </w:rPr>
        <w:t xml:space="preserve"> entity changes supported by the Review and included in the 2025/26 Victorian Budget</w:t>
      </w:r>
      <w:r w:rsidR="008612F0" w:rsidRPr="001D005C">
        <w:rPr>
          <w:rFonts w:cs="Arial"/>
          <w:szCs w:val="22"/>
          <w:lang w:val="en-US"/>
        </w:rPr>
        <w:t xml:space="preserve"> (see Appendix C).</w:t>
      </w:r>
    </w:p>
    <w:p w14:paraId="7A7E0F34" w14:textId="77777777" w:rsidR="005A1532" w:rsidRDefault="005A1532" w:rsidP="0044167F">
      <w:pPr>
        <w:pStyle w:val="Heading2"/>
        <w:rPr>
          <w:rFonts w:eastAsia="Aptos"/>
        </w:rPr>
        <w:sectPr w:rsidR="005A1532" w:rsidSect="005A1532">
          <w:type w:val="continuous"/>
          <w:pgSz w:w="11906" w:h="16838"/>
          <w:pgMar w:top="1440" w:right="1440" w:bottom="1440" w:left="1440" w:header="708" w:footer="708" w:gutter="0"/>
          <w:cols w:num="2" w:space="708"/>
          <w:docGrid w:linePitch="360"/>
          <w15:footnoteColumns w:val="1"/>
        </w:sectPr>
      </w:pPr>
      <w:bookmarkStart w:id="77" w:name="_Toc202523990"/>
    </w:p>
    <w:p w14:paraId="0CCC3F0E" w14:textId="18FF7FA5" w:rsidR="0095201D" w:rsidRPr="00173CA2" w:rsidRDefault="00A503B1" w:rsidP="0044167F">
      <w:pPr>
        <w:pStyle w:val="Heading2"/>
        <w:rPr>
          <w:rFonts w:ascii="Aptos" w:eastAsia="Aptos" w:hAnsi="Aptos" w:cs="Aptos"/>
          <w:color w:val="000000" w:themeColor="text1"/>
        </w:rPr>
      </w:pPr>
      <w:bookmarkStart w:id="78" w:name="_Toc214912010"/>
      <w:r>
        <w:rPr>
          <w:rFonts w:eastAsia="Aptos"/>
        </w:rPr>
        <w:t xml:space="preserve">6.2   </w:t>
      </w:r>
      <w:r w:rsidR="0095201D" w:rsidRPr="00173CA2">
        <w:rPr>
          <w:rFonts w:eastAsia="Aptos"/>
        </w:rPr>
        <w:t>Assessment framework for public entities</w:t>
      </w:r>
      <w:bookmarkEnd w:id="77"/>
      <w:bookmarkEnd w:id="78"/>
    </w:p>
    <w:p w14:paraId="7215284B" w14:textId="77777777" w:rsidR="00AB6FA9" w:rsidRDefault="00AB6FA9" w:rsidP="0095201D">
      <w:pPr>
        <w:rPr>
          <w:rFonts w:ascii="Aptos" w:eastAsia="Aptos" w:hAnsi="Aptos" w:cs="Aptos"/>
          <w:color w:val="000000" w:themeColor="text1"/>
        </w:rPr>
        <w:sectPr w:rsidR="00AB6FA9" w:rsidSect="00AE6104">
          <w:type w:val="continuous"/>
          <w:pgSz w:w="11906" w:h="16838"/>
          <w:pgMar w:top="1440" w:right="1440" w:bottom="1440" w:left="1440" w:header="708" w:footer="708" w:gutter="0"/>
          <w:cols w:space="708"/>
          <w:docGrid w:linePitch="360"/>
          <w15:footnoteColumns w:val="1"/>
        </w:sectPr>
      </w:pPr>
    </w:p>
    <w:p w14:paraId="129BB077" w14:textId="032FC89D" w:rsidR="0095201D" w:rsidRPr="00A176C8" w:rsidRDefault="0095201D" w:rsidP="0095201D">
      <w:pPr>
        <w:rPr>
          <w:rFonts w:ascii="Aptos" w:eastAsia="Aptos" w:hAnsi="Aptos" w:cs="Aptos"/>
          <w:color w:val="000000" w:themeColor="text1"/>
        </w:rPr>
      </w:pPr>
      <w:r w:rsidRPr="00A176C8">
        <w:rPr>
          <w:rFonts w:ascii="Aptos" w:eastAsia="Aptos" w:hAnsi="Aptos" w:cs="Aptos"/>
          <w:color w:val="000000" w:themeColor="text1"/>
        </w:rPr>
        <w:t>The Review applied a structured, first principles framework to assess e</w:t>
      </w:r>
      <w:r>
        <w:rPr>
          <w:rFonts w:ascii="Aptos" w:eastAsia="Aptos" w:hAnsi="Aptos" w:cs="Aptos"/>
          <w:color w:val="000000" w:themeColor="text1"/>
        </w:rPr>
        <w:t>ntities (Figure 6.2)</w:t>
      </w:r>
      <w:r w:rsidRPr="00A176C8">
        <w:rPr>
          <w:rFonts w:ascii="Aptos" w:eastAsia="Aptos" w:hAnsi="Aptos" w:cs="Aptos"/>
          <w:color w:val="000000" w:themeColor="text1"/>
        </w:rPr>
        <w:t>. Th</w:t>
      </w:r>
      <w:r>
        <w:rPr>
          <w:rFonts w:ascii="Aptos" w:eastAsia="Aptos" w:hAnsi="Aptos" w:cs="Aptos"/>
          <w:color w:val="000000" w:themeColor="text1"/>
        </w:rPr>
        <w:t>e</w:t>
      </w:r>
      <w:r w:rsidRPr="00A176C8">
        <w:rPr>
          <w:rFonts w:ascii="Aptos" w:eastAsia="Aptos" w:hAnsi="Aptos" w:cs="Aptos"/>
          <w:color w:val="000000" w:themeColor="text1"/>
        </w:rPr>
        <w:t xml:space="preserve"> approach aligns with Victorian Government guidelines for the creation and review of non-departmental entities</w:t>
      </w:r>
      <w:r>
        <w:rPr>
          <w:rFonts w:ascii="Aptos" w:eastAsia="Aptos" w:hAnsi="Aptos" w:cs="Aptos"/>
          <w:color w:val="000000" w:themeColor="text1"/>
        </w:rPr>
        <w:t>, most recently published in 2013</w:t>
      </w:r>
      <w:r w:rsidRPr="00A176C8">
        <w:rPr>
          <w:rFonts w:ascii="Aptos" w:eastAsia="Aptos" w:hAnsi="Aptos" w:cs="Aptos"/>
          <w:color w:val="000000" w:themeColor="text1"/>
        </w:rPr>
        <w:t>.</w:t>
      </w:r>
      <w:r>
        <w:rPr>
          <w:rStyle w:val="FootnoteReference"/>
          <w:rFonts w:ascii="Aptos" w:eastAsia="Aptos" w:hAnsi="Aptos" w:cs="Aptos"/>
          <w:color w:val="000000" w:themeColor="text1"/>
        </w:rPr>
        <w:footnoteReference w:id="19"/>
      </w:r>
      <w:r w:rsidRPr="00A176C8">
        <w:rPr>
          <w:rFonts w:ascii="Aptos" w:eastAsia="Aptos" w:hAnsi="Aptos" w:cs="Aptos"/>
          <w:color w:val="000000" w:themeColor="text1"/>
        </w:rPr>
        <w:t xml:space="preserve"> The framework</w:t>
      </w:r>
      <w:r>
        <w:rPr>
          <w:rFonts w:ascii="Aptos" w:eastAsia="Aptos" w:hAnsi="Aptos" w:cs="Aptos"/>
          <w:color w:val="000000" w:themeColor="text1"/>
        </w:rPr>
        <w:t xml:space="preserve"> is consistent with the Review’s criteria applied to other areas of</w:t>
      </w:r>
      <w:r w:rsidR="00B60FAB">
        <w:rPr>
          <w:rFonts w:ascii="Aptos" w:eastAsia="Aptos" w:hAnsi="Aptos" w:cs="Aptos"/>
          <w:color w:val="000000" w:themeColor="text1"/>
        </w:rPr>
        <w:t> </w:t>
      </w:r>
      <w:r>
        <w:rPr>
          <w:rFonts w:ascii="Aptos" w:eastAsia="Aptos" w:hAnsi="Aptos" w:cs="Aptos"/>
          <w:color w:val="000000" w:themeColor="text1"/>
        </w:rPr>
        <w:t>work.</w:t>
      </w:r>
      <w:r>
        <w:rPr>
          <w:rStyle w:val="FootnoteReference"/>
          <w:rFonts w:ascii="Aptos" w:eastAsia="Aptos" w:hAnsi="Aptos" w:cs="Aptos"/>
          <w:color w:val="000000" w:themeColor="text1"/>
        </w:rPr>
        <w:footnoteReference w:id="20"/>
      </w:r>
    </w:p>
    <w:p w14:paraId="79CD776E" w14:textId="68F8EE2A" w:rsidR="0095201D" w:rsidRDefault="0095201D" w:rsidP="0095201D">
      <w:pPr>
        <w:rPr>
          <w:rFonts w:ascii="Aptos" w:eastAsia="Aptos" w:hAnsi="Aptos" w:cs="Aptos"/>
          <w:color w:val="000000" w:themeColor="text1"/>
          <w:lang w:val="en-US"/>
        </w:rPr>
      </w:pPr>
      <w:r w:rsidRPr="00027FD1">
        <w:rPr>
          <w:rFonts w:ascii="Aptos" w:eastAsia="Aptos" w:hAnsi="Aptos" w:cs="Aptos"/>
          <w:color w:val="000000" w:themeColor="text1"/>
          <w:lang w:val="en-US"/>
        </w:rPr>
        <w:t>Each entity</w:t>
      </w:r>
      <w:r>
        <w:rPr>
          <w:rFonts w:ascii="Aptos" w:eastAsia="Aptos" w:hAnsi="Aptos" w:cs="Aptos"/>
          <w:color w:val="000000" w:themeColor="text1"/>
          <w:lang w:val="en-US"/>
        </w:rPr>
        <w:t xml:space="preserve"> in scope was</w:t>
      </w:r>
      <w:r w:rsidRPr="00027FD1">
        <w:rPr>
          <w:rFonts w:ascii="Aptos" w:eastAsia="Aptos" w:hAnsi="Aptos" w:cs="Aptos"/>
          <w:color w:val="000000" w:themeColor="text1"/>
          <w:lang w:val="en-US"/>
        </w:rPr>
        <w:t xml:space="preserve"> assessed </w:t>
      </w:r>
      <w:r w:rsidR="00127F66">
        <w:rPr>
          <w:rFonts w:ascii="Aptos" w:eastAsia="Aptos" w:hAnsi="Aptos" w:cs="Aptos"/>
          <w:color w:val="000000" w:themeColor="text1"/>
          <w:lang w:val="en-US"/>
        </w:rPr>
        <w:t>against</w:t>
      </w:r>
      <w:r>
        <w:rPr>
          <w:rFonts w:ascii="Aptos" w:eastAsia="Aptos" w:hAnsi="Aptos" w:cs="Aptos"/>
          <w:color w:val="000000" w:themeColor="text1"/>
          <w:lang w:val="en-US"/>
        </w:rPr>
        <w:t xml:space="preserve"> the framework. </w:t>
      </w:r>
      <w:proofErr w:type="gramStart"/>
      <w:r>
        <w:rPr>
          <w:rFonts w:ascii="Aptos" w:eastAsia="Aptos" w:hAnsi="Aptos" w:cs="Aptos"/>
          <w:color w:val="000000" w:themeColor="text1"/>
          <w:lang w:val="en-US"/>
        </w:rPr>
        <w:t>This</w:t>
      </w:r>
      <w:proofErr w:type="gramEnd"/>
      <w:r>
        <w:rPr>
          <w:rFonts w:ascii="Aptos" w:eastAsia="Aptos" w:hAnsi="Aptos" w:cs="Aptos"/>
          <w:color w:val="000000" w:themeColor="text1"/>
          <w:lang w:val="en-US"/>
        </w:rPr>
        <w:t xml:space="preserve"> identified opportunities for change, ranging from an entity being </w:t>
      </w:r>
      <w:r>
        <w:rPr>
          <w:rFonts w:ascii="Aptos" w:eastAsia="Aptos" w:hAnsi="Aptos" w:cs="Aptos"/>
          <w:color w:val="000000" w:themeColor="text1"/>
          <w:lang w:val="en-US"/>
        </w:rPr>
        <w:t>abolished and functions ceasing altogether, to abolishing entities and absorbing relevant functions into departments, and to merging all or some functions of entities. Further consideration was given to</w:t>
      </w:r>
      <w:r w:rsidRPr="00027FD1">
        <w:rPr>
          <w:rFonts w:ascii="Aptos" w:eastAsia="Aptos" w:hAnsi="Aptos" w:cs="Aptos"/>
          <w:color w:val="000000" w:themeColor="text1"/>
          <w:lang w:val="en-US"/>
        </w:rPr>
        <w:t xml:space="preserve"> </w:t>
      </w:r>
      <w:r>
        <w:rPr>
          <w:rFonts w:ascii="Aptos" w:eastAsia="Aptos" w:hAnsi="Aptos" w:cs="Aptos"/>
          <w:color w:val="000000" w:themeColor="text1"/>
          <w:lang w:val="en-US"/>
        </w:rPr>
        <w:t xml:space="preserve">the </w:t>
      </w:r>
      <w:r w:rsidRPr="00027FD1">
        <w:rPr>
          <w:rFonts w:ascii="Aptos" w:eastAsia="Aptos" w:hAnsi="Aptos" w:cs="Aptos"/>
          <w:color w:val="000000" w:themeColor="text1"/>
          <w:lang w:val="en-US"/>
        </w:rPr>
        <w:t>feasibility and viability of reform.</w:t>
      </w:r>
      <w:r>
        <w:rPr>
          <w:rFonts w:ascii="Aptos" w:eastAsia="Aptos" w:hAnsi="Aptos" w:cs="Aptos"/>
          <w:color w:val="000000" w:themeColor="text1"/>
          <w:lang w:val="en-US"/>
        </w:rPr>
        <w:t xml:space="preserve"> </w:t>
      </w:r>
      <w:r w:rsidRPr="00027FD1">
        <w:rPr>
          <w:rFonts w:ascii="Aptos" w:eastAsia="Aptos" w:hAnsi="Aptos" w:cs="Aptos"/>
          <w:color w:val="000000" w:themeColor="text1"/>
          <w:lang w:val="en-US"/>
        </w:rPr>
        <w:t xml:space="preserve">Entities that </w:t>
      </w:r>
      <w:r>
        <w:rPr>
          <w:rFonts w:ascii="Aptos" w:eastAsia="Aptos" w:hAnsi="Aptos" w:cs="Aptos"/>
          <w:color w:val="000000" w:themeColor="text1"/>
          <w:lang w:val="en-US"/>
        </w:rPr>
        <w:t>passed</w:t>
      </w:r>
      <w:r w:rsidRPr="00027FD1">
        <w:rPr>
          <w:rFonts w:ascii="Aptos" w:eastAsia="Aptos" w:hAnsi="Aptos" w:cs="Aptos"/>
          <w:color w:val="000000" w:themeColor="text1"/>
          <w:lang w:val="en-US"/>
        </w:rPr>
        <w:t xml:space="preserve"> all criteria </w:t>
      </w:r>
      <w:r>
        <w:rPr>
          <w:rFonts w:ascii="Aptos" w:eastAsia="Aptos" w:hAnsi="Aptos" w:cs="Aptos"/>
          <w:color w:val="000000" w:themeColor="text1"/>
          <w:lang w:val="en-US"/>
        </w:rPr>
        <w:t>are not recommended for change and are not discussed further in this chapter.</w:t>
      </w:r>
    </w:p>
    <w:p w14:paraId="5A6BAB9F" w14:textId="023F83EA" w:rsidR="0095201D" w:rsidRDefault="0095201D" w:rsidP="0095201D">
      <w:r>
        <w:rPr>
          <w:rFonts w:ascii="Aptos" w:eastAsia="Aptos" w:hAnsi="Aptos" w:cs="Aptos"/>
          <w:color w:val="000000" w:themeColor="text1"/>
        </w:rPr>
        <w:t xml:space="preserve">More detail about entities in scope and the assessment framework </w:t>
      </w:r>
      <w:r w:rsidR="008C4270">
        <w:rPr>
          <w:rFonts w:ascii="Aptos" w:eastAsia="Aptos" w:hAnsi="Aptos" w:cs="Aptos"/>
          <w:color w:val="000000" w:themeColor="text1"/>
        </w:rPr>
        <w:t>is</w:t>
      </w:r>
      <w:r>
        <w:rPr>
          <w:rFonts w:ascii="Aptos" w:eastAsia="Aptos" w:hAnsi="Aptos" w:cs="Aptos"/>
          <w:color w:val="000000" w:themeColor="text1"/>
        </w:rPr>
        <w:t xml:space="preserve"> at </w:t>
      </w:r>
      <w:r w:rsidRPr="001D005C">
        <w:rPr>
          <w:rFonts w:ascii="Aptos" w:eastAsia="Aptos" w:hAnsi="Aptos" w:cs="Aptos"/>
          <w:color w:val="000000" w:themeColor="text1"/>
        </w:rPr>
        <w:t xml:space="preserve">Appendix </w:t>
      </w:r>
      <w:r w:rsidR="00D45D27" w:rsidRPr="001D005C">
        <w:rPr>
          <w:rFonts w:ascii="Aptos" w:eastAsia="Aptos" w:hAnsi="Aptos" w:cs="Aptos"/>
          <w:color w:val="000000" w:themeColor="text1"/>
        </w:rPr>
        <w:t>C</w:t>
      </w:r>
      <w:r>
        <w:rPr>
          <w:rFonts w:ascii="Aptos" w:eastAsia="Aptos" w:hAnsi="Aptos" w:cs="Aptos"/>
          <w:color w:val="000000" w:themeColor="text1"/>
        </w:rPr>
        <w:t>.</w:t>
      </w:r>
    </w:p>
    <w:p w14:paraId="30B7B950" w14:textId="77777777" w:rsidR="00AB6FA9" w:rsidRDefault="00AB6FA9" w:rsidP="00AE7EAC">
      <w:pPr>
        <w:pStyle w:val="Figureheading"/>
        <w:sectPr w:rsidR="00AB6FA9" w:rsidSect="00AB6FA9">
          <w:type w:val="continuous"/>
          <w:pgSz w:w="11906" w:h="16838"/>
          <w:pgMar w:top="1440" w:right="1440" w:bottom="1440" w:left="1440" w:header="708" w:footer="708" w:gutter="0"/>
          <w:cols w:num="2" w:space="708"/>
          <w:docGrid w:linePitch="360"/>
          <w15:footnoteColumns w:val="1"/>
        </w:sectPr>
      </w:pPr>
    </w:p>
    <w:p w14:paraId="1A572816" w14:textId="77777777" w:rsidR="00AE7EAC" w:rsidRDefault="00AE7EAC" w:rsidP="00AE7EAC">
      <w:pPr>
        <w:pStyle w:val="Figureheading"/>
      </w:pPr>
      <w:r>
        <w:br w:type="page"/>
      </w:r>
    </w:p>
    <w:p w14:paraId="6FA3EBEB" w14:textId="156843B5" w:rsidR="0095201D" w:rsidRPr="00C97AD8" w:rsidRDefault="0095201D" w:rsidP="00AE7EAC">
      <w:pPr>
        <w:pStyle w:val="Figureheading"/>
      </w:pPr>
      <w:r w:rsidRPr="00C97AD8">
        <w:lastRenderedPageBreak/>
        <w:t xml:space="preserve">Figure </w:t>
      </w:r>
      <w:r w:rsidR="00B97BAA">
        <w:t>6</w:t>
      </w:r>
      <w:r>
        <w:t>.</w:t>
      </w:r>
      <w:r w:rsidR="009D5FCD">
        <w:fldChar w:fldCharType="begin"/>
      </w:r>
      <w:r w:rsidR="009D5FCD">
        <w:instrText xml:space="preserve"> SEQ Figure \* ARABIC \s 1 </w:instrText>
      </w:r>
      <w:r w:rsidR="009D5FCD">
        <w:fldChar w:fldCharType="separate"/>
      </w:r>
      <w:r w:rsidR="009D1283">
        <w:rPr>
          <w:noProof/>
        </w:rPr>
        <w:t>2</w:t>
      </w:r>
      <w:r w:rsidR="009D5FCD">
        <w:rPr>
          <w:noProof/>
        </w:rPr>
        <w:fldChar w:fldCharType="end"/>
      </w:r>
      <w:r w:rsidRPr="00C97AD8">
        <w:t>: Assessment Framework for public sector entities</w:t>
      </w:r>
    </w:p>
    <w:p w14:paraId="7E9E8B8E" w14:textId="72CA66C9" w:rsidR="0095201D" w:rsidRDefault="000E4EAC" w:rsidP="006C396F">
      <w:pPr>
        <w:spacing w:after="0"/>
        <w:rPr>
          <w:rFonts w:ascii="Aptos" w:eastAsia="Aptos" w:hAnsi="Aptos" w:cs="Aptos"/>
          <w:color w:val="000000" w:themeColor="text1"/>
        </w:rPr>
      </w:pPr>
      <w:r>
        <w:rPr>
          <w:noProof/>
        </w:rPr>
        <w:drawing>
          <wp:inline distT="0" distB="0" distL="0" distR="0" wp14:anchorId="6C6E8EBC" wp14:editId="3CFF318A">
            <wp:extent cx="5586095" cy="5137842"/>
            <wp:effectExtent l="0" t="0" r="0" b="5715"/>
            <wp:docPr id="1751762593" name="Picture 1" descr="A diagram that illustrates the proposed assessment framework for public sector entities. This framework shows a process to follow to decide whether an entity should be abolished, absorbed into Departments, merged in total or in part or retained as is. This process is illustrated using a number of questions with a yes or no answer that dictate whether the relevant outcome for the ent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62593" name="Picture 1" descr="A diagram that illustrates the proposed assessment framework for public sector entities. This framework shows a process to follow to decide whether an entity should be abolished, absorbed into Departments, merged in total or in part or retained as is. This process is illustrated using a number of questions with a yes or no answer that dictate whether the relevant outcome for the entity. "/>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a:fillRect/>
                    </a:stretch>
                  </pic:blipFill>
                  <pic:spPr bwMode="auto">
                    <a:xfrm>
                      <a:off x="0" y="0"/>
                      <a:ext cx="5586095" cy="5137842"/>
                    </a:xfrm>
                    <a:prstGeom prst="rect">
                      <a:avLst/>
                    </a:prstGeom>
                    <a:noFill/>
                    <a:ln>
                      <a:noFill/>
                    </a:ln>
                    <a:extLst>
                      <a:ext uri="{53640926-AAD7-44D8-BBD7-CCE9431645EC}">
                        <a14:shadowObscured xmlns:a14="http://schemas.microsoft.com/office/drawing/2010/main"/>
                      </a:ext>
                    </a:extLst>
                  </pic:spPr>
                </pic:pic>
              </a:graphicData>
            </a:graphic>
          </wp:inline>
        </w:drawing>
      </w:r>
    </w:p>
    <w:p w14:paraId="78CFC2C2" w14:textId="77777777" w:rsidR="00FA10D6" w:rsidRPr="00FA10D6" w:rsidRDefault="00FA10D6" w:rsidP="00505E97">
      <w:pPr>
        <w:pStyle w:val="Caption"/>
        <w:spacing w:before="60"/>
        <w:rPr>
          <w:i w:val="0"/>
          <w:sz w:val="20"/>
          <w:szCs w:val="20"/>
        </w:rPr>
      </w:pPr>
      <w:r w:rsidRPr="00F848BC">
        <w:t>Source: Independent Review of the VPS, 2025</w:t>
      </w:r>
    </w:p>
    <w:p w14:paraId="235CCA16" w14:textId="6EF1445F" w:rsidR="0095201D" w:rsidRPr="00173CA2" w:rsidRDefault="00A503B1" w:rsidP="002A1E7A">
      <w:pPr>
        <w:pStyle w:val="Heading2"/>
        <w:spacing w:before="360"/>
        <w:rPr>
          <w:rFonts w:ascii="Aptos" w:eastAsia="Aptos" w:hAnsi="Aptos" w:cs="Aptos"/>
          <w:color w:val="000000" w:themeColor="text1"/>
        </w:rPr>
      </w:pPr>
      <w:bookmarkStart w:id="79" w:name="_Toc202523991"/>
      <w:bookmarkStart w:id="80" w:name="_Toc214912011"/>
      <w:r>
        <w:rPr>
          <w:rFonts w:eastAsia="Aptos"/>
        </w:rPr>
        <w:t xml:space="preserve">6.3   </w:t>
      </w:r>
      <w:r w:rsidR="0095201D" w:rsidRPr="00173CA2">
        <w:rPr>
          <w:rFonts w:eastAsia="Aptos"/>
        </w:rPr>
        <w:t>Reducing the number of public entities</w:t>
      </w:r>
      <w:bookmarkEnd w:id="79"/>
      <w:bookmarkEnd w:id="80"/>
      <w:r w:rsidR="0095201D" w:rsidRPr="00173CA2">
        <w:rPr>
          <w:rFonts w:eastAsia="Aptos"/>
        </w:rPr>
        <w:t xml:space="preserve"> </w:t>
      </w:r>
    </w:p>
    <w:p w14:paraId="31DC6711" w14:textId="77777777" w:rsidR="006A0C26" w:rsidRDefault="006A0C26" w:rsidP="0095201D">
      <w:pPr>
        <w:rPr>
          <w:rFonts w:ascii="Aptos" w:eastAsia="Aptos" w:hAnsi="Aptos" w:cs="Aptos"/>
          <w:color w:val="000000" w:themeColor="text1"/>
        </w:rPr>
        <w:sectPr w:rsidR="006A0C26" w:rsidSect="00AE6104">
          <w:type w:val="continuous"/>
          <w:pgSz w:w="11906" w:h="16838"/>
          <w:pgMar w:top="1440" w:right="1440" w:bottom="1440" w:left="1440" w:header="708" w:footer="708" w:gutter="0"/>
          <w:cols w:space="708"/>
          <w:docGrid w:linePitch="360"/>
          <w15:footnoteColumns w:val="1"/>
        </w:sectPr>
      </w:pPr>
    </w:p>
    <w:p w14:paraId="39C17F71" w14:textId="6F907AC2" w:rsidR="0095201D" w:rsidRPr="00FC10E1" w:rsidRDefault="0095201D" w:rsidP="0095201D">
      <w:pPr>
        <w:rPr>
          <w:rFonts w:ascii="Aptos" w:eastAsia="Aptos" w:hAnsi="Aptos" w:cs="Aptos"/>
          <w:color w:val="000000" w:themeColor="text1"/>
        </w:rPr>
      </w:pPr>
      <w:r>
        <w:rPr>
          <w:rFonts w:ascii="Aptos" w:eastAsia="Aptos" w:hAnsi="Aptos" w:cs="Aptos"/>
          <w:color w:val="000000" w:themeColor="text1"/>
        </w:rPr>
        <w:t>T</w:t>
      </w:r>
      <w:r w:rsidRPr="00FC10E1">
        <w:rPr>
          <w:rFonts w:ascii="Aptos" w:eastAsia="Aptos" w:hAnsi="Aptos" w:cs="Aptos"/>
          <w:color w:val="000000" w:themeColor="text1"/>
        </w:rPr>
        <w:t>he Review has found that</w:t>
      </w:r>
      <w:r>
        <w:rPr>
          <w:rFonts w:ascii="Aptos" w:eastAsia="Aptos" w:hAnsi="Aptos" w:cs="Aptos"/>
          <w:color w:val="000000" w:themeColor="text1"/>
        </w:rPr>
        <w:t xml:space="preserve"> the government can take immediate steps to reduce the number of public entities</w:t>
      </w:r>
      <w:r w:rsidR="006117B3" w:rsidRPr="00433439">
        <w:rPr>
          <w:rFonts w:ascii="Aptos" w:eastAsia="Aptos" w:hAnsi="Aptos" w:cs="Aptos"/>
          <w:color w:val="000000" w:themeColor="text1"/>
        </w:rPr>
        <w:t xml:space="preserve"> by </w:t>
      </w:r>
      <w:r w:rsidR="003869B7">
        <w:rPr>
          <w:rFonts w:ascii="Aptos" w:eastAsia="Aptos" w:hAnsi="Aptos" w:cs="Aptos"/>
          <w:color w:val="000000" w:themeColor="text1"/>
        </w:rPr>
        <w:t>78</w:t>
      </w:r>
      <w:r w:rsidR="00837032" w:rsidRPr="00433439">
        <w:rPr>
          <w:rFonts w:ascii="Aptos" w:eastAsia="Aptos" w:hAnsi="Aptos" w:cs="Aptos"/>
          <w:color w:val="000000" w:themeColor="text1"/>
        </w:rPr>
        <w:t xml:space="preserve">, or around a third of those assessed, bringing Victoria </w:t>
      </w:r>
      <w:r w:rsidR="00877F50" w:rsidRPr="00433439">
        <w:rPr>
          <w:rFonts w:ascii="Aptos" w:eastAsia="Aptos" w:hAnsi="Aptos" w:cs="Aptos"/>
          <w:color w:val="000000" w:themeColor="text1"/>
        </w:rPr>
        <w:t xml:space="preserve">closer to </w:t>
      </w:r>
      <w:r w:rsidR="00791DE2" w:rsidRPr="00433439">
        <w:rPr>
          <w:rFonts w:ascii="Aptos" w:eastAsia="Aptos" w:hAnsi="Aptos" w:cs="Aptos"/>
          <w:color w:val="000000" w:themeColor="text1"/>
        </w:rPr>
        <w:t>comparable jurisdictions</w:t>
      </w:r>
      <w:r w:rsidRPr="00433439">
        <w:rPr>
          <w:rFonts w:ascii="Aptos" w:eastAsia="Aptos" w:hAnsi="Aptos" w:cs="Aptos"/>
          <w:color w:val="000000" w:themeColor="text1"/>
        </w:rPr>
        <w:t>.</w:t>
      </w:r>
      <w:r>
        <w:rPr>
          <w:rFonts w:ascii="Aptos" w:eastAsia="Aptos" w:hAnsi="Aptos" w:cs="Aptos"/>
          <w:color w:val="000000" w:themeColor="text1"/>
        </w:rPr>
        <w:t xml:space="preserve"> This </w:t>
      </w:r>
      <w:r w:rsidR="00116471" w:rsidRPr="00433439">
        <w:rPr>
          <w:rFonts w:ascii="Aptos" w:eastAsia="Aptos" w:hAnsi="Aptos" w:cs="Aptos"/>
          <w:color w:val="000000" w:themeColor="text1"/>
        </w:rPr>
        <w:t>reduction</w:t>
      </w:r>
      <w:r>
        <w:rPr>
          <w:rFonts w:ascii="Aptos" w:eastAsia="Aptos" w:hAnsi="Aptos" w:cs="Aptos"/>
          <w:color w:val="000000" w:themeColor="text1"/>
        </w:rPr>
        <w:t xml:space="preserve"> includes</w:t>
      </w:r>
      <w:r w:rsidRPr="00FC10E1">
        <w:rPr>
          <w:rFonts w:ascii="Aptos" w:eastAsia="Aptos" w:hAnsi="Aptos" w:cs="Aptos"/>
          <w:color w:val="000000" w:themeColor="text1"/>
        </w:rPr>
        <w:t xml:space="preserve"> focused, phased consolidation</w:t>
      </w:r>
      <w:r>
        <w:rPr>
          <w:rFonts w:ascii="Aptos" w:eastAsia="Aptos" w:hAnsi="Aptos" w:cs="Aptos"/>
          <w:color w:val="000000" w:themeColor="text1"/>
        </w:rPr>
        <w:t>s</w:t>
      </w:r>
      <w:r w:rsidRPr="00FC10E1">
        <w:rPr>
          <w:rFonts w:ascii="Aptos" w:eastAsia="Aptos" w:hAnsi="Aptos" w:cs="Aptos"/>
          <w:color w:val="000000" w:themeColor="text1"/>
        </w:rPr>
        <w:t xml:space="preserve"> of </w:t>
      </w:r>
      <w:r w:rsidRPr="009A66C6">
        <w:rPr>
          <w:rFonts w:ascii="Aptos" w:eastAsia="Aptos" w:hAnsi="Aptos" w:cs="Aptos"/>
          <w:color w:val="000000" w:themeColor="text1"/>
        </w:rPr>
        <w:t>6</w:t>
      </w:r>
      <w:r w:rsidR="00DC51F7">
        <w:rPr>
          <w:rFonts w:ascii="Aptos" w:eastAsia="Aptos" w:hAnsi="Aptos" w:cs="Aptos"/>
          <w:color w:val="000000" w:themeColor="text1"/>
        </w:rPr>
        <w:t>0</w:t>
      </w:r>
      <w:r w:rsidRPr="00FC10E1">
        <w:rPr>
          <w:rFonts w:ascii="Aptos" w:eastAsia="Aptos" w:hAnsi="Aptos" w:cs="Aptos"/>
          <w:color w:val="000000" w:themeColor="text1"/>
        </w:rPr>
        <w:t xml:space="preserve"> </w:t>
      </w:r>
      <w:r>
        <w:rPr>
          <w:rFonts w:ascii="Aptos" w:eastAsia="Aptos" w:hAnsi="Aptos" w:cs="Aptos"/>
          <w:color w:val="000000" w:themeColor="text1"/>
        </w:rPr>
        <w:t xml:space="preserve">current </w:t>
      </w:r>
      <w:r w:rsidRPr="00FC10E1">
        <w:rPr>
          <w:rFonts w:ascii="Aptos" w:eastAsia="Aptos" w:hAnsi="Aptos" w:cs="Aptos"/>
          <w:color w:val="000000" w:themeColor="text1"/>
        </w:rPr>
        <w:t>entities</w:t>
      </w:r>
      <w:r>
        <w:rPr>
          <w:rFonts w:ascii="Aptos" w:eastAsia="Aptos" w:hAnsi="Aptos" w:cs="Aptos"/>
          <w:color w:val="000000" w:themeColor="text1"/>
        </w:rPr>
        <w:t>, and a</w:t>
      </w:r>
      <w:r w:rsidRPr="00FC10E1">
        <w:rPr>
          <w:rFonts w:ascii="Aptos" w:eastAsia="Aptos" w:hAnsi="Aptos" w:cs="Aptos"/>
          <w:color w:val="000000" w:themeColor="text1"/>
        </w:rPr>
        <w:t>bolish</w:t>
      </w:r>
      <w:r>
        <w:rPr>
          <w:rFonts w:ascii="Aptos" w:eastAsia="Aptos" w:hAnsi="Aptos" w:cs="Aptos"/>
          <w:color w:val="000000" w:themeColor="text1"/>
        </w:rPr>
        <w:t>ing</w:t>
      </w:r>
      <w:r w:rsidRPr="00FC10E1">
        <w:rPr>
          <w:rFonts w:ascii="Aptos" w:eastAsia="Aptos" w:hAnsi="Aptos" w:cs="Aptos"/>
          <w:color w:val="000000" w:themeColor="text1"/>
        </w:rPr>
        <w:t xml:space="preserve"> </w:t>
      </w:r>
      <w:r w:rsidR="00AA7CDD">
        <w:rPr>
          <w:rFonts w:ascii="Aptos" w:eastAsia="Aptos" w:hAnsi="Aptos" w:cs="Aptos"/>
          <w:color w:val="000000" w:themeColor="text1"/>
        </w:rPr>
        <w:t>18</w:t>
      </w:r>
      <w:r w:rsidRPr="00FC10E1">
        <w:rPr>
          <w:rFonts w:ascii="Aptos" w:eastAsia="Aptos" w:hAnsi="Aptos" w:cs="Aptos"/>
          <w:color w:val="000000" w:themeColor="text1"/>
        </w:rPr>
        <w:t xml:space="preserve"> entities</w:t>
      </w:r>
      <w:r>
        <w:rPr>
          <w:rFonts w:ascii="Aptos" w:eastAsia="Aptos" w:hAnsi="Aptos" w:cs="Aptos"/>
          <w:color w:val="000000" w:themeColor="text1"/>
        </w:rPr>
        <w:t>, where there is no identified ongoing need or where their necessary functions can be absorbed into a</w:t>
      </w:r>
      <w:r w:rsidR="007367BC">
        <w:rPr>
          <w:rFonts w:ascii="Aptos" w:eastAsia="Aptos" w:hAnsi="Aptos" w:cs="Aptos"/>
          <w:color w:val="000000" w:themeColor="text1"/>
        </w:rPr>
        <w:t> </w:t>
      </w:r>
      <w:r>
        <w:rPr>
          <w:rFonts w:ascii="Aptos" w:eastAsia="Aptos" w:hAnsi="Aptos" w:cs="Aptos"/>
          <w:color w:val="000000" w:themeColor="text1"/>
        </w:rPr>
        <w:t>department</w:t>
      </w:r>
      <w:r w:rsidR="00116471">
        <w:rPr>
          <w:rFonts w:ascii="Aptos" w:eastAsia="Aptos" w:hAnsi="Aptos" w:cs="Aptos"/>
          <w:color w:val="000000" w:themeColor="text1"/>
        </w:rPr>
        <w:t xml:space="preserve"> </w:t>
      </w:r>
      <w:r w:rsidR="00116471" w:rsidRPr="00433439">
        <w:rPr>
          <w:rFonts w:ascii="Aptos" w:eastAsia="Aptos" w:hAnsi="Aptos" w:cs="Aptos"/>
          <w:color w:val="000000" w:themeColor="text1"/>
        </w:rPr>
        <w:t>or</w:t>
      </w:r>
      <w:r w:rsidR="00775CC9" w:rsidRPr="00433439">
        <w:rPr>
          <w:rFonts w:ascii="Aptos" w:eastAsia="Aptos" w:hAnsi="Aptos" w:cs="Aptos"/>
          <w:color w:val="000000" w:themeColor="text1"/>
        </w:rPr>
        <w:t xml:space="preserve"> another entity</w:t>
      </w:r>
      <w:r>
        <w:rPr>
          <w:rFonts w:ascii="Aptos" w:eastAsia="Aptos" w:hAnsi="Aptos" w:cs="Aptos"/>
          <w:color w:val="000000" w:themeColor="text1"/>
        </w:rPr>
        <w:t xml:space="preserve">. </w:t>
      </w:r>
    </w:p>
    <w:p w14:paraId="522D205B" w14:textId="55A0D80F" w:rsidR="0095201D" w:rsidRDefault="0095201D" w:rsidP="0095201D">
      <w:pPr>
        <w:rPr>
          <w:rFonts w:ascii="Aptos" w:eastAsia="Aptos" w:hAnsi="Aptos" w:cs="Aptos"/>
          <w:color w:val="000000" w:themeColor="text1"/>
        </w:rPr>
      </w:pPr>
      <w:r>
        <w:rPr>
          <w:rFonts w:ascii="Aptos" w:eastAsia="Aptos" w:hAnsi="Aptos" w:cs="Aptos"/>
          <w:color w:val="000000" w:themeColor="text1"/>
        </w:rPr>
        <w:t>The entity reforms recommended by the Review are e</w:t>
      </w:r>
      <w:r w:rsidRPr="00204A41">
        <w:rPr>
          <w:rFonts w:ascii="Aptos" w:eastAsia="Aptos" w:hAnsi="Aptos" w:cs="Aptos"/>
          <w:color w:val="000000" w:themeColor="text1"/>
        </w:rPr>
        <w:t xml:space="preserve">stimated </w:t>
      </w:r>
      <w:r>
        <w:rPr>
          <w:rFonts w:ascii="Aptos" w:eastAsia="Aptos" w:hAnsi="Aptos" w:cs="Aptos"/>
          <w:color w:val="000000" w:themeColor="text1"/>
        </w:rPr>
        <w:t xml:space="preserve">to result in net savings of around </w:t>
      </w:r>
      <w:r w:rsidRPr="00DF5D06">
        <w:rPr>
          <w:rFonts w:ascii="Aptos" w:eastAsia="Aptos" w:hAnsi="Aptos" w:cs="Aptos"/>
          <w:color w:val="000000" w:themeColor="text1"/>
        </w:rPr>
        <w:t>$</w:t>
      </w:r>
      <w:r w:rsidR="00DF5D06" w:rsidRPr="00DF5D06">
        <w:rPr>
          <w:rFonts w:ascii="Aptos" w:eastAsia="Aptos" w:hAnsi="Aptos" w:cs="Aptos"/>
          <w:color w:val="000000" w:themeColor="text1"/>
        </w:rPr>
        <w:t>427</w:t>
      </w:r>
      <w:r w:rsidRPr="00DF5D06">
        <w:rPr>
          <w:rFonts w:ascii="Aptos" w:eastAsia="Aptos" w:hAnsi="Aptos" w:cs="Aptos"/>
          <w:color w:val="000000" w:themeColor="text1"/>
        </w:rPr>
        <w:t xml:space="preserve"> million</w:t>
      </w:r>
      <w:r>
        <w:rPr>
          <w:rFonts w:ascii="Aptos" w:eastAsia="Aptos" w:hAnsi="Aptos" w:cs="Aptos"/>
          <w:color w:val="000000" w:themeColor="text1"/>
        </w:rPr>
        <w:t xml:space="preserve"> </w:t>
      </w:r>
      <w:r w:rsidRPr="00204A41">
        <w:rPr>
          <w:rFonts w:ascii="Aptos" w:eastAsia="Aptos" w:hAnsi="Aptos" w:cs="Aptos"/>
          <w:color w:val="000000" w:themeColor="text1"/>
        </w:rPr>
        <w:t>over the forward estimates and reduce</w:t>
      </w:r>
      <w:r>
        <w:rPr>
          <w:rFonts w:ascii="Aptos" w:eastAsia="Aptos" w:hAnsi="Aptos" w:cs="Aptos"/>
          <w:color w:val="000000" w:themeColor="text1"/>
        </w:rPr>
        <w:t xml:space="preserve"> </w:t>
      </w:r>
      <w:r w:rsidRPr="00204A41">
        <w:rPr>
          <w:rFonts w:ascii="Aptos" w:eastAsia="Aptos" w:hAnsi="Aptos" w:cs="Aptos"/>
          <w:color w:val="000000" w:themeColor="text1"/>
        </w:rPr>
        <w:t>FTE</w:t>
      </w:r>
      <w:r>
        <w:rPr>
          <w:rFonts w:ascii="Aptos" w:eastAsia="Aptos" w:hAnsi="Aptos" w:cs="Aptos"/>
          <w:color w:val="000000" w:themeColor="text1"/>
        </w:rPr>
        <w:t xml:space="preserve"> (VPS and public sector)</w:t>
      </w:r>
      <w:r w:rsidRPr="00204A41">
        <w:rPr>
          <w:rFonts w:ascii="Aptos" w:eastAsia="Aptos" w:hAnsi="Aptos" w:cs="Aptos"/>
          <w:color w:val="000000" w:themeColor="text1"/>
        </w:rPr>
        <w:t xml:space="preserve"> by</w:t>
      </w:r>
      <w:r>
        <w:rPr>
          <w:rFonts w:ascii="Aptos" w:eastAsia="Aptos" w:hAnsi="Aptos" w:cs="Aptos"/>
          <w:color w:val="000000" w:themeColor="text1"/>
        </w:rPr>
        <w:t xml:space="preserve"> </w:t>
      </w:r>
      <w:r w:rsidRPr="00DF5D06">
        <w:rPr>
          <w:rFonts w:ascii="Aptos" w:eastAsia="Aptos" w:hAnsi="Aptos" w:cs="Aptos"/>
          <w:color w:val="000000" w:themeColor="text1"/>
        </w:rPr>
        <w:t>5</w:t>
      </w:r>
      <w:r w:rsidR="00DF5D06" w:rsidRPr="00DF5D06">
        <w:rPr>
          <w:rFonts w:ascii="Aptos" w:eastAsia="Aptos" w:hAnsi="Aptos" w:cs="Aptos"/>
          <w:color w:val="000000" w:themeColor="text1"/>
        </w:rPr>
        <w:t>36</w:t>
      </w:r>
      <w:r w:rsidRPr="00204A41">
        <w:rPr>
          <w:rFonts w:ascii="Aptos" w:eastAsia="Aptos" w:hAnsi="Aptos" w:cs="Aptos"/>
          <w:color w:val="000000" w:themeColor="text1"/>
        </w:rPr>
        <w:t>.</w:t>
      </w:r>
      <w:r w:rsidR="00184624">
        <w:rPr>
          <w:rFonts w:ascii="Aptos" w:eastAsia="Aptos" w:hAnsi="Aptos" w:cs="Aptos"/>
          <w:color w:val="000000" w:themeColor="text1"/>
        </w:rPr>
        <w:t xml:space="preserve"> </w:t>
      </w:r>
      <w:r w:rsidR="00184624" w:rsidRPr="00433439">
        <w:rPr>
          <w:rFonts w:ascii="Aptos" w:eastAsia="Aptos" w:hAnsi="Aptos" w:cs="Aptos"/>
          <w:color w:val="000000" w:themeColor="text1"/>
        </w:rPr>
        <w:t xml:space="preserve">There will also be </w:t>
      </w:r>
      <w:r w:rsidR="005D1284" w:rsidRPr="00433439">
        <w:rPr>
          <w:rFonts w:ascii="Aptos" w:eastAsia="Aptos" w:hAnsi="Aptos" w:cs="Aptos"/>
          <w:color w:val="000000" w:themeColor="text1"/>
        </w:rPr>
        <w:t>significant indirect savings</w:t>
      </w:r>
      <w:r w:rsidR="005D1284">
        <w:rPr>
          <w:rFonts w:ascii="Aptos" w:eastAsia="Aptos" w:hAnsi="Aptos" w:cs="Aptos"/>
          <w:color w:val="000000" w:themeColor="text1"/>
        </w:rPr>
        <w:t>.</w:t>
      </w:r>
      <w:r w:rsidRPr="00204A41">
        <w:rPr>
          <w:rFonts w:ascii="Aptos" w:eastAsia="Aptos" w:hAnsi="Aptos" w:cs="Aptos"/>
          <w:color w:val="000000" w:themeColor="text1"/>
        </w:rPr>
        <w:t xml:space="preserve"> </w:t>
      </w:r>
      <w:r>
        <w:rPr>
          <w:rFonts w:ascii="Aptos" w:eastAsia="Aptos" w:hAnsi="Aptos" w:cs="Aptos"/>
          <w:color w:val="000000" w:themeColor="text1"/>
        </w:rPr>
        <w:t xml:space="preserve">Recommended changes are discussed through this chapter. A summary of all recommended changes is at </w:t>
      </w:r>
      <w:r w:rsidRPr="00DF5D06">
        <w:rPr>
          <w:rFonts w:ascii="Aptos" w:eastAsia="Aptos" w:hAnsi="Aptos" w:cs="Aptos"/>
          <w:color w:val="000000" w:themeColor="text1"/>
        </w:rPr>
        <w:t xml:space="preserve">Appendix </w:t>
      </w:r>
      <w:r w:rsidR="00B57389" w:rsidRPr="00DF5D06">
        <w:rPr>
          <w:rFonts w:ascii="Aptos" w:eastAsia="Aptos" w:hAnsi="Aptos" w:cs="Aptos"/>
          <w:color w:val="000000" w:themeColor="text1"/>
        </w:rPr>
        <w:t>C</w:t>
      </w:r>
      <w:r>
        <w:rPr>
          <w:rFonts w:ascii="Aptos" w:eastAsia="Aptos" w:hAnsi="Aptos" w:cs="Aptos"/>
          <w:color w:val="000000" w:themeColor="text1"/>
        </w:rPr>
        <w:t>.</w:t>
      </w:r>
    </w:p>
    <w:p w14:paraId="283F340D" w14:textId="35537FE4" w:rsidR="0095201D" w:rsidRPr="004340C8" w:rsidRDefault="0095201D" w:rsidP="003723E5">
      <w:pPr>
        <w:pStyle w:val="Heading3"/>
        <w:spacing w:before="0"/>
        <w:rPr>
          <w:rFonts w:ascii="Aptos" w:eastAsia="Aptos" w:hAnsi="Aptos" w:cs="Aptos"/>
          <w:b w:val="0"/>
          <w:color w:val="000000" w:themeColor="text1"/>
        </w:rPr>
      </w:pPr>
      <w:r w:rsidRPr="0044167F">
        <w:lastRenderedPageBreak/>
        <w:t>Regulatory</w:t>
      </w:r>
      <w:r w:rsidRPr="004340C8">
        <w:rPr>
          <w:rFonts w:eastAsia="Aptos"/>
        </w:rPr>
        <w:t xml:space="preserve"> system reform</w:t>
      </w:r>
    </w:p>
    <w:p w14:paraId="065FC064" w14:textId="665DA88F" w:rsidR="00775CC9" w:rsidRDefault="00775CC9" w:rsidP="00F81E1D">
      <w:r w:rsidRPr="008D2A5F">
        <w:t>Victoria’s regulatory system is highly fragmented</w:t>
      </w:r>
      <w:r w:rsidR="008F1FC1" w:rsidRPr="008D2A5F">
        <w:t xml:space="preserve">, with </w:t>
      </w:r>
      <w:r w:rsidR="00183F51" w:rsidRPr="008D2A5F">
        <w:t xml:space="preserve">more than 30 standalone regulators </w:t>
      </w:r>
      <w:r w:rsidR="00445D9C" w:rsidRPr="008D2A5F">
        <w:t xml:space="preserve">and </w:t>
      </w:r>
      <w:proofErr w:type="gramStart"/>
      <w:r w:rsidR="00445D9C" w:rsidRPr="008D2A5F">
        <w:t>a number of</w:t>
      </w:r>
      <w:proofErr w:type="gramEnd"/>
      <w:r w:rsidR="00445D9C" w:rsidRPr="008D2A5F">
        <w:t xml:space="preserve"> regulators embedded in departments</w:t>
      </w:r>
      <w:r w:rsidR="00166C42" w:rsidRPr="008D2A5F">
        <w:t>.</w:t>
      </w:r>
    </w:p>
    <w:p w14:paraId="1BBCAD44" w14:textId="67CC1620" w:rsidR="0095201D" w:rsidRPr="00674D72" w:rsidRDefault="0095201D" w:rsidP="00F81E1D">
      <w:pPr>
        <w:rPr>
          <w:lang w:val="en-US"/>
        </w:rPr>
      </w:pPr>
      <w:r w:rsidRPr="00FE2FEE">
        <w:t>Using good regulatory principles and building</w:t>
      </w:r>
      <w:r w:rsidRPr="00FE2FEE">
        <w:rPr>
          <w:lang w:val="en-US"/>
        </w:rPr>
        <w:t xml:space="preserve"> on work committed in the government’s 2024 Economic Growth Statement, the Review recommends streamlining the regulatory system to a smaller number of </w:t>
      </w:r>
      <w:r w:rsidRPr="00674D72">
        <w:rPr>
          <w:lang w:val="en-US"/>
        </w:rPr>
        <w:t xml:space="preserve">larger, focused regulators </w:t>
      </w:r>
      <w:r w:rsidR="00F6687C">
        <w:rPr>
          <w:lang w:val="en-US"/>
        </w:rPr>
        <w:t xml:space="preserve">that </w:t>
      </w:r>
      <w:r w:rsidRPr="00674D72">
        <w:rPr>
          <w:lang w:val="en-US"/>
        </w:rPr>
        <w:t xml:space="preserve">could address common issues and concentrate on core regulatory activities. For regulators assessed by the </w:t>
      </w:r>
      <w:proofErr w:type="gramStart"/>
      <w:r w:rsidRPr="00674D72">
        <w:rPr>
          <w:lang w:val="en-US"/>
        </w:rPr>
        <w:t>Review as</w:t>
      </w:r>
      <w:proofErr w:type="gramEnd"/>
      <w:r w:rsidRPr="00674D72">
        <w:rPr>
          <w:lang w:val="en-US"/>
        </w:rPr>
        <w:t xml:space="preserve"> showing opportunity for change, streamlining would reduce the current set of regulators to 12 (Figure </w:t>
      </w:r>
      <w:r w:rsidRPr="00DF5D06">
        <w:rPr>
          <w:lang w:val="en-US"/>
        </w:rPr>
        <w:t>6.3</w:t>
      </w:r>
      <w:r w:rsidRPr="00674D72">
        <w:rPr>
          <w:lang w:val="en-US"/>
        </w:rPr>
        <w:t xml:space="preserve">). </w:t>
      </w:r>
    </w:p>
    <w:p w14:paraId="304FDBAD" w14:textId="77777777" w:rsidR="0095201D" w:rsidRPr="00FE2FEE" w:rsidRDefault="0095201D" w:rsidP="00DA25B2">
      <w:r w:rsidRPr="00674D72">
        <w:t>Regulators should be big and broad enough to have operational and functional efficiencies,</w:t>
      </w:r>
      <w:r>
        <w:t xml:space="preserve"> and</w:t>
      </w:r>
      <w:r w:rsidRPr="00674D72">
        <w:t xml:space="preserve"> to guard against</w:t>
      </w:r>
      <w:r w:rsidRPr="00FE2FEE">
        <w:t xml:space="preserve"> the risk of industry capture that tends to occur with narrowly focused regulators. However, too big and regulators lose efficiency, subject matter expertise and focus on the sectors they regulate, and knowledge of the sector dynamics and the priority risks of harm. </w:t>
      </w:r>
    </w:p>
    <w:p w14:paraId="02AB4AC0" w14:textId="542A0C84" w:rsidR="0095201D" w:rsidRDefault="0095201D" w:rsidP="0095201D">
      <w:pPr>
        <w:rPr>
          <w:rFonts w:eastAsia="Aptos" w:cs="Aptos"/>
          <w:color w:val="000000" w:themeColor="text1"/>
          <w:szCs w:val="22"/>
          <w:lang w:val="en-US"/>
        </w:rPr>
      </w:pPr>
      <w:r w:rsidRPr="00C04303">
        <w:rPr>
          <w:rFonts w:ascii="Aptos" w:eastAsia="Aptos" w:hAnsi="Aptos" w:cs="Aptos"/>
          <w:color w:val="000000" w:themeColor="text1"/>
          <w:lang w:val="en-US"/>
        </w:rPr>
        <w:t>This</w:t>
      </w:r>
      <w:r>
        <w:rPr>
          <w:rFonts w:ascii="Aptos" w:eastAsia="Aptos" w:hAnsi="Aptos" w:cs="Aptos"/>
          <w:color w:val="000000" w:themeColor="text1"/>
          <w:lang w:val="en-US"/>
        </w:rPr>
        <w:t xml:space="preserve"> more streamlined regulatory system</w:t>
      </w:r>
      <w:r w:rsidRPr="00C04303">
        <w:rPr>
          <w:rFonts w:ascii="Aptos" w:eastAsia="Aptos" w:hAnsi="Aptos" w:cs="Aptos"/>
          <w:color w:val="000000" w:themeColor="text1"/>
          <w:lang w:val="en-US"/>
        </w:rPr>
        <w:t xml:space="preserve"> would </w:t>
      </w:r>
      <w:r>
        <w:rPr>
          <w:rFonts w:ascii="Aptos" w:eastAsia="Aptos" w:hAnsi="Aptos" w:cs="Aptos"/>
          <w:color w:val="000000" w:themeColor="text1"/>
          <w:lang w:val="en-US"/>
        </w:rPr>
        <w:t>remove duplication of effort, increase the use of shared services, and</w:t>
      </w:r>
      <w:r w:rsidR="00457703">
        <w:rPr>
          <w:rFonts w:ascii="Aptos" w:eastAsia="Aptos" w:hAnsi="Aptos" w:cs="Aptos"/>
          <w:color w:val="000000" w:themeColor="text1"/>
          <w:lang w:val="en-US"/>
        </w:rPr>
        <w:t> </w:t>
      </w:r>
      <w:r w:rsidRPr="00C04303">
        <w:rPr>
          <w:rFonts w:eastAsia="Aptos" w:cs="Aptos"/>
          <w:color w:val="000000" w:themeColor="text1"/>
          <w:szCs w:val="22"/>
          <w:lang w:val="en-US"/>
        </w:rPr>
        <w:t>reduce red tape for business</w:t>
      </w:r>
      <w:r>
        <w:rPr>
          <w:rFonts w:eastAsia="Aptos" w:cs="Aptos"/>
          <w:color w:val="000000" w:themeColor="text1"/>
          <w:szCs w:val="22"/>
          <w:lang w:val="en-US"/>
        </w:rPr>
        <w:t xml:space="preserve">. </w:t>
      </w:r>
    </w:p>
    <w:p w14:paraId="005F657F" w14:textId="4D74C14C" w:rsidR="0095201D" w:rsidRPr="00A96BEE" w:rsidRDefault="0095201D" w:rsidP="00DA25B2">
      <w:r>
        <w:t xml:space="preserve">Along with a consolidation of regulators, there is greater opportunity for the use of shared platforms for the delivery of repeatable, straightforward regulatory services. Chapter </w:t>
      </w:r>
      <w:r w:rsidRPr="0099512D">
        <w:t>7</w:t>
      </w:r>
      <w:r>
        <w:t xml:space="preserve"> discusses this in more detail and the important role of DGS to build</w:t>
      </w:r>
      <w:r w:rsidR="00DA25B2">
        <w:t> </w:t>
      </w:r>
      <w:r>
        <w:t>these platforms.</w:t>
      </w:r>
    </w:p>
    <w:p w14:paraId="66C56006" w14:textId="3E93F674" w:rsidR="0095201D" w:rsidRPr="00D468F2" w:rsidRDefault="0095201D" w:rsidP="0095201D">
      <w:pPr>
        <w:rPr>
          <w:rFonts w:eastAsia="Aptos" w:cs="Aptos"/>
          <w:color w:val="000000" w:themeColor="text1"/>
          <w:szCs w:val="22"/>
          <w:lang w:val="en-US"/>
        </w:rPr>
      </w:pPr>
      <w:r w:rsidRPr="009B186F">
        <w:rPr>
          <w:rFonts w:eastAsia="Aptos" w:cs="Aptos"/>
          <w:color w:val="000000" w:themeColor="text1"/>
          <w:szCs w:val="22"/>
          <w:lang w:val="en-US"/>
        </w:rPr>
        <w:t xml:space="preserve">The </w:t>
      </w:r>
      <w:r>
        <w:rPr>
          <w:rFonts w:ascii="Aptos" w:eastAsia="Aptos" w:hAnsi="Aptos" w:cs="Aptos"/>
          <w:color w:val="000000" w:themeColor="text1"/>
          <w:lang w:val="en-US"/>
        </w:rPr>
        <w:t>estimated</w:t>
      </w:r>
      <w:r w:rsidRPr="0085031C">
        <w:rPr>
          <w:rFonts w:ascii="Aptos" w:eastAsia="Aptos" w:hAnsi="Aptos" w:cs="Aptos"/>
          <w:color w:val="000000" w:themeColor="text1"/>
          <w:lang w:val="en-US"/>
        </w:rPr>
        <w:t xml:space="preserve"> </w:t>
      </w:r>
      <w:r w:rsidRPr="009B186F">
        <w:rPr>
          <w:rFonts w:eastAsia="Aptos" w:cs="Aptos"/>
          <w:color w:val="000000" w:themeColor="text1"/>
          <w:szCs w:val="22"/>
          <w:lang w:val="en-US"/>
        </w:rPr>
        <w:t xml:space="preserve">net </w:t>
      </w:r>
      <w:r>
        <w:rPr>
          <w:rFonts w:eastAsia="Aptos" w:cs="Aptos"/>
          <w:color w:val="000000" w:themeColor="text1"/>
          <w:szCs w:val="22"/>
          <w:lang w:val="en-US"/>
        </w:rPr>
        <w:t xml:space="preserve">direct </w:t>
      </w:r>
      <w:r w:rsidRPr="009B186F">
        <w:rPr>
          <w:rFonts w:eastAsia="Aptos" w:cs="Aptos"/>
          <w:color w:val="000000" w:themeColor="text1"/>
          <w:szCs w:val="22"/>
          <w:lang w:val="en-US"/>
        </w:rPr>
        <w:t xml:space="preserve">savings for </w:t>
      </w:r>
      <w:bookmarkStart w:id="81" w:name="_Int_w2rA3Phd"/>
      <w:r w:rsidRPr="009B186F">
        <w:rPr>
          <w:rFonts w:eastAsia="Aptos" w:cs="Aptos"/>
          <w:color w:val="000000" w:themeColor="text1"/>
          <w:szCs w:val="22"/>
          <w:lang w:val="en-US"/>
        </w:rPr>
        <w:t>government</w:t>
      </w:r>
      <w:bookmarkEnd w:id="81"/>
      <w:r w:rsidRPr="009B186F">
        <w:rPr>
          <w:rFonts w:eastAsia="Aptos" w:cs="Aptos"/>
          <w:color w:val="000000" w:themeColor="text1"/>
          <w:szCs w:val="22"/>
          <w:lang w:val="en-US"/>
        </w:rPr>
        <w:t xml:space="preserve"> through </w:t>
      </w:r>
      <w:r>
        <w:rPr>
          <w:rFonts w:eastAsia="Aptos" w:cs="Aptos"/>
          <w:color w:val="000000" w:themeColor="text1"/>
          <w:szCs w:val="22"/>
          <w:lang w:val="en-US"/>
        </w:rPr>
        <w:t xml:space="preserve">consolidating </w:t>
      </w:r>
      <w:r>
        <w:rPr>
          <w:rFonts w:eastAsia="Aptos" w:cs="Aptos"/>
          <w:color w:val="000000" w:themeColor="text1"/>
          <w:szCs w:val="22"/>
          <w:lang w:val="en-US"/>
        </w:rPr>
        <w:t xml:space="preserve">regulators </w:t>
      </w:r>
      <w:r w:rsidRPr="009B186F">
        <w:rPr>
          <w:rFonts w:eastAsia="Aptos" w:cs="Aptos"/>
          <w:color w:val="000000" w:themeColor="text1"/>
          <w:szCs w:val="22"/>
          <w:lang w:val="en-US"/>
        </w:rPr>
        <w:t xml:space="preserve">is </w:t>
      </w:r>
      <w:r w:rsidRPr="0099512D">
        <w:rPr>
          <w:rFonts w:eastAsia="Aptos" w:cs="Aptos"/>
          <w:color w:val="000000" w:themeColor="text1"/>
          <w:szCs w:val="22"/>
          <w:lang w:val="en-US"/>
        </w:rPr>
        <w:t xml:space="preserve">$40 </w:t>
      </w:r>
      <w:r w:rsidR="004D4C43">
        <w:rPr>
          <w:rFonts w:eastAsia="Aptos" w:cs="Aptos"/>
          <w:color w:val="000000" w:themeColor="text1"/>
          <w:szCs w:val="22"/>
          <w:lang w:val="en-US"/>
        </w:rPr>
        <w:t xml:space="preserve">million </w:t>
      </w:r>
      <w:r w:rsidRPr="0099512D">
        <w:rPr>
          <w:rFonts w:eastAsia="Aptos" w:cs="Aptos"/>
          <w:color w:val="000000" w:themeColor="text1"/>
          <w:szCs w:val="22"/>
          <w:lang w:val="en-US"/>
        </w:rPr>
        <w:t>to $50</w:t>
      </w:r>
      <w:r w:rsidRPr="009B186F">
        <w:rPr>
          <w:rFonts w:eastAsia="Aptos" w:cs="Aptos"/>
          <w:color w:val="000000" w:themeColor="text1"/>
          <w:szCs w:val="22"/>
          <w:lang w:val="en-US"/>
        </w:rPr>
        <w:t xml:space="preserve"> million over the forward estimates </w:t>
      </w:r>
      <w:r>
        <w:rPr>
          <w:rFonts w:eastAsia="Aptos" w:cs="Aptos"/>
          <w:color w:val="000000" w:themeColor="text1"/>
          <w:szCs w:val="22"/>
          <w:lang w:val="en-US"/>
        </w:rPr>
        <w:t xml:space="preserve">and around </w:t>
      </w:r>
      <w:r w:rsidRPr="0099512D">
        <w:rPr>
          <w:rFonts w:eastAsia="Aptos" w:cs="Aptos"/>
          <w:color w:val="000000" w:themeColor="text1"/>
          <w:szCs w:val="22"/>
          <w:lang w:val="en-US"/>
        </w:rPr>
        <w:t>80 FTE.</w:t>
      </w:r>
      <w:r>
        <w:rPr>
          <w:rFonts w:eastAsia="Aptos" w:cs="Aptos"/>
          <w:color w:val="000000" w:themeColor="text1"/>
          <w:szCs w:val="22"/>
          <w:lang w:val="en-US"/>
        </w:rPr>
        <w:t xml:space="preserve"> </w:t>
      </w:r>
    </w:p>
    <w:p w14:paraId="3D01C16F" w14:textId="77777777" w:rsidR="0095201D" w:rsidRDefault="0095201D" w:rsidP="0095201D">
      <w:pPr>
        <w:rPr>
          <w:rFonts w:eastAsia="Aptos" w:cs="Aptos"/>
          <w:color w:val="000000" w:themeColor="text1"/>
          <w:szCs w:val="22"/>
          <w:lang w:val="en-US"/>
        </w:rPr>
      </w:pPr>
      <w:r>
        <w:rPr>
          <w:rFonts w:eastAsia="Aptos" w:cs="Aptos"/>
          <w:color w:val="000000" w:themeColor="text1"/>
          <w:szCs w:val="22"/>
          <w:lang w:val="en-US"/>
        </w:rPr>
        <w:t>Recommended changes include:</w:t>
      </w:r>
    </w:p>
    <w:p w14:paraId="07668131" w14:textId="77777777" w:rsidR="0095201D" w:rsidRPr="00D5658C" w:rsidRDefault="0095201D" w:rsidP="00D207B3">
      <w:pPr>
        <w:pStyle w:val="ListParagraph"/>
        <w:numPr>
          <w:ilvl w:val="0"/>
          <w:numId w:val="34"/>
        </w:numPr>
        <w:ind w:left="714" w:hanging="357"/>
        <w:contextualSpacing w:val="0"/>
        <w:rPr>
          <w:rFonts w:eastAsia="Aptos" w:cs="Aptos"/>
          <w:color w:val="000000" w:themeColor="text1"/>
          <w:szCs w:val="22"/>
        </w:rPr>
      </w:pPr>
      <w:r w:rsidRPr="00E27E76">
        <w:rPr>
          <w:rFonts w:eastAsia="Aptos" w:cs="Aptos"/>
          <w:b/>
          <w:bCs/>
          <w:color w:val="000000" w:themeColor="text1"/>
          <w:szCs w:val="22"/>
        </w:rPr>
        <w:t>C</w:t>
      </w:r>
      <w:r w:rsidRPr="00D01CA7">
        <w:rPr>
          <w:rFonts w:eastAsia="Aptos" w:cs="Aptos"/>
          <w:b/>
          <w:bCs/>
          <w:color w:val="000000" w:themeColor="text1"/>
          <w:szCs w:val="22"/>
        </w:rPr>
        <w:t>reate a Consumer</w:t>
      </w:r>
      <w:r w:rsidRPr="005500A9">
        <w:rPr>
          <w:rFonts w:eastAsia="Aptos" w:cs="Aptos"/>
          <w:b/>
          <w:bCs/>
          <w:color w:val="000000" w:themeColor="text1"/>
          <w:szCs w:val="22"/>
        </w:rPr>
        <w:t xml:space="preserve"> Protection Regulator</w:t>
      </w:r>
      <w:r w:rsidRPr="00FD69CE">
        <w:rPr>
          <w:rFonts w:eastAsia="Aptos" w:cs="Aptos"/>
          <w:color w:val="000000" w:themeColor="text1"/>
          <w:szCs w:val="22"/>
        </w:rPr>
        <w:t>.</w:t>
      </w:r>
      <w:r>
        <w:rPr>
          <w:rFonts w:eastAsia="Times New Roman" w:cs="Arial"/>
          <w:i/>
          <w:iCs/>
          <w:color w:val="000000"/>
          <w:kern w:val="0"/>
          <w:position w:val="1"/>
          <w:szCs w:val="22"/>
          <w:lang w:val="en-US" w:eastAsia="en-AU"/>
          <w14:ligatures w14:val="none"/>
        </w:rPr>
        <w:t xml:space="preserve"> </w:t>
      </w:r>
      <w:r w:rsidRPr="0003330B">
        <w:rPr>
          <w:rFonts w:eastAsia="Times New Roman" w:cs="Arial"/>
          <w:color w:val="000000"/>
          <w:kern w:val="0"/>
          <w:position w:val="1"/>
          <w:szCs w:val="22"/>
          <w:lang w:val="en-US" w:eastAsia="en-AU"/>
          <w14:ligatures w14:val="none"/>
        </w:rPr>
        <w:t>This new</w:t>
      </w:r>
      <w:r>
        <w:rPr>
          <w:rFonts w:eastAsia="Times New Roman" w:cs="Arial"/>
          <w:color w:val="000000"/>
          <w:kern w:val="0"/>
          <w:position w:val="1"/>
          <w:szCs w:val="22"/>
          <w:lang w:val="en-US" w:eastAsia="en-AU"/>
          <w14:ligatures w14:val="none"/>
        </w:rPr>
        <w:t>, standalone</w:t>
      </w:r>
      <w:r w:rsidRPr="0003330B">
        <w:rPr>
          <w:rFonts w:eastAsia="Times New Roman" w:cs="Arial"/>
          <w:color w:val="000000"/>
          <w:kern w:val="0"/>
          <w:position w:val="1"/>
          <w:szCs w:val="22"/>
          <w:lang w:val="en-US" w:eastAsia="en-AU"/>
          <w14:ligatures w14:val="none"/>
        </w:rPr>
        <w:t xml:space="preserve"> entity would become the lead regulator for consumer protection, a</w:t>
      </w:r>
      <w:r>
        <w:rPr>
          <w:rFonts w:eastAsia="Times New Roman" w:cs="Arial"/>
          <w:color w:val="000000"/>
          <w:kern w:val="0"/>
          <w:position w:val="1"/>
          <w:szCs w:val="22"/>
          <w:lang w:val="en-US" w:eastAsia="en-AU"/>
          <w14:ligatures w14:val="none"/>
        </w:rPr>
        <w:t>nd a significant</w:t>
      </w:r>
      <w:r w:rsidRPr="0003330B">
        <w:rPr>
          <w:rFonts w:eastAsia="Times New Roman" w:cs="Arial"/>
          <w:color w:val="000000"/>
          <w:kern w:val="0"/>
          <w:position w:val="1"/>
          <w:szCs w:val="22"/>
          <w:lang w:val="en-US" w:eastAsia="en-AU"/>
          <w14:ligatures w14:val="none"/>
        </w:rPr>
        <w:t xml:space="preserve"> propo</w:t>
      </w:r>
      <w:r w:rsidRPr="005500A9">
        <w:rPr>
          <w:rFonts w:eastAsia="Times New Roman" w:cs="Arial"/>
          <w:color w:val="000000"/>
          <w:kern w:val="0"/>
          <w:position w:val="1"/>
          <w:szCs w:val="22"/>
          <w:lang w:val="en-US" w:eastAsia="en-AU"/>
          <w14:ligatures w14:val="none"/>
        </w:rPr>
        <w:t>rtion of occupational and business</w:t>
      </w:r>
      <w:r>
        <w:rPr>
          <w:rFonts w:eastAsia="Times New Roman" w:cs="Arial"/>
          <w:color w:val="000000"/>
          <w:kern w:val="0"/>
          <w:position w:val="1"/>
          <w:szCs w:val="22"/>
          <w:lang w:val="en-US" w:eastAsia="en-AU"/>
          <w14:ligatures w14:val="none"/>
        </w:rPr>
        <w:t xml:space="preserve"> </w:t>
      </w:r>
      <w:r w:rsidRPr="005500A9">
        <w:rPr>
          <w:rFonts w:eastAsia="Times New Roman" w:cs="Arial"/>
          <w:color w:val="000000"/>
          <w:kern w:val="0"/>
          <w:position w:val="1"/>
          <w:szCs w:val="22"/>
          <w:lang w:val="en-US" w:eastAsia="en-AU"/>
          <w14:ligatures w14:val="none"/>
        </w:rPr>
        <w:t xml:space="preserve">licensing activities. This would reduce </w:t>
      </w:r>
      <w:r>
        <w:rPr>
          <w:rFonts w:eastAsia="Times New Roman" w:cs="Arial"/>
          <w:color w:val="000000"/>
          <w:kern w:val="0"/>
          <w:position w:val="1"/>
          <w:szCs w:val="22"/>
          <w:lang w:val="en-US" w:eastAsia="en-AU"/>
          <w14:ligatures w14:val="none"/>
        </w:rPr>
        <w:t>overlaps</w:t>
      </w:r>
      <w:r w:rsidRPr="005500A9">
        <w:rPr>
          <w:rFonts w:eastAsia="Times New Roman" w:cs="Arial"/>
          <w:color w:val="000000"/>
          <w:kern w:val="0"/>
          <w:position w:val="1"/>
          <w:szCs w:val="22"/>
          <w:lang w:val="en-US" w:eastAsia="en-AU"/>
          <w14:ligatures w14:val="none"/>
        </w:rPr>
        <w:t xml:space="preserve"> across regulatory</w:t>
      </w:r>
      <w:r>
        <w:rPr>
          <w:rFonts w:eastAsia="Times New Roman" w:cs="Arial"/>
          <w:color w:val="000000"/>
          <w:kern w:val="0"/>
          <w:position w:val="1"/>
          <w:szCs w:val="22"/>
          <w:lang w:val="en-US" w:eastAsia="en-AU"/>
          <w14:ligatures w14:val="none"/>
        </w:rPr>
        <w:t xml:space="preserve"> </w:t>
      </w:r>
      <w:r w:rsidRPr="005500A9">
        <w:rPr>
          <w:rFonts w:eastAsia="Times New Roman" w:cs="Arial"/>
          <w:color w:val="000000"/>
          <w:kern w:val="0"/>
          <w:position w:val="1"/>
          <w:szCs w:val="22"/>
          <w:lang w:val="en-US" w:eastAsia="en-AU"/>
          <w14:ligatures w14:val="none"/>
        </w:rPr>
        <w:t>bodies and strengthen the role of government in setting and enforcing clear rules for</w:t>
      </w:r>
      <w:r>
        <w:rPr>
          <w:rFonts w:eastAsia="Times New Roman" w:cs="Arial"/>
          <w:color w:val="000000"/>
          <w:kern w:val="0"/>
          <w:position w:val="1"/>
          <w:szCs w:val="22"/>
          <w:lang w:val="en-US" w:eastAsia="en-AU"/>
          <w14:ligatures w14:val="none"/>
        </w:rPr>
        <w:t xml:space="preserve"> </w:t>
      </w:r>
      <w:r w:rsidRPr="005500A9">
        <w:rPr>
          <w:rFonts w:eastAsia="Times New Roman" w:cs="Arial"/>
          <w:color w:val="000000"/>
          <w:kern w:val="0"/>
          <w:position w:val="1"/>
          <w:szCs w:val="22"/>
          <w:lang w:val="en-US" w:eastAsia="en-AU"/>
          <w14:ligatures w14:val="none"/>
        </w:rPr>
        <w:t>market conduct related to consumers or businesses. </w:t>
      </w:r>
      <w:r w:rsidRPr="005500A9">
        <w:rPr>
          <w:rFonts w:ascii="Arial" w:eastAsia="Times New Roman" w:hAnsi="Arial" w:cs="Arial"/>
          <w:kern w:val="0"/>
          <w:szCs w:val="22"/>
          <w:lang w:val="en-US" w:eastAsia="en-AU"/>
          <w14:ligatures w14:val="none"/>
        </w:rPr>
        <w:t>​</w:t>
      </w:r>
      <w:r w:rsidRPr="005500A9">
        <w:rPr>
          <w:rFonts w:eastAsia="Times New Roman" w:cs="Arial"/>
          <w:color w:val="000000"/>
          <w:kern w:val="0"/>
          <w:position w:val="1"/>
          <w:szCs w:val="22"/>
          <w:lang w:val="en-US" w:eastAsia="en-AU"/>
          <w14:ligatures w14:val="none"/>
        </w:rPr>
        <w:t>The</w:t>
      </w:r>
      <w:r>
        <w:rPr>
          <w:rFonts w:eastAsia="Times New Roman" w:cs="Arial"/>
          <w:color w:val="000000"/>
          <w:kern w:val="0"/>
          <w:position w:val="1"/>
          <w:szCs w:val="22"/>
          <w:lang w:val="en-US" w:eastAsia="en-AU"/>
          <w14:ligatures w14:val="none"/>
        </w:rPr>
        <w:t xml:space="preserve"> </w:t>
      </w:r>
      <w:r w:rsidRPr="005500A9">
        <w:rPr>
          <w:rFonts w:eastAsia="Times New Roman" w:cs="Arial"/>
          <w:color w:val="000000"/>
          <w:kern w:val="0"/>
          <w:position w:val="1"/>
          <w:szCs w:val="22"/>
          <w:lang w:val="en-US" w:eastAsia="en-AU"/>
          <w14:ligatures w14:val="none"/>
        </w:rPr>
        <w:t>entity would streamline process</w:t>
      </w:r>
      <w:r>
        <w:rPr>
          <w:rFonts w:eastAsia="Times New Roman" w:cs="Arial"/>
          <w:color w:val="000000"/>
          <w:kern w:val="0"/>
          <w:position w:val="1"/>
          <w:szCs w:val="22"/>
          <w:lang w:val="en-US" w:eastAsia="en-AU"/>
          <w14:ligatures w14:val="none"/>
        </w:rPr>
        <w:t>es</w:t>
      </w:r>
      <w:r w:rsidRPr="005500A9">
        <w:rPr>
          <w:rFonts w:eastAsia="Times New Roman" w:cs="Arial"/>
          <w:color w:val="000000"/>
          <w:kern w:val="0"/>
          <w:position w:val="1"/>
          <w:szCs w:val="22"/>
          <w:lang w:val="en-US" w:eastAsia="en-AU"/>
          <w14:ligatures w14:val="none"/>
        </w:rPr>
        <w:t xml:space="preserve"> for businesses by providing a single</w:t>
      </w:r>
      <w:r>
        <w:rPr>
          <w:rFonts w:eastAsia="Times New Roman" w:cs="Arial"/>
          <w:color w:val="000000"/>
          <w:kern w:val="0"/>
          <w:position w:val="1"/>
          <w:szCs w:val="22"/>
          <w:lang w:val="en-US" w:eastAsia="en-AU"/>
          <w14:ligatures w14:val="none"/>
        </w:rPr>
        <w:t xml:space="preserve"> </w:t>
      </w:r>
      <w:r w:rsidRPr="005500A9">
        <w:rPr>
          <w:rFonts w:eastAsia="Times New Roman" w:cs="Arial"/>
          <w:color w:val="000000"/>
          <w:kern w:val="0"/>
          <w:position w:val="1"/>
          <w:szCs w:val="22"/>
          <w:lang w:val="en-US" w:eastAsia="en-AU"/>
          <w14:ligatures w14:val="none"/>
        </w:rPr>
        <w:t>regulator for many </w:t>
      </w:r>
      <w:proofErr w:type="spellStart"/>
      <w:r w:rsidRPr="005500A9">
        <w:rPr>
          <w:rFonts w:eastAsia="Times New Roman" w:cs="Arial"/>
          <w:color w:val="000000"/>
          <w:kern w:val="0"/>
          <w:position w:val="1"/>
          <w:szCs w:val="22"/>
          <w:lang w:val="en-US" w:eastAsia="en-AU"/>
          <w14:ligatures w14:val="none"/>
        </w:rPr>
        <w:t>licences</w:t>
      </w:r>
      <w:proofErr w:type="spellEnd"/>
      <w:r w:rsidRPr="005500A9">
        <w:rPr>
          <w:rFonts w:eastAsia="Times New Roman" w:cs="Arial"/>
          <w:color w:val="000000"/>
          <w:kern w:val="0"/>
          <w:position w:val="1"/>
          <w:szCs w:val="22"/>
          <w:lang w:val="en-US" w:eastAsia="en-AU"/>
          <w14:ligatures w14:val="none"/>
        </w:rPr>
        <w:t> and renewals. For consumers, a larger consumer protection</w:t>
      </w:r>
      <w:r>
        <w:rPr>
          <w:rFonts w:eastAsia="Times New Roman" w:cs="Arial"/>
          <w:color w:val="000000"/>
          <w:kern w:val="0"/>
          <w:position w:val="1"/>
          <w:szCs w:val="22"/>
          <w:lang w:val="en-US" w:eastAsia="en-AU"/>
          <w14:ligatures w14:val="none"/>
        </w:rPr>
        <w:t xml:space="preserve"> </w:t>
      </w:r>
      <w:r w:rsidRPr="005500A9">
        <w:rPr>
          <w:rFonts w:eastAsia="Times New Roman" w:cs="Arial"/>
          <w:color w:val="000000"/>
          <w:kern w:val="0"/>
          <w:position w:val="1"/>
          <w:szCs w:val="22"/>
          <w:lang w:val="en-US" w:eastAsia="en-AU"/>
          <w14:ligatures w14:val="none"/>
        </w:rPr>
        <w:t xml:space="preserve">focused regulator can help address unfair practices by </w:t>
      </w:r>
      <w:r w:rsidRPr="00D5658C">
        <w:rPr>
          <w:rFonts w:eastAsia="Times New Roman" w:cs="Arial"/>
          <w:color w:val="000000"/>
          <w:kern w:val="0"/>
          <w:position w:val="1"/>
          <w:szCs w:val="22"/>
          <w:lang w:val="en-US" w:eastAsia="en-AU"/>
          <w14:ligatures w14:val="none"/>
        </w:rPr>
        <w:t>connecting data and enforcement across sectors. </w:t>
      </w:r>
      <w:r w:rsidRPr="00D5658C">
        <w:rPr>
          <w:rFonts w:ascii="Arial" w:eastAsia="Times New Roman" w:hAnsi="Arial" w:cs="Arial"/>
          <w:kern w:val="0"/>
          <w:szCs w:val="22"/>
          <w:lang w:val="en-US" w:eastAsia="en-AU"/>
          <w14:ligatures w14:val="none"/>
        </w:rPr>
        <w:t>​</w:t>
      </w:r>
    </w:p>
    <w:p w14:paraId="0276DB51" w14:textId="4E6751A8" w:rsidR="0095201D" w:rsidRPr="000005C6" w:rsidRDefault="0095201D" w:rsidP="0095201D">
      <w:pPr>
        <w:pStyle w:val="ListParagraph"/>
        <w:ind w:left="714"/>
        <w:contextualSpacing w:val="0"/>
        <w:rPr>
          <w:rFonts w:eastAsia="Aptos" w:cs="Aptos"/>
          <w:color w:val="000000" w:themeColor="text1"/>
          <w:szCs w:val="22"/>
        </w:rPr>
      </w:pPr>
      <w:r w:rsidRPr="0099512D">
        <w:rPr>
          <w:rFonts w:eastAsia="Aptos" w:cs="Aptos"/>
          <w:color w:val="000000" w:themeColor="text1"/>
          <w:szCs w:val="22"/>
          <w:lang w:val="en-US"/>
        </w:rPr>
        <w:t>A new Consumer Protection Regulator entity will clarify accountabilities for regulatory activities</w:t>
      </w:r>
      <w:r w:rsidR="00B07476" w:rsidRPr="0099512D">
        <w:rPr>
          <w:rFonts w:eastAsia="Aptos" w:cs="Aptos"/>
          <w:color w:val="000000" w:themeColor="text1"/>
          <w:szCs w:val="22"/>
          <w:lang w:val="en-US"/>
        </w:rPr>
        <w:t>.</w:t>
      </w:r>
      <w:r w:rsidR="00BA690F" w:rsidRPr="0099512D">
        <w:rPr>
          <w:rFonts w:eastAsia="Aptos" w:cs="Aptos"/>
          <w:color w:val="000000" w:themeColor="text1"/>
          <w:szCs w:val="22"/>
          <w:lang w:val="en-US"/>
        </w:rPr>
        <w:t xml:space="preserve"> Moving </w:t>
      </w:r>
      <w:r w:rsidR="00FC4461" w:rsidRPr="0099512D">
        <w:rPr>
          <w:rFonts w:eastAsia="Aptos" w:cs="Aptos"/>
          <w:color w:val="000000" w:themeColor="text1"/>
          <w:szCs w:val="22"/>
          <w:lang w:val="en-US"/>
        </w:rPr>
        <w:t xml:space="preserve">regulatory </w:t>
      </w:r>
      <w:r w:rsidR="002456E0" w:rsidRPr="0099512D">
        <w:rPr>
          <w:rFonts w:eastAsia="Aptos" w:cs="Aptos"/>
          <w:color w:val="000000" w:themeColor="text1"/>
          <w:szCs w:val="22"/>
          <w:lang w:val="en-US"/>
        </w:rPr>
        <w:t>responsibilities</w:t>
      </w:r>
      <w:r w:rsidR="00FC4461" w:rsidRPr="0099512D">
        <w:rPr>
          <w:rFonts w:eastAsia="Aptos" w:cs="Aptos"/>
          <w:color w:val="000000" w:themeColor="text1"/>
          <w:szCs w:val="22"/>
          <w:lang w:val="en-US"/>
        </w:rPr>
        <w:t xml:space="preserve"> out of DGS will</w:t>
      </w:r>
      <w:r w:rsidRPr="0099512D">
        <w:rPr>
          <w:rFonts w:eastAsia="Aptos" w:cs="Aptos"/>
          <w:color w:val="000000" w:themeColor="text1"/>
          <w:szCs w:val="22"/>
          <w:lang w:val="en-US"/>
        </w:rPr>
        <w:t xml:space="preserve"> also allow </w:t>
      </w:r>
      <w:r w:rsidR="00FC4461" w:rsidRPr="0099512D">
        <w:rPr>
          <w:rFonts w:eastAsia="Aptos" w:cs="Aptos"/>
          <w:color w:val="000000" w:themeColor="text1"/>
          <w:szCs w:val="22"/>
          <w:lang w:val="en-US"/>
        </w:rPr>
        <w:t>it</w:t>
      </w:r>
      <w:r w:rsidRPr="0099512D">
        <w:rPr>
          <w:rFonts w:eastAsia="Aptos" w:cs="Aptos"/>
          <w:color w:val="000000" w:themeColor="text1"/>
          <w:szCs w:val="22"/>
          <w:lang w:val="en-US"/>
        </w:rPr>
        <w:t xml:space="preserve"> to focus on delivering shared service platforms across government (Chapter 7). </w:t>
      </w:r>
      <w:r w:rsidR="008A4502" w:rsidRPr="0099512D">
        <w:rPr>
          <w:rFonts w:eastAsia="Aptos" w:cs="Aptos"/>
          <w:color w:val="000000" w:themeColor="text1"/>
          <w:szCs w:val="22"/>
          <w:lang w:val="en-US"/>
        </w:rPr>
        <w:t xml:space="preserve">The Review </w:t>
      </w:r>
      <w:r w:rsidR="000629DD">
        <w:rPr>
          <w:rFonts w:eastAsia="Aptos" w:cs="Aptos"/>
          <w:color w:val="000000" w:themeColor="text1"/>
          <w:szCs w:val="22"/>
          <w:lang w:val="en-US"/>
        </w:rPr>
        <w:t>notes that</w:t>
      </w:r>
      <w:r w:rsidR="008A4502" w:rsidRPr="0099512D">
        <w:rPr>
          <w:rFonts w:eastAsia="Aptos" w:cs="Aptos"/>
          <w:color w:val="000000" w:themeColor="text1"/>
          <w:szCs w:val="22"/>
          <w:lang w:val="en-US"/>
        </w:rPr>
        <w:t xml:space="preserve"> policy responsibility for improving the </w:t>
      </w:r>
      <w:r w:rsidR="001F77A1" w:rsidRPr="0099512D">
        <w:rPr>
          <w:rFonts w:eastAsia="Aptos" w:cs="Aptos"/>
          <w:color w:val="000000" w:themeColor="text1"/>
          <w:szCs w:val="22"/>
          <w:lang w:val="en-US"/>
        </w:rPr>
        <w:t xml:space="preserve">Working with Children Check </w:t>
      </w:r>
      <w:r w:rsidR="00112A30" w:rsidRPr="00D8551E">
        <w:rPr>
          <w:rFonts w:eastAsia="Aptos" w:cs="Aptos"/>
          <w:color w:val="000000" w:themeColor="text1"/>
          <w:szCs w:val="22"/>
          <w:lang w:val="en-US"/>
        </w:rPr>
        <w:t>remain</w:t>
      </w:r>
      <w:r w:rsidR="000629DD">
        <w:rPr>
          <w:rFonts w:eastAsia="Aptos" w:cs="Aptos"/>
          <w:color w:val="000000" w:themeColor="text1"/>
          <w:szCs w:val="22"/>
          <w:lang w:val="en-US"/>
        </w:rPr>
        <w:t>s</w:t>
      </w:r>
      <w:r w:rsidR="00860A1C" w:rsidRPr="0099512D">
        <w:rPr>
          <w:rFonts w:eastAsia="Aptos" w:cs="Aptos"/>
          <w:color w:val="000000" w:themeColor="text1"/>
          <w:szCs w:val="22"/>
          <w:lang w:val="en-US"/>
        </w:rPr>
        <w:t xml:space="preserve"> </w:t>
      </w:r>
      <w:r w:rsidR="007C193A" w:rsidRPr="0099512D">
        <w:rPr>
          <w:rFonts w:eastAsia="Aptos" w:cs="Aptos"/>
          <w:color w:val="000000" w:themeColor="text1"/>
          <w:szCs w:val="22"/>
          <w:lang w:val="en-US"/>
        </w:rPr>
        <w:t>with</w:t>
      </w:r>
      <w:r w:rsidR="00860A1C" w:rsidRPr="0099512D">
        <w:rPr>
          <w:rFonts w:eastAsia="Aptos" w:cs="Aptos"/>
          <w:color w:val="000000" w:themeColor="text1"/>
          <w:szCs w:val="22"/>
          <w:lang w:val="en-US"/>
        </w:rPr>
        <w:t xml:space="preserve"> DJCS.</w:t>
      </w:r>
    </w:p>
    <w:p w14:paraId="24C873D7" w14:textId="4BF24D57" w:rsidR="0095201D" w:rsidRPr="00370E23" w:rsidRDefault="0095201D" w:rsidP="00D207B3">
      <w:pPr>
        <w:pStyle w:val="ListParagraph"/>
        <w:numPr>
          <w:ilvl w:val="0"/>
          <w:numId w:val="34"/>
        </w:numPr>
        <w:ind w:left="714" w:hanging="357"/>
        <w:contextualSpacing w:val="0"/>
        <w:rPr>
          <w:rFonts w:eastAsia="Aptos" w:cs="Aptos"/>
          <w:color w:val="000000" w:themeColor="text1"/>
          <w:szCs w:val="22"/>
          <w:lang w:val="en-US"/>
        </w:rPr>
      </w:pPr>
      <w:r w:rsidRPr="00A33296">
        <w:rPr>
          <w:rFonts w:eastAsia="Aptos" w:cs="Aptos"/>
          <w:b/>
          <w:bCs/>
          <w:color w:val="000000" w:themeColor="text1"/>
          <w:szCs w:val="22"/>
        </w:rPr>
        <w:t>Merge Recycling Victoria functions into the Environment Protection Authority</w:t>
      </w:r>
      <w:r w:rsidR="007F5B1A">
        <w:rPr>
          <w:rFonts w:eastAsia="Aptos" w:cs="Aptos"/>
          <w:b/>
          <w:bCs/>
          <w:color w:val="000000" w:themeColor="text1"/>
          <w:szCs w:val="22"/>
        </w:rPr>
        <w:t xml:space="preserve"> (EPA)</w:t>
      </w:r>
      <w:r>
        <w:rPr>
          <w:rFonts w:eastAsia="Aptos" w:cs="Aptos"/>
          <w:color w:val="000000" w:themeColor="text1"/>
          <w:szCs w:val="22"/>
        </w:rPr>
        <w:t xml:space="preserve">. The </w:t>
      </w:r>
      <w:r w:rsidRPr="00370E23">
        <w:rPr>
          <w:rFonts w:eastAsia="Aptos" w:cs="Aptos"/>
          <w:color w:val="000000" w:themeColor="text1"/>
          <w:szCs w:val="22"/>
        </w:rPr>
        <w:t xml:space="preserve">EPA’s </w:t>
      </w:r>
      <w:r w:rsidRPr="00370E23">
        <w:rPr>
          <w:rFonts w:eastAsia="Aptos" w:cs="Aptos"/>
          <w:color w:val="000000" w:themeColor="text1"/>
          <w:szCs w:val="22"/>
          <w:lang w:val="en-US"/>
        </w:rPr>
        <w:t>functions would be expanded to cover environment protection</w:t>
      </w:r>
      <w:r w:rsidR="00A12DF6">
        <w:rPr>
          <w:rFonts w:eastAsia="Aptos" w:cs="Aptos"/>
          <w:color w:val="000000" w:themeColor="text1"/>
          <w:szCs w:val="22"/>
          <w:lang w:val="en-US"/>
        </w:rPr>
        <w:t>,</w:t>
      </w:r>
      <w:r w:rsidRPr="00370E23">
        <w:rPr>
          <w:rFonts w:eastAsia="Aptos" w:cs="Aptos"/>
          <w:color w:val="000000" w:themeColor="text1"/>
          <w:szCs w:val="22"/>
          <w:lang w:val="en-US"/>
        </w:rPr>
        <w:t xml:space="preserve"> </w:t>
      </w:r>
      <w:r w:rsidR="006729DA">
        <w:rPr>
          <w:rFonts w:eastAsia="Aptos" w:cs="Aptos"/>
          <w:color w:val="000000" w:themeColor="text1"/>
          <w:szCs w:val="22"/>
          <w:lang w:val="en-US"/>
        </w:rPr>
        <w:br w:type="column"/>
      </w:r>
      <w:r w:rsidRPr="00370E23">
        <w:rPr>
          <w:rFonts w:eastAsia="Aptos" w:cs="Aptos"/>
          <w:color w:val="000000" w:themeColor="text1"/>
          <w:szCs w:val="22"/>
          <w:lang w:val="en-US"/>
        </w:rPr>
        <w:lastRenderedPageBreak/>
        <w:t>waste</w:t>
      </w:r>
      <w:r w:rsidR="00FB7326">
        <w:rPr>
          <w:rFonts w:eastAsia="Aptos" w:cs="Aptos"/>
          <w:color w:val="000000" w:themeColor="text1"/>
          <w:szCs w:val="22"/>
          <w:lang w:val="en-US"/>
        </w:rPr>
        <w:t>,</w:t>
      </w:r>
      <w:r w:rsidRPr="00370E23">
        <w:rPr>
          <w:rFonts w:eastAsia="Aptos" w:cs="Aptos"/>
          <w:color w:val="000000" w:themeColor="text1"/>
          <w:szCs w:val="22"/>
          <w:lang w:val="en-US"/>
        </w:rPr>
        <w:t xml:space="preserve"> and recycling. This would consolidate environment-related functions into a single entity that can improve coordination, reduce fragmentation and enable greater data sharing and compliance activities.</w:t>
      </w:r>
      <w:r w:rsidRPr="00370E23">
        <w:rPr>
          <w:rFonts w:eastAsia="Aptos" w:cs="Arial"/>
          <w:color w:val="000000" w:themeColor="text1"/>
          <w:szCs w:val="22"/>
          <w:lang w:val="en-US"/>
        </w:rPr>
        <w:t xml:space="preserve"> </w:t>
      </w:r>
      <w:r w:rsidRPr="00370E23">
        <w:rPr>
          <w:rFonts w:eastAsia="Aptos" w:cs="Aptos"/>
          <w:color w:val="000000" w:themeColor="text1"/>
          <w:szCs w:val="22"/>
          <w:lang w:val="en-US"/>
        </w:rPr>
        <w:t>A single regulator may simplify approval processes for businesses and reduce the time spent interacting with multiple entities – such as through inspection activities. Integrated oversight may also have community benefits including improved environmental outcomes. </w:t>
      </w:r>
    </w:p>
    <w:p w14:paraId="3910C88A" w14:textId="11603692" w:rsidR="0095201D" w:rsidRPr="00911DF7" w:rsidRDefault="0095201D" w:rsidP="00D207B3">
      <w:pPr>
        <w:pStyle w:val="ListParagraph"/>
        <w:numPr>
          <w:ilvl w:val="0"/>
          <w:numId w:val="34"/>
        </w:numPr>
        <w:ind w:left="714" w:hanging="357"/>
        <w:contextualSpacing w:val="0"/>
        <w:rPr>
          <w:rFonts w:eastAsia="Aptos" w:cs="Aptos"/>
          <w:color w:val="000000" w:themeColor="text1"/>
          <w:szCs w:val="22"/>
          <w:lang w:val="en-US"/>
        </w:rPr>
      </w:pPr>
      <w:r w:rsidRPr="00370E23">
        <w:rPr>
          <w:rFonts w:eastAsia="Aptos" w:cs="Aptos"/>
          <w:b/>
          <w:bCs/>
          <w:color w:val="000000" w:themeColor="text1"/>
          <w:szCs w:val="22"/>
        </w:rPr>
        <w:t>Create a new Built Environment Regulator</w:t>
      </w:r>
      <w:r w:rsidRPr="00370E23">
        <w:rPr>
          <w:rFonts w:eastAsia="Aptos" w:cs="Aptos"/>
          <w:color w:val="000000" w:themeColor="text1"/>
          <w:szCs w:val="22"/>
        </w:rPr>
        <w:t xml:space="preserve">. </w:t>
      </w:r>
      <w:r>
        <w:rPr>
          <w:rFonts w:eastAsia="Aptos" w:cs="Aptos"/>
          <w:color w:val="000000" w:themeColor="text1"/>
          <w:szCs w:val="22"/>
          <w:lang w:val="en-US"/>
        </w:rPr>
        <w:t>This would</w:t>
      </w:r>
      <w:r w:rsidRPr="00370E23">
        <w:rPr>
          <w:rFonts w:eastAsia="Aptos" w:cs="Aptos"/>
          <w:color w:val="000000" w:themeColor="text1"/>
          <w:szCs w:val="22"/>
          <w:lang w:val="en-US"/>
        </w:rPr>
        <w:t xml:space="preserve"> consolidate regulators</w:t>
      </w:r>
      <w:r>
        <w:rPr>
          <w:rFonts w:eastAsia="Aptos" w:cs="Aptos"/>
          <w:color w:val="000000" w:themeColor="text1"/>
          <w:szCs w:val="22"/>
          <w:lang w:val="en-US"/>
        </w:rPr>
        <w:t xml:space="preserve"> </w:t>
      </w:r>
      <w:r w:rsidRPr="00370E23">
        <w:rPr>
          <w:rFonts w:eastAsia="Aptos" w:cs="Aptos"/>
          <w:color w:val="000000" w:themeColor="text1"/>
          <w:szCs w:val="22"/>
          <w:lang w:val="en-US"/>
        </w:rPr>
        <w:t xml:space="preserve">across building and construction, and energy. </w:t>
      </w:r>
      <w:r>
        <w:rPr>
          <w:rFonts w:eastAsia="Aptos" w:cs="Aptos"/>
          <w:color w:val="000000" w:themeColor="text1"/>
          <w:szCs w:val="22"/>
          <w:lang w:val="en-US"/>
        </w:rPr>
        <w:t>It</w:t>
      </w:r>
      <w:r w:rsidRPr="00370E23">
        <w:rPr>
          <w:rFonts w:eastAsia="Aptos" w:cs="Aptos"/>
          <w:color w:val="000000" w:themeColor="text1"/>
          <w:szCs w:val="22"/>
          <w:lang w:val="en-US"/>
        </w:rPr>
        <w:t xml:space="preserve"> would</w:t>
      </w:r>
      <w:r>
        <w:rPr>
          <w:rFonts w:eastAsia="Aptos" w:cs="Aptos"/>
          <w:color w:val="000000" w:themeColor="text1"/>
          <w:szCs w:val="22"/>
          <w:lang w:val="en-US"/>
        </w:rPr>
        <w:t xml:space="preserve"> include the new Building and Plumbing Commission (that is bringing</w:t>
      </w:r>
      <w:r w:rsidRPr="00370E23">
        <w:rPr>
          <w:rFonts w:eastAsia="Aptos" w:cs="Aptos"/>
          <w:color w:val="000000" w:themeColor="text1"/>
          <w:szCs w:val="22"/>
          <w:lang w:val="en-US"/>
        </w:rPr>
        <w:t xml:space="preserve"> together the Victorian Building</w:t>
      </w:r>
      <w:r>
        <w:rPr>
          <w:rFonts w:eastAsia="Aptos" w:cs="Aptos"/>
          <w:color w:val="000000" w:themeColor="text1"/>
          <w:szCs w:val="22"/>
          <w:lang w:val="en-US"/>
        </w:rPr>
        <w:t xml:space="preserve"> </w:t>
      </w:r>
      <w:r w:rsidRPr="00370E23">
        <w:rPr>
          <w:rFonts w:eastAsia="Aptos" w:cs="Aptos"/>
          <w:color w:val="000000" w:themeColor="text1"/>
          <w:szCs w:val="22"/>
          <w:lang w:val="en-US"/>
        </w:rPr>
        <w:t>Authority</w:t>
      </w:r>
      <w:r>
        <w:rPr>
          <w:rFonts w:eastAsia="Aptos" w:cs="Aptos"/>
          <w:color w:val="000000" w:themeColor="text1"/>
          <w:szCs w:val="22"/>
          <w:lang w:val="en-US"/>
        </w:rPr>
        <w:t>,</w:t>
      </w:r>
      <w:r w:rsidRPr="00370E23">
        <w:rPr>
          <w:rFonts w:eastAsia="Aptos" w:cs="Aptos"/>
          <w:color w:val="000000" w:themeColor="text1"/>
          <w:szCs w:val="22"/>
          <w:lang w:val="en-US"/>
        </w:rPr>
        <w:t xml:space="preserve"> Domestic Building Disputes Resolution Victoria</w:t>
      </w:r>
      <w:r>
        <w:rPr>
          <w:rFonts w:eastAsia="Aptos" w:cs="Aptos"/>
          <w:color w:val="000000" w:themeColor="text1"/>
          <w:szCs w:val="22"/>
          <w:lang w:val="en-US"/>
        </w:rPr>
        <w:t xml:space="preserve"> and the Domestic Building Insurance function of the Victorian Managed Insurance Authority) along with o</w:t>
      </w:r>
      <w:r w:rsidRPr="00370E23">
        <w:rPr>
          <w:rFonts w:eastAsia="Aptos" w:cs="Aptos"/>
          <w:color w:val="000000" w:themeColor="text1"/>
          <w:szCs w:val="22"/>
          <w:lang w:val="en-US"/>
        </w:rPr>
        <w:t>ccupational licensing</w:t>
      </w:r>
      <w:r>
        <w:rPr>
          <w:rFonts w:eastAsia="Aptos" w:cs="Aptos"/>
          <w:color w:val="000000" w:themeColor="text1"/>
          <w:szCs w:val="22"/>
          <w:lang w:val="en-US"/>
        </w:rPr>
        <w:t xml:space="preserve"> </w:t>
      </w:r>
      <w:r w:rsidRPr="00370E23">
        <w:rPr>
          <w:rFonts w:eastAsia="Aptos" w:cs="Aptos"/>
          <w:color w:val="000000" w:themeColor="text1"/>
          <w:szCs w:val="22"/>
          <w:lang w:val="en-US"/>
        </w:rPr>
        <w:t>for architects and surveyors. Energy Safety Victoria’s overs</w:t>
      </w:r>
      <w:r>
        <w:rPr>
          <w:rFonts w:eastAsia="Aptos" w:cs="Aptos"/>
          <w:color w:val="000000" w:themeColor="text1"/>
          <w:szCs w:val="22"/>
          <w:lang w:val="en-US"/>
        </w:rPr>
        <w:t xml:space="preserve">ight of </w:t>
      </w:r>
      <w:r w:rsidRPr="00370E23">
        <w:rPr>
          <w:rFonts w:eastAsia="Aptos" w:cs="Aptos"/>
          <w:color w:val="000000" w:themeColor="text1"/>
          <w:szCs w:val="22"/>
          <w:lang w:val="en-US"/>
        </w:rPr>
        <w:t xml:space="preserve">electricity, gas and pipelines </w:t>
      </w:r>
      <w:r>
        <w:rPr>
          <w:rFonts w:eastAsia="Aptos" w:cs="Aptos"/>
          <w:color w:val="000000" w:themeColor="text1"/>
          <w:szCs w:val="22"/>
          <w:lang w:val="en-US"/>
        </w:rPr>
        <w:t>sh</w:t>
      </w:r>
      <w:r w:rsidRPr="00370E23">
        <w:rPr>
          <w:rFonts w:eastAsia="Aptos" w:cs="Aptos"/>
          <w:color w:val="000000" w:themeColor="text1"/>
          <w:szCs w:val="22"/>
          <w:lang w:val="en-US"/>
        </w:rPr>
        <w:t xml:space="preserve">ould also be </w:t>
      </w:r>
      <w:r>
        <w:rPr>
          <w:rFonts w:eastAsia="Aptos" w:cs="Aptos"/>
          <w:color w:val="000000" w:themeColor="text1"/>
          <w:szCs w:val="22"/>
          <w:lang w:val="en-US"/>
        </w:rPr>
        <w:t>included</w:t>
      </w:r>
      <w:r w:rsidRPr="00370E23">
        <w:rPr>
          <w:rFonts w:eastAsia="Aptos" w:cs="Aptos"/>
          <w:color w:val="000000" w:themeColor="text1"/>
          <w:szCs w:val="22"/>
          <w:lang w:val="en-US"/>
        </w:rPr>
        <w:t>.</w:t>
      </w:r>
      <w:r>
        <w:rPr>
          <w:rFonts w:ascii="Arial" w:eastAsia="Aptos" w:hAnsi="Arial" w:cs="Arial"/>
          <w:color w:val="000000" w:themeColor="text1"/>
          <w:szCs w:val="22"/>
          <w:lang w:val="en-US"/>
        </w:rPr>
        <w:t xml:space="preserve"> </w:t>
      </w:r>
      <w:r w:rsidRPr="00911DF7">
        <w:rPr>
          <w:rFonts w:eastAsia="Aptos" w:cs="Aptos"/>
          <w:color w:val="000000" w:themeColor="text1"/>
          <w:szCs w:val="22"/>
          <w:lang w:val="en-US"/>
        </w:rPr>
        <w:t xml:space="preserve">This </w:t>
      </w:r>
      <w:r>
        <w:rPr>
          <w:rFonts w:eastAsia="Aptos" w:cs="Aptos"/>
          <w:color w:val="000000" w:themeColor="text1"/>
          <w:szCs w:val="22"/>
          <w:lang w:val="en-US"/>
        </w:rPr>
        <w:t>new entity</w:t>
      </w:r>
      <w:r w:rsidRPr="00911DF7">
        <w:rPr>
          <w:rFonts w:eastAsia="Aptos" w:cs="Aptos"/>
          <w:color w:val="000000" w:themeColor="text1"/>
          <w:szCs w:val="22"/>
          <w:lang w:val="en-US"/>
        </w:rPr>
        <w:t xml:space="preserve"> would deliver more coherent oversight of activities involv</w:t>
      </w:r>
      <w:r>
        <w:rPr>
          <w:rFonts w:eastAsia="Aptos" w:cs="Aptos"/>
          <w:color w:val="000000" w:themeColor="text1"/>
          <w:szCs w:val="22"/>
          <w:lang w:val="en-US"/>
        </w:rPr>
        <w:t>ing</w:t>
      </w:r>
      <w:r w:rsidRPr="00911DF7">
        <w:rPr>
          <w:rFonts w:eastAsia="Aptos" w:cs="Aptos"/>
          <w:color w:val="000000" w:themeColor="text1"/>
          <w:szCs w:val="22"/>
          <w:lang w:val="en-US"/>
        </w:rPr>
        <w:t xml:space="preserve"> </w:t>
      </w:r>
      <w:r>
        <w:rPr>
          <w:rFonts w:eastAsia="Aptos" w:cs="Aptos"/>
          <w:color w:val="000000" w:themeColor="text1"/>
          <w:szCs w:val="22"/>
          <w:lang w:val="en-US"/>
        </w:rPr>
        <w:t>the built environment and construction</w:t>
      </w:r>
      <w:r w:rsidR="00F72059">
        <w:rPr>
          <w:rFonts w:eastAsia="Aptos" w:cs="Aptos"/>
          <w:color w:val="000000" w:themeColor="text1"/>
          <w:szCs w:val="22"/>
          <w:lang w:val="en-US"/>
        </w:rPr>
        <w:t> </w:t>
      </w:r>
      <w:r>
        <w:rPr>
          <w:rFonts w:eastAsia="Aptos" w:cs="Aptos"/>
          <w:color w:val="000000" w:themeColor="text1"/>
          <w:szCs w:val="22"/>
          <w:lang w:val="en-US"/>
        </w:rPr>
        <w:t xml:space="preserve">– an </w:t>
      </w:r>
      <w:r w:rsidRPr="00911DF7">
        <w:rPr>
          <w:rFonts w:eastAsia="Aptos" w:cs="Aptos"/>
          <w:color w:val="000000" w:themeColor="text1"/>
          <w:szCs w:val="22"/>
        </w:rPr>
        <w:t>‘engine room’ of Victoria’s economy</w:t>
      </w:r>
      <w:r w:rsidRPr="00911DF7">
        <w:rPr>
          <w:rFonts w:eastAsia="Aptos" w:cs="Aptos"/>
          <w:color w:val="000000" w:themeColor="text1"/>
          <w:szCs w:val="22"/>
          <w:lang w:val="en-US"/>
        </w:rPr>
        <w:t>.</w:t>
      </w:r>
    </w:p>
    <w:p w14:paraId="53EA20E9" w14:textId="29BFABE0" w:rsidR="0095201D" w:rsidRPr="00F965F7" w:rsidRDefault="0095201D" w:rsidP="00D207B3">
      <w:pPr>
        <w:pStyle w:val="ListParagraph"/>
        <w:numPr>
          <w:ilvl w:val="0"/>
          <w:numId w:val="34"/>
        </w:numPr>
        <w:ind w:left="714" w:hanging="357"/>
        <w:contextualSpacing w:val="0"/>
        <w:rPr>
          <w:rFonts w:eastAsia="Aptos" w:cs="Aptos"/>
          <w:color w:val="000000" w:themeColor="text1"/>
          <w:szCs w:val="22"/>
          <w:lang w:val="en-US"/>
        </w:rPr>
      </w:pPr>
      <w:r w:rsidRPr="00F965F7">
        <w:rPr>
          <w:rFonts w:eastAsia="Aptos" w:cs="Aptos"/>
          <w:b/>
          <w:bCs/>
          <w:color w:val="000000" w:themeColor="text1"/>
          <w:szCs w:val="22"/>
        </w:rPr>
        <w:t>Abs</w:t>
      </w:r>
      <w:r w:rsidRPr="00E72415">
        <w:rPr>
          <w:rFonts w:eastAsia="Aptos" w:cs="Aptos"/>
          <w:b/>
          <w:bCs/>
          <w:color w:val="000000" w:themeColor="text1"/>
          <w:szCs w:val="22"/>
        </w:rPr>
        <w:t>orb the Victorian Pharmacy Authority into the Health Regulator</w:t>
      </w:r>
      <w:r w:rsidRPr="00E72415">
        <w:rPr>
          <w:rFonts w:eastAsia="Aptos" w:cs="Aptos"/>
          <w:color w:val="000000" w:themeColor="text1"/>
          <w:szCs w:val="22"/>
        </w:rPr>
        <w:t xml:space="preserve"> to oversee common issues across health settings</w:t>
      </w:r>
      <w:r w:rsidRPr="00C41ADC">
        <w:rPr>
          <w:rFonts w:ascii="Arial" w:eastAsia="Aptos" w:hAnsi="Arial" w:cs="Arial"/>
          <w:color w:val="000000" w:themeColor="text1"/>
          <w:szCs w:val="22"/>
          <w:lang w:val="en-US"/>
        </w:rPr>
        <w:t>.</w:t>
      </w:r>
      <w:r>
        <w:rPr>
          <w:rFonts w:ascii="Arial" w:eastAsia="Aptos" w:hAnsi="Arial" w:cs="Arial"/>
          <w:color w:val="000000" w:themeColor="text1"/>
          <w:szCs w:val="22"/>
          <w:lang w:val="en-US"/>
        </w:rPr>
        <w:t xml:space="preserve"> </w:t>
      </w:r>
      <w:r w:rsidRPr="00D45D27">
        <w:rPr>
          <w:rFonts w:eastAsia="Aptos" w:cs="Aptos"/>
          <w:color w:val="000000" w:themeColor="text1"/>
          <w:szCs w:val="22"/>
        </w:rPr>
        <w:t>This</w:t>
      </w:r>
      <w:r w:rsidR="00A12D7D">
        <w:rPr>
          <w:rFonts w:eastAsia="Aptos" w:cs="Aptos"/>
          <w:color w:val="000000" w:themeColor="text1"/>
          <w:szCs w:val="22"/>
        </w:rPr>
        <w:t> </w:t>
      </w:r>
      <w:r w:rsidRPr="00D45D27">
        <w:rPr>
          <w:rFonts w:eastAsia="Aptos" w:cs="Aptos"/>
          <w:color w:val="000000" w:themeColor="text1"/>
          <w:szCs w:val="22"/>
        </w:rPr>
        <w:t xml:space="preserve">would involve integrating the </w:t>
      </w:r>
      <w:r w:rsidRPr="00D45D27">
        <w:rPr>
          <w:rFonts w:eastAsia="Aptos" w:cs="Aptos"/>
          <w:color w:val="000000" w:themeColor="text1"/>
          <w:szCs w:val="22"/>
        </w:rPr>
        <w:t>Pharmacy Authority’s pharmacy and non-pharmacy business licensing</w:t>
      </w:r>
      <w:r w:rsidRPr="00D45D27" w:rsidDel="00DA1AFF">
        <w:rPr>
          <w:rFonts w:eastAsia="Aptos" w:cs="Aptos"/>
          <w:color w:val="000000" w:themeColor="text1"/>
          <w:szCs w:val="22"/>
        </w:rPr>
        <w:t xml:space="preserve"> </w:t>
      </w:r>
      <w:r w:rsidRPr="00D45D27">
        <w:rPr>
          <w:rFonts w:eastAsia="Aptos" w:cs="Aptos"/>
          <w:color w:val="000000" w:themeColor="text1"/>
          <w:szCs w:val="22"/>
        </w:rPr>
        <w:t>regulatory activities into the broader departmental regulatory framework.</w:t>
      </w:r>
      <w:r w:rsidRPr="00E72415">
        <w:rPr>
          <w:rFonts w:eastAsia="Aptos" w:cs="Aptos"/>
          <w:color w:val="000000" w:themeColor="text1"/>
          <w:szCs w:val="22"/>
        </w:rPr>
        <w:t xml:space="preserve"> </w:t>
      </w:r>
      <w:r w:rsidRPr="00F965F7">
        <w:rPr>
          <w:rFonts w:eastAsia="Aptos" w:cs="Aptos"/>
          <w:color w:val="000000" w:themeColor="text1"/>
          <w:szCs w:val="22"/>
        </w:rPr>
        <w:t>The consolidated regulator will simplify business interactions, streamline compliance, and</w:t>
      </w:r>
      <w:r>
        <w:rPr>
          <w:rFonts w:eastAsia="Aptos" w:cs="Aptos"/>
          <w:color w:val="000000" w:themeColor="text1"/>
          <w:szCs w:val="22"/>
        </w:rPr>
        <w:t xml:space="preserve"> </w:t>
      </w:r>
      <w:r w:rsidRPr="00F965F7">
        <w:rPr>
          <w:rFonts w:eastAsia="Aptos" w:cs="Aptos"/>
          <w:color w:val="000000" w:themeColor="text1"/>
          <w:szCs w:val="22"/>
        </w:rPr>
        <w:t>strengthen Victoria’s ability to manage health safety risks.</w:t>
      </w:r>
    </w:p>
    <w:p w14:paraId="57FD6F1F" w14:textId="2755BEA9" w:rsidR="0095201D" w:rsidRPr="00AD7130" w:rsidRDefault="0095201D" w:rsidP="00D207B3">
      <w:pPr>
        <w:numPr>
          <w:ilvl w:val="0"/>
          <w:numId w:val="34"/>
        </w:numPr>
        <w:textAlignment w:val="baseline"/>
        <w:rPr>
          <w:rFonts w:eastAsia="Times New Roman" w:cs="Arial"/>
          <w:kern w:val="0"/>
          <w:szCs w:val="22"/>
          <w:lang w:val="en-US" w:eastAsia="en-AU"/>
          <w14:ligatures w14:val="none"/>
        </w:rPr>
      </w:pPr>
      <w:r>
        <w:rPr>
          <w:rFonts w:eastAsia="Aptos" w:cs="Aptos"/>
          <w:b/>
          <w:bCs/>
          <w:color w:val="000000" w:themeColor="text1"/>
          <w:szCs w:val="22"/>
        </w:rPr>
        <w:t xml:space="preserve">Create a </w:t>
      </w:r>
      <w:r w:rsidRPr="00454D09">
        <w:rPr>
          <w:rFonts w:eastAsia="Aptos" w:cs="Aptos"/>
          <w:b/>
          <w:bCs/>
          <w:color w:val="000000" w:themeColor="text1"/>
          <w:szCs w:val="22"/>
        </w:rPr>
        <w:t>Racing Integrity and Welfare Regulator</w:t>
      </w:r>
      <w:r w:rsidRPr="00454D09">
        <w:rPr>
          <w:rFonts w:eastAsia="Aptos" w:cs="Aptos"/>
          <w:color w:val="000000" w:themeColor="text1"/>
          <w:szCs w:val="22"/>
        </w:rPr>
        <w:t xml:space="preserve"> and separate out commercial racing functions</w:t>
      </w:r>
      <w:r>
        <w:rPr>
          <w:rFonts w:eastAsia="Aptos" w:cs="Aptos"/>
          <w:color w:val="000000" w:themeColor="text1"/>
          <w:szCs w:val="22"/>
        </w:rPr>
        <w:t xml:space="preserve"> (see more below)</w:t>
      </w:r>
      <w:r w:rsidRPr="00454D09">
        <w:rPr>
          <w:rFonts w:eastAsia="Aptos" w:cs="Aptos"/>
          <w:color w:val="000000" w:themeColor="text1"/>
          <w:szCs w:val="22"/>
        </w:rPr>
        <w:t>.</w:t>
      </w:r>
      <w:r>
        <w:rPr>
          <w:rFonts w:eastAsia="Aptos" w:cs="Aptos"/>
          <w:color w:val="000000" w:themeColor="text1"/>
          <w:szCs w:val="22"/>
        </w:rPr>
        <w:t xml:space="preserve"> </w:t>
      </w:r>
      <w:r>
        <w:rPr>
          <w:rFonts w:eastAsia="Times New Roman" w:cs="Arial"/>
          <w:color w:val="000000"/>
          <w:kern w:val="0"/>
          <w:position w:val="1"/>
          <w:szCs w:val="22"/>
          <w:lang w:val="en-US" w:eastAsia="en-AU"/>
          <w14:ligatures w14:val="none"/>
        </w:rPr>
        <w:t>The new regulato</w:t>
      </w:r>
      <w:r w:rsidRPr="00A66C20">
        <w:rPr>
          <w:rFonts w:eastAsia="Times New Roman" w:cs="Arial"/>
          <w:color w:val="000000"/>
          <w:kern w:val="0"/>
          <w:position w:val="1"/>
          <w:szCs w:val="22"/>
          <w:lang w:val="en-US" w:eastAsia="en-AU"/>
          <w14:ligatures w14:val="none"/>
        </w:rPr>
        <w:t xml:space="preserve">r would </w:t>
      </w:r>
      <w:r w:rsidRPr="00454D09">
        <w:rPr>
          <w:rFonts w:eastAsia="Times New Roman" w:cs="Arial"/>
          <w:color w:val="000000"/>
          <w:kern w:val="0"/>
          <w:position w:val="1"/>
          <w:szCs w:val="22"/>
          <w:lang w:val="en-US" w:eastAsia="en-AU"/>
          <w14:ligatures w14:val="none"/>
        </w:rPr>
        <w:t>oversee racing integrity, animal welfare, compliance, and licensing for all forms of</w:t>
      </w:r>
      <w:r>
        <w:rPr>
          <w:rFonts w:eastAsia="Times New Roman" w:cs="Arial"/>
          <w:color w:val="000000"/>
          <w:kern w:val="0"/>
          <w:position w:val="1"/>
          <w:szCs w:val="22"/>
          <w:lang w:val="en-US" w:eastAsia="en-AU"/>
          <w14:ligatures w14:val="none"/>
        </w:rPr>
        <w:t xml:space="preserve"> </w:t>
      </w:r>
      <w:r w:rsidRPr="00454D09">
        <w:rPr>
          <w:rFonts w:eastAsia="Times New Roman" w:cs="Arial"/>
          <w:color w:val="000000"/>
          <w:kern w:val="0"/>
          <w:position w:val="1"/>
          <w:szCs w:val="22"/>
          <w:lang w:val="en-US" w:eastAsia="en-AU"/>
          <w14:ligatures w14:val="none"/>
        </w:rPr>
        <w:t>horse and greyhound racing in Victoria.</w:t>
      </w:r>
      <w:r>
        <w:rPr>
          <w:rFonts w:eastAsia="Times New Roman" w:cs="Arial"/>
          <w:kern w:val="0"/>
          <w:szCs w:val="22"/>
          <w:lang w:val="en-US" w:eastAsia="en-AU"/>
          <w14:ligatures w14:val="none"/>
        </w:rPr>
        <w:t xml:space="preserve"> </w:t>
      </w:r>
      <w:r w:rsidRPr="00B842CA">
        <w:rPr>
          <w:rFonts w:eastAsia="Times New Roman" w:cs="Arial"/>
          <w:color w:val="000000"/>
          <w:kern w:val="0"/>
          <w:position w:val="1"/>
          <w:szCs w:val="22"/>
          <w:lang w:val="en-US" w:eastAsia="en-AU"/>
          <w14:ligatures w14:val="none"/>
        </w:rPr>
        <w:t>This change would lead to a clearer separation of activities and ensure that regulators</w:t>
      </w:r>
      <w:r>
        <w:rPr>
          <w:rFonts w:eastAsia="Times New Roman" w:cs="Arial"/>
          <w:color w:val="000000"/>
          <w:kern w:val="0"/>
          <w:position w:val="1"/>
          <w:szCs w:val="22"/>
          <w:lang w:val="en-US" w:eastAsia="en-AU"/>
          <w14:ligatures w14:val="none"/>
        </w:rPr>
        <w:t xml:space="preserve"> </w:t>
      </w:r>
      <w:r w:rsidRPr="00B842CA">
        <w:rPr>
          <w:rFonts w:eastAsia="Times New Roman" w:cs="Arial"/>
          <w:color w:val="000000"/>
          <w:kern w:val="0"/>
          <w:position w:val="1"/>
          <w:szCs w:val="22"/>
          <w:lang w:val="en-US" w:eastAsia="en-AU"/>
          <w14:ligatures w14:val="none"/>
        </w:rPr>
        <w:t>are focused only on regulatory activities rather than providing commercial</w:t>
      </w:r>
      <w:r>
        <w:rPr>
          <w:rFonts w:eastAsia="Times New Roman" w:cs="Arial"/>
          <w:color w:val="000000"/>
          <w:kern w:val="0"/>
          <w:position w:val="1"/>
          <w:szCs w:val="22"/>
          <w:lang w:val="en-US" w:eastAsia="en-AU"/>
          <w14:ligatures w14:val="none"/>
        </w:rPr>
        <w:t xml:space="preserve"> </w:t>
      </w:r>
      <w:r w:rsidRPr="00B842CA">
        <w:rPr>
          <w:rFonts w:eastAsia="Times New Roman" w:cs="Arial"/>
          <w:color w:val="000000"/>
          <w:kern w:val="0"/>
          <w:position w:val="1"/>
          <w:szCs w:val="22"/>
          <w:lang w:val="en-US" w:eastAsia="en-AU"/>
          <w14:ligatures w14:val="none"/>
        </w:rPr>
        <w:t>racing.</w:t>
      </w:r>
      <w:r>
        <w:rPr>
          <w:rFonts w:eastAsia="Times New Roman" w:cs="Arial"/>
          <w:color w:val="000000"/>
          <w:kern w:val="0"/>
          <w:position w:val="1"/>
          <w:szCs w:val="22"/>
          <w:lang w:val="en-US" w:eastAsia="en-AU"/>
          <w14:ligatures w14:val="none"/>
        </w:rPr>
        <w:t xml:space="preserve"> </w:t>
      </w:r>
      <w:r w:rsidRPr="00AD7130">
        <w:rPr>
          <w:rFonts w:eastAsia="Times New Roman" w:cs="Arial"/>
          <w:color w:val="000000"/>
          <w:kern w:val="0"/>
          <w:position w:val="1"/>
          <w:szCs w:val="22"/>
          <w:lang w:val="en-US" w:eastAsia="en-AU"/>
          <w14:ligatures w14:val="none"/>
        </w:rPr>
        <w:t>This will lead to better practice governance as well as ensuring that oversight of the racing sector is consolidated in one place. </w:t>
      </w:r>
    </w:p>
    <w:p w14:paraId="309CE85B" w14:textId="3BFE2CC7" w:rsidR="0095201D" w:rsidRPr="00B53F2E" w:rsidRDefault="0095201D" w:rsidP="00D207B3">
      <w:pPr>
        <w:pStyle w:val="ListParagraph"/>
        <w:numPr>
          <w:ilvl w:val="0"/>
          <w:numId w:val="34"/>
        </w:numPr>
        <w:ind w:left="714" w:hanging="357"/>
        <w:contextualSpacing w:val="0"/>
        <w:rPr>
          <w:rFonts w:eastAsia="Aptos" w:cs="Aptos"/>
          <w:color w:val="000000" w:themeColor="text1"/>
          <w:szCs w:val="22"/>
          <w:lang w:val="en-US"/>
        </w:rPr>
      </w:pPr>
      <w:r w:rsidRPr="0061059F">
        <w:rPr>
          <w:rFonts w:eastAsia="Aptos" w:cs="Aptos"/>
          <w:b/>
          <w:bCs/>
          <w:color w:val="000000" w:themeColor="text1"/>
          <w:szCs w:val="22"/>
          <w:lang w:val="en-US"/>
        </w:rPr>
        <w:t>Establish a new Food Safety Regulator</w:t>
      </w:r>
      <w:r>
        <w:rPr>
          <w:rFonts w:eastAsia="Aptos" w:cs="Aptos"/>
          <w:color w:val="000000" w:themeColor="text1"/>
          <w:szCs w:val="22"/>
          <w:lang w:val="en-US"/>
        </w:rPr>
        <w:t xml:space="preserve"> </w:t>
      </w:r>
      <w:r w:rsidRPr="00191E85">
        <w:rPr>
          <w:rFonts w:eastAsia="Aptos" w:cs="Aptos"/>
          <w:color w:val="000000" w:themeColor="text1"/>
          <w:szCs w:val="22"/>
        </w:rPr>
        <w:t>to oversee common issues across food product safety settings, consolidating existing entities into a single focused body.</w:t>
      </w:r>
      <w:r>
        <w:rPr>
          <w:rFonts w:ascii="Arial" w:eastAsia="Aptos" w:hAnsi="Arial" w:cs="Arial"/>
          <w:color w:val="000000" w:themeColor="text1"/>
          <w:szCs w:val="22"/>
          <w:lang w:val="en-US"/>
        </w:rPr>
        <w:t xml:space="preserve"> </w:t>
      </w:r>
      <w:r w:rsidRPr="0061059F">
        <w:rPr>
          <w:rFonts w:eastAsia="Aptos" w:cs="Aptos"/>
          <w:color w:val="000000" w:themeColor="text1"/>
          <w:szCs w:val="22"/>
        </w:rPr>
        <w:t xml:space="preserve">This includes </w:t>
      </w:r>
      <w:proofErr w:type="spellStart"/>
      <w:r w:rsidRPr="0061059F">
        <w:rPr>
          <w:rFonts w:eastAsia="Aptos" w:cs="Aptos"/>
          <w:color w:val="000000" w:themeColor="text1"/>
          <w:szCs w:val="22"/>
        </w:rPr>
        <w:t>PrimeSafe</w:t>
      </w:r>
      <w:proofErr w:type="spellEnd"/>
      <w:r w:rsidRPr="0061059F">
        <w:rPr>
          <w:rFonts w:eastAsia="Aptos" w:cs="Aptos"/>
          <w:color w:val="000000" w:themeColor="text1"/>
          <w:szCs w:val="22"/>
        </w:rPr>
        <w:t xml:space="preserve"> (meat, poultry, and seafood), Dairy Food Safety Victoria (dairy), and </w:t>
      </w:r>
      <w:r w:rsidR="00915030">
        <w:rPr>
          <w:rFonts w:eastAsia="Aptos" w:cs="Aptos"/>
          <w:color w:val="000000" w:themeColor="text1"/>
          <w:szCs w:val="22"/>
        </w:rPr>
        <w:t>DH</w:t>
      </w:r>
      <w:r w:rsidRPr="0061059F">
        <w:rPr>
          <w:rFonts w:eastAsia="Aptos" w:cs="Aptos"/>
          <w:color w:val="000000" w:themeColor="text1"/>
          <w:szCs w:val="22"/>
        </w:rPr>
        <w:t xml:space="preserve"> (licensing, food safety)</w:t>
      </w:r>
      <w:r>
        <w:rPr>
          <w:rFonts w:ascii="Arial" w:eastAsia="Aptos" w:hAnsi="Arial" w:cs="Arial"/>
          <w:color w:val="000000" w:themeColor="text1"/>
          <w:szCs w:val="22"/>
          <w:lang w:val="en-US"/>
        </w:rPr>
        <w:t xml:space="preserve">. </w:t>
      </w:r>
      <w:r w:rsidRPr="00315D40">
        <w:rPr>
          <w:rFonts w:eastAsia="Aptos" w:cs="Aptos"/>
          <w:color w:val="000000" w:themeColor="text1"/>
          <w:szCs w:val="22"/>
        </w:rPr>
        <w:t xml:space="preserve">Consolidation will reduce duplication, improve coordination, and streamline regulatory interactions for food businesses, while strengthening oversight </w:t>
      </w:r>
      <w:r w:rsidRPr="00B53F2E">
        <w:rPr>
          <w:rFonts w:eastAsia="Aptos" w:cs="Aptos"/>
          <w:color w:val="000000" w:themeColor="text1"/>
          <w:szCs w:val="22"/>
        </w:rPr>
        <w:t>across the sector.</w:t>
      </w:r>
      <w:r w:rsidRPr="00B53F2E">
        <w:rPr>
          <w:rFonts w:eastAsia="Aptos" w:cs="Arial"/>
          <w:color w:val="000000" w:themeColor="text1"/>
          <w:szCs w:val="22"/>
          <w:lang w:val="en-US"/>
        </w:rPr>
        <w:t xml:space="preserve"> </w:t>
      </w:r>
      <w:r w:rsidRPr="00B53F2E">
        <w:rPr>
          <w:rFonts w:eastAsia="Aptos" w:cs="Aptos"/>
          <w:color w:val="000000" w:themeColor="text1"/>
          <w:szCs w:val="22"/>
        </w:rPr>
        <w:t xml:space="preserve">The reform aligns with the phased consolidation outlined </w:t>
      </w:r>
      <w:r w:rsidRPr="00B53F2E">
        <w:rPr>
          <w:rFonts w:eastAsia="Aptos" w:cs="Aptos"/>
          <w:color w:val="000000" w:themeColor="text1"/>
          <w:szCs w:val="22"/>
        </w:rPr>
        <w:lastRenderedPageBreak/>
        <w:t>in the Economic Growth Statement, with consultation underway.</w:t>
      </w:r>
    </w:p>
    <w:p w14:paraId="0E8ABAB6" w14:textId="7753802E" w:rsidR="0095201D" w:rsidRPr="00D33F6E" w:rsidRDefault="0095201D" w:rsidP="00D207B3">
      <w:pPr>
        <w:pStyle w:val="ListParagraph"/>
        <w:numPr>
          <w:ilvl w:val="0"/>
          <w:numId w:val="34"/>
        </w:numPr>
        <w:ind w:left="714" w:hanging="357"/>
        <w:contextualSpacing w:val="0"/>
        <w:rPr>
          <w:rFonts w:eastAsia="Aptos" w:cs="Aptos"/>
          <w:color w:val="000000" w:themeColor="text1"/>
          <w:szCs w:val="22"/>
          <w:lang w:val="en-US"/>
        </w:rPr>
      </w:pPr>
      <w:r w:rsidRPr="00B53F2E">
        <w:rPr>
          <w:rFonts w:eastAsia="Aptos" w:cs="Aptos"/>
          <w:b/>
          <w:bCs/>
          <w:color w:val="000000" w:themeColor="text1"/>
          <w:szCs w:val="22"/>
          <w:lang w:val="en-US"/>
        </w:rPr>
        <w:t>Establish a new Workplace Regulator</w:t>
      </w:r>
      <w:r>
        <w:rPr>
          <w:rFonts w:eastAsia="Aptos" w:cs="Aptos"/>
          <w:color w:val="000000" w:themeColor="text1"/>
          <w:szCs w:val="22"/>
          <w:lang w:val="en-US"/>
        </w:rPr>
        <w:t xml:space="preserve">. This would </w:t>
      </w:r>
      <w:r w:rsidRPr="00B53F2E">
        <w:rPr>
          <w:rFonts w:eastAsia="Times New Roman" w:cs="Arial"/>
          <w:color w:val="000000"/>
          <w:kern w:val="0"/>
          <w:position w:val="1"/>
          <w:szCs w:val="22"/>
          <w:lang w:eastAsia="en-AU"/>
          <w14:ligatures w14:val="none"/>
        </w:rPr>
        <w:t>consolidate the Wage Inspectorate Victoria, Portable Long Service Authority and Labour Hire Authority into a single</w:t>
      </w:r>
      <w:r>
        <w:rPr>
          <w:rFonts w:eastAsia="Times New Roman" w:cs="Arial"/>
          <w:color w:val="000000"/>
          <w:kern w:val="0"/>
          <w:position w:val="1"/>
          <w:szCs w:val="22"/>
          <w:lang w:eastAsia="en-AU"/>
          <w14:ligatures w14:val="none"/>
        </w:rPr>
        <w:t xml:space="preserve"> body</w:t>
      </w:r>
      <w:r w:rsidRPr="00B53F2E">
        <w:rPr>
          <w:rFonts w:eastAsia="Times New Roman" w:cs="Arial"/>
          <w:color w:val="000000"/>
          <w:kern w:val="0"/>
          <w:position w:val="1"/>
          <w:szCs w:val="22"/>
          <w:lang w:eastAsia="en-AU"/>
          <w14:ligatures w14:val="none"/>
        </w:rPr>
        <w:t xml:space="preserve">. These entities currently oversee overlapping aspects of </w:t>
      </w:r>
      <w:r w:rsidRPr="0049255E">
        <w:rPr>
          <w:rFonts w:eastAsia="Times New Roman" w:cs="Arial"/>
          <w:color w:val="000000"/>
          <w:kern w:val="0"/>
          <w:position w:val="1"/>
          <w:szCs w:val="22"/>
          <w:lang w:eastAsia="en-AU"/>
          <w14:ligatures w14:val="none"/>
        </w:rPr>
        <w:t xml:space="preserve">workplace compliance, including portable entitlements, and labour hire licensing. </w:t>
      </w:r>
      <w:r w:rsidRPr="0049255E">
        <w:rPr>
          <w:rFonts w:eastAsia="Times New Roman" w:cs="Arial"/>
          <w:kern w:val="0"/>
          <w:szCs w:val="22"/>
          <w:lang w:val="en-US" w:eastAsia="en-AU"/>
          <w14:ligatures w14:val="none"/>
        </w:rPr>
        <w:t xml:space="preserve">Over time, a </w:t>
      </w:r>
      <w:r w:rsidRPr="0049255E">
        <w:rPr>
          <w:rFonts w:eastAsia="Times New Roman" w:cs="Arial"/>
          <w:color w:val="000000"/>
          <w:kern w:val="0"/>
          <w:position w:val="1"/>
          <w:szCs w:val="22"/>
          <w:lang w:eastAsia="en-AU"/>
          <w14:ligatures w14:val="none"/>
        </w:rPr>
        <w:t>single</w:t>
      </w:r>
      <w:r w:rsidRPr="00D33F6E">
        <w:rPr>
          <w:rFonts w:eastAsia="Times New Roman" w:cs="Arial"/>
          <w:color w:val="000000"/>
          <w:kern w:val="0"/>
          <w:position w:val="1"/>
          <w:szCs w:val="22"/>
          <w:lang w:eastAsia="en-AU"/>
          <w14:ligatures w14:val="none"/>
        </w:rPr>
        <w:t xml:space="preserve"> regulator would streamline enforcement, reduce duplication and costs to government</w:t>
      </w:r>
      <w:r>
        <w:rPr>
          <w:rFonts w:eastAsia="Times New Roman" w:cs="Arial"/>
          <w:color w:val="000000"/>
          <w:kern w:val="0"/>
          <w:position w:val="1"/>
          <w:szCs w:val="22"/>
          <w:lang w:eastAsia="en-AU"/>
          <w14:ligatures w14:val="none"/>
        </w:rPr>
        <w:t xml:space="preserve"> and business</w:t>
      </w:r>
      <w:r w:rsidRPr="00D33F6E">
        <w:rPr>
          <w:rFonts w:eastAsia="Times New Roman" w:cs="Arial"/>
          <w:color w:val="000000"/>
          <w:kern w:val="0"/>
          <w:position w:val="1"/>
          <w:szCs w:val="22"/>
          <w:lang w:eastAsia="en-AU"/>
          <w14:ligatures w14:val="none"/>
        </w:rPr>
        <w:t>, and provide a clearer point of contact for employers and</w:t>
      </w:r>
      <w:r w:rsidR="00FC7554">
        <w:rPr>
          <w:rFonts w:eastAsia="Times New Roman" w:cs="Arial"/>
          <w:color w:val="000000"/>
          <w:kern w:val="0"/>
          <w:position w:val="1"/>
          <w:szCs w:val="22"/>
          <w:lang w:eastAsia="en-AU"/>
          <w14:ligatures w14:val="none"/>
        </w:rPr>
        <w:t> </w:t>
      </w:r>
      <w:r w:rsidRPr="00D33F6E">
        <w:rPr>
          <w:rFonts w:eastAsia="Times New Roman" w:cs="Arial"/>
          <w:color w:val="000000"/>
          <w:kern w:val="0"/>
          <w:position w:val="1"/>
          <w:szCs w:val="22"/>
          <w:lang w:eastAsia="en-AU"/>
          <w14:ligatures w14:val="none"/>
        </w:rPr>
        <w:t>workers.</w:t>
      </w:r>
    </w:p>
    <w:p w14:paraId="7B298ED0" w14:textId="0C562994" w:rsidR="0095201D" w:rsidRPr="000F23D4" w:rsidRDefault="0095201D" w:rsidP="00D207B3">
      <w:pPr>
        <w:pStyle w:val="ListParagraph"/>
        <w:numPr>
          <w:ilvl w:val="0"/>
          <w:numId w:val="34"/>
        </w:numPr>
        <w:ind w:left="714" w:hanging="357"/>
        <w:contextualSpacing w:val="0"/>
        <w:rPr>
          <w:rFonts w:eastAsia="Aptos" w:cs="Aptos"/>
          <w:color w:val="000000" w:themeColor="text1"/>
          <w:szCs w:val="22"/>
          <w:lang w:val="en-US"/>
        </w:rPr>
      </w:pPr>
      <w:r w:rsidRPr="00393A7A">
        <w:rPr>
          <w:rFonts w:eastAsia="Aptos" w:cs="Aptos"/>
          <w:b/>
          <w:bCs/>
          <w:color w:val="000000" w:themeColor="text1"/>
          <w:szCs w:val="22"/>
          <w:lang w:val="en-US"/>
        </w:rPr>
        <w:t>Merge the Victorian Legal Services Board and the Legal Admissions Board</w:t>
      </w:r>
      <w:r>
        <w:rPr>
          <w:rFonts w:eastAsia="Aptos" w:cs="Aptos"/>
          <w:color w:val="000000" w:themeColor="text1"/>
          <w:szCs w:val="22"/>
          <w:lang w:val="en-US"/>
        </w:rPr>
        <w:t xml:space="preserve">. </w:t>
      </w:r>
      <w:r w:rsidRPr="00393A7A">
        <w:rPr>
          <w:rFonts w:eastAsia="Aptos" w:cs="Aptos"/>
          <w:color w:val="000000" w:themeColor="text1"/>
          <w:szCs w:val="22"/>
        </w:rPr>
        <w:t>The</w:t>
      </w:r>
      <w:r>
        <w:rPr>
          <w:rFonts w:eastAsia="Aptos" w:cs="Aptos"/>
          <w:color w:val="000000" w:themeColor="text1"/>
          <w:szCs w:val="22"/>
        </w:rPr>
        <w:t xml:space="preserve"> existing bodies</w:t>
      </w:r>
      <w:r w:rsidRPr="00393A7A">
        <w:rPr>
          <w:rFonts w:eastAsia="Aptos" w:cs="Aptos"/>
          <w:color w:val="000000" w:themeColor="text1"/>
          <w:szCs w:val="22"/>
        </w:rPr>
        <w:t xml:space="preserve"> undertake </w:t>
      </w:r>
      <w:r w:rsidRPr="000F23D4">
        <w:rPr>
          <w:rFonts w:eastAsia="Aptos" w:cs="Aptos"/>
          <w:color w:val="000000" w:themeColor="text1"/>
          <w:szCs w:val="22"/>
        </w:rPr>
        <w:t>duplicative functions – being the registration and regulation of legal practitioners. Consolidating these responsibilities under a Legal Practitioner Regulator will increase efficiency while maintaining professional standards and streamlining processes for law graduates and lawyers. Some other states have a single body that handles admissions and registration. Other professions do not have separate admissions and registration boards (e.</w:t>
      </w:r>
      <w:r w:rsidR="00780143">
        <w:rPr>
          <w:rFonts w:eastAsia="Aptos" w:cs="Aptos"/>
          <w:color w:val="000000" w:themeColor="text1"/>
          <w:szCs w:val="22"/>
        </w:rPr>
        <w:t>g</w:t>
      </w:r>
      <w:r w:rsidRPr="000F23D4">
        <w:rPr>
          <w:rFonts w:eastAsia="Aptos" w:cs="Aptos"/>
          <w:color w:val="000000" w:themeColor="text1"/>
          <w:szCs w:val="22"/>
        </w:rPr>
        <w:t xml:space="preserve">. doctors, architects, vets). </w:t>
      </w:r>
    </w:p>
    <w:p w14:paraId="0458B255" w14:textId="59695421" w:rsidR="0095201D" w:rsidRPr="00C50B8A" w:rsidRDefault="0095201D" w:rsidP="00D207B3">
      <w:pPr>
        <w:pStyle w:val="ListParagraph"/>
        <w:numPr>
          <w:ilvl w:val="0"/>
          <w:numId w:val="34"/>
        </w:numPr>
        <w:ind w:left="714" w:hanging="357"/>
        <w:contextualSpacing w:val="0"/>
        <w:rPr>
          <w:rFonts w:eastAsia="Aptos" w:cs="Aptos"/>
          <w:color w:val="000000" w:themeColor="text1"/>
          <w:szCs w:val="22"/>
          <w:lang w:val="en-US"/>
        </w:rPr>
      </w:pPr>
      <w:r w:rsidRPr="000F23D4">
        <w:rPr>
          <w:rFonts w:eastAsia="Aptos" w:cs="Aptos"/>
          <w:b/>
          <w:bCs/>
          <w:color w:val="000000" w:themeColor="text1"/>
          <w:szCs w:val="22"/>
          <w:lang w:val="en-US"/>
        </w:rPr>
        <w:t>Absorb Parks Victoria regulatory functions into the Conservation Regulator</w:t>
      </w:r>
      <w:r w:rsidRPr="000F23D4">
        <w:rPr>
          <w:rFonts w:eastAsia="Aptos" w:cs="Aptos"/>
          <w:color w:val="000000" w:themeColor="text1"/>
          <w:szCs w:val="22"/>
          <w:lang w:val="en-US"/>
        </w:rPr>
        <w:t xml:space="preserve">. </w:t>
      </w:r>
      <w:r w:rsidRPr="000F23D4">
        <w:rPr>
          <w:rFonts w:eastAsia="Aptos" w:cs="Aptos"/>
          <w:color w:val="000000" w:themeColor="text1"/>
          <w:szCs w:val="22"/>
        </w:rPr>
        <w:t xml:space="preserve">Parks Victoria’s regulatory responsibilities </w:t>
      </w:r>
      <w:r w:rsidR="00C41ADC">
        <w:rPr>
          <w:rFonts w:eastAsia="Aptos" w:cs="Aptos"/>
          <w:color w:val="000000" w:themeColor="text1"/>
          <w:szCs w:val="22"/>
        </w:rPr>
        <w:t>–</w:t>
      </w:r>
      <w:r w:rsidRPr="000F23D4">
        <w:rPr>
          <w:rFonts w:eastAsia="Aptos" w:cs="Aptos"/>
          <w:color w:val="000000" w:themeColor="text1"/>
          <w:szCs w:val="22"/>
        </w:rPr>
        <w:t xml:space="preserve"> such as compliance, enforcement, and permit</w:t>
      </w:r>
      <w:r w:rsidR="00A12DF6">
        <w:rPr>
          <w:rFonts w:eastAsia="Aptos" w:cs="Aptos"/>
          <w:color w:val="000000" w:themeColor="text1"/>
          <w:szCs w:val="22"/>
        </w:rPr>
        <w:t>s</w:t>
      </w:r>
      <w:r w:rsidRPr="000F23D4">
        <w:rPr>
          <w:rFonts w:eastAsia="Aptos" w:cs="Aptos"/>
          <w:color w:val="000000" w:themeColor="text1"/>
          <w:szCs w:val="22"/>
        </w:rPr>
        <w:t xml:space="preserve"> </w:t>
      </w:r>
      <w:r w:rsidR="00C41ADC">
        <w:rPr>
          <w:rFonts w:eastAsia="Aptos" w:cs="Aptos"/>
          <w:color w:val="000000" w:themeColor="text1"/>
          <w:szCs w:val="22"/>
        </w:rPr>
        <w:t>–</w:t>
      </w:r>
      <w:r w:rsidRPr="000F23D4">
        <w:rPr>
          <w:rFonts w:eastAsia="Aptos" w:cs="Aptos"/>
          <w:color w:val="000000" w:themeColor="text1"/>
          <w:szCs w:val="22"/>
        </w:rPr>
        <w:t xml:space="preserve"> overlap with the </w:t>
      </w:r>
      <w:r w:rsidRPr="000F23D4">
        <w:rPr>
          <w:rFonts w:eastAsia="Aptos" w:cs="Aptos"/>
          <w:color w:val="000000" w:themeColor="text1"/>
          <w:szCs w:val="22"/>
        </w:rPr>
        <w:t xml:space="preserve">Conservation Regulator. Transferring these functions would consolidate environmental regulation under a single authority, improving clarity, consistency, and efficiency in managing Victoria’s natural assets. </w:t>
      </w:r>
      <w:r w:rsidRPr="00E27EE2">
        <w:rPr>
          <w:rFonts w:eastAsia="Aptos" w:cs="Aptos"/>
          <w:color w:val="000000" w:themeColor="text1"/>
          <w:szCs w:val="22"/>
        </w:rPr>
        <w:t>This reform would allow Parks Victoria to focus on its core service delivery role (e.g. park maintenance, visitor services), while the Conservation Regulator assumes responsibility for environmental compliance, enabling better coordination of enforcement and reducing duplication of effort.</w:t>
      </w:r>
    </w:p>
    <w:p w14:paraId="59BE2897" w14:textId="1EC60260" w:rsidR="0095201D" w:rsidRPr="0049255E" w:rsidRDefault="0095201D" w:rsidP="00D207B3">
      <w:pPr>
        <w:pStyle w:val="ListParagraph"/>
        <w:numPr>
          <w:ilvl w:val="0"/>
          <w:numId w:val="34"/>
        </w:numPr>
        <w:ind w:left="714" w:hanging="357"/>
        <w:contextualSpacing w:val="0"/>
        <w:rPr>
          <w:rFonts w:eastAsia="Aptos" w:cs="Aptos"/>
          <w:color w:val="000000" w:themeColor="text1"/>
          <w:szCs w:val="22"/>
          <w:lang w:val="en-US"/>
        </w:rPr>
      </w:pPr>
      <w:r>
        <w:rPr>
          <w:rFonts w:eastAsia="Aptos" w:cs="Aptos"/>
          <w:b/>
          <w:bCs/>
          <w:color w:val="000000" w:themeColor="text1"/>
          <w:szCs w:val="22"/>
          <w:lang w:val="en-US"/>
        </w:rPr>
        <w:t>Create a new Outdoor Regulator</w:t>
      </w:r>
      <w:r w:rsidRPr="00C50B8A">
        <w:rPr>
          <w:rFonts w:eastAsia="Aptos" w:cs="Aptos"/>
          <w:color w:val="000000" w:themeColor="text1"/>
          <w:szCs w:val="22"/>
          <w:lang w:val="en-US"/>
        </w:rPr>
        <w:t>.</w:t>
      </w:r>
      <w:r>
        <w:rPr>
          <w:rFonts w:eastAsia="Aptos" w:cs="Aptos"/>
          <w:color w:val="000000" w:themeColor="text1"/>
          <w:szCs w:val="22"/>
          <w:lang w:val="en-US"/>
        </w:rPr>
        <w:t xml:space="preserve"> </w:t>
      </w:r>
      <w:r w:rsidRPr="00C50B8A">
        <w:rPr>
          <w:rFonts w:eastAsia="Aptos" w:cs="Aptos"/>
          <w:color w:val="000000" w:themeColor="text1"/>
          <w:szCs w:val="22"/>
        </w:rPr>
        <w:t xml:space="preserve">The Victorian Fisheries Authority and Game Management Authority both regulate the sustainable use of natural resources </w:t>
      </w:r>
      <w:r w:rsidR="00C41ADC">
        <w:rPr>
          <w:rFonts w:eastAsia="Aptos" w:cs="Aptos"/>
          <w:color w:val="000000" w:themeColor="text1"/>
          <w:szCs w:val="22"/>
        </w:rPr>
        <w:t>–</w:t>
      </w:r>
      <w:r w:rsidRPr="00C50B8A">
        <w:rPr>
          <w:rFonts w:eastAsia="Aptos" w:cs="Aptos"/>
          <w:color w:val="000000" w:themeColor="text1"/>
          <w:szCs w:val="22"/>
        </w:rPr>
        <w:t xml:space="preserve"> fishing and hunting respectively </w:t>
      </w:r>
      <w:r w:rsidR="00C41ADC">
        <w:rPr>
          <w:rFonts w:eastAsia="Aptos" w:cs="Aptos"/>
          <w:color w:val="000000" w:themeColor="text1"/>
          <w:szCs w:val="22"/>
        </w:rPr>
        <w:t>–</w:t>
      </w:r>
      <w:r w:rsidRPr="00C50B8A">
        <w:rPr>
          <w:rFonts w:eastAsia="Aptos" w:cs="Aptos"/>
          <w:color w:val="000000" w:themeColor="text1"/>
          <w:szCs w:val="22"/>
        </w:rPr>
        <w:t xml:space="preserve"> through licensing, compliance and education. Merging them would create a unified </w:t>
      </w:r>
      <w:r>
        <w:rPr>
          <w:rFonts w:eastAsia="Aptos" w:cs="Aptos"/>
          <w:color w:val="000000" w:themeColor="text1"/>
          <w:szCs w:val="22"/>
        </w:rPr>
        <w:t>regulator body</w:t>
      </w:r>
      <w:r w:rsidRPr="00C50B8A">
        <w:rPr>
          <w:rFonts w:eastAsia="Aptos" w:cs="Aptos"/>
          <w:color w:val="000000" w:themeColor="text1"/>
          <w:szCs w:val="22"/>
        </w:rPr>
        <w:t xml:space="preserve"> for wildlife management, improving coordination and reducing administrative duplication.</w:t>
      </w:r>
      <w:r>
        <w:rPr>
          <w:rFonts w:ascii="Arial" w:eastAsia="Aptos" w:hAnsi="Arial" w:cs="Arial"/>
          <w:color w:val="000000" w:themeColor="text1"/>
          <w:szCs w:val="22"/>
          <w:lang w:val="en-US"/>
        </w:rPr>
        <w:t xml:space="preserve"> </w:t>
      </w:r>
      <w:r w:rsidRPr="0049255E">
        <w:rPr>
          <w:rFonts w:eastAsia="Aptos" w:cs="Aptos"/>
          <w:color w:val="000000" w:themeColor="text1"/>
          <w:szCs w:val="22"/>
        </w:rPr>
        <w:t>Over</w:t>
      </w:r>
      <w:r w:rsidR="007170AD">
        <w:rPr>
          <w:rFonts w:eastAsia="Aptos" w:cs="Aptos"/>
          <w:color w:val="000000" w:themeColor="text1"/>
          <w:szCs w:val="22"/>
        </w:rPr>
        <w:t> </w:t>
      </w:r>
      <w:r w:rsidRPr="0049255E">
        <w:rPr>
          <w:rFonts w:eastAsia="Aptos" w:cs="Aptos"/>
          <w:color w:val="000000" w:themeColor="text1"/>
          <w:szCs w:val="22"/>
        </w:rPr>
        <w:t>time, a single entity would enhance data sharing, streamline enforcement, and provide a more consistent regulatory experience for</w:t>
      </w:r>
      <w:r w:rsidR="0091166D">
        <w:rPr>
          <w:rFonts w:eastAsia="Aptos" w:cs="Aptos"/>
          <w:color w:val="000000" w:themeColor="text1"/>
          <w:szCs w:val="22"/>
        </w:rPr>
        <w:t> </w:t>
      </w:r>
      <w:r w:rsidRPr="0049255E">
        <w:rPr>
          <w:rFonts w:eastAsia="Aptos" w:cs="Aptos"/>
          <w:color w:val="000000" w:themeColor="text1"/>
          <w:szCs w:val="22"/>
        </w:rPr>
        <w:t>recreational and commercial users, while supporting a holistic approach to ecosystem and species</w:t>
      </w:r>
      <w:r w:rsidR="0091166D">
        <w:rPr>
          <w:rFonts w:eastAsia="Aptos" w:cs="Aptos"/>
          <w:color w:val="000000" w:themeColor="text1"/>
          <w:szCs w:val="22"/>
        </w:rPr>
        <w:t> </w:t>
      </w:r>
      <w:r w:rsidRPr="0049255E">
        <w:rPr>
          <w:rFonts w:eastAsia="Aptos" w:cs="Aptos"/>
          <w:color w:val="000000" w:themeColor="text1"/>
          <w:szCs w:val="22"/>
        </w:rPr>
        <w:t>management.</w:t>
      </w:r>
    </w:p>
    <w:p w14:paraId="6F280E28" w14:textId="4BF8B908" w:rsidR="0095201D" w:rsidRPr="00521A8C" w:rsidRDefault="0095201D" w:rsidP="00D207B3">
      <w:pPr>
        <w:pStyle w:val="ListParagraph"/>
        <w:numPr>
          <w:ilvl w:val="0"/>
          <w:numId w:val="34"/>
        </w:numPr>
        <w:ind w:left="714" w:hanging="357"/>
        <w:contextualSpacing w:val="0"/>
        <w:rPr>
          <w:rFonts w:eastAsia="Aptos" w:cs="Aptos"/>
          <w:color w:val="000000" w:themeColor="text1"/>
          <w:szCs w:val="22"/>
          <w:lang w:val="en-US"/>
        </w:rPr>
      </w:pPr>
      <w:r w:rsidRPr="00521A8C">
        <w:rPr>
          <w:rFonts w:eastAsia="Aptos" w:cs="Aptos"/>
          <w:b/>
          <w:bCs/>
          <w:color w:val="000000" w:themeColor="text1"/>
          <w:szCs w:val="22"/>
          <w:lang w:val="en-US"/>
        </w:rPr>
        <w:t xml:space="preserve">Merge Heritage Council of Victoria functions </w:t>
      </w:r>
      <w:proofErr w:type="gramStart"/>
      <w:r w:rsidRPr="00521A8C">
        <w:rPr>
          <w:rFonts w:eastAsia="Aptos" w:cs="Aptos"/>
          <w:b/>
          <w:bCs/>
          <w:color w:val="000000" w:themeColor="text1"/>
          <w:szCs w:val="22"/>
          <w:lang w:val="en-US"/>
        </w:rPr>
        <w:t>into</w:t>
      </w:r>
      <w:proofErr w:type="gramEnd"/>
      <w:r w:rsidRPr="00521A8C">
        <w:rPr>
          <w:rFonts w:eastAsia="Aptos" w:cs="Aptos"/>
          <w:b/>
          <w:bCs/>
          <w:color w:val="000000" w:themeColor="text1"/>
          <w:szCs w:val="22"/>
          <w:lang w:val="en-US"/>
        </w:rPr>
        <w:t xml:space="preserve"> Heritage Victoria</w:t>
      </w:r>
      <w:r>
        <w:rPr>
          <w:rFonts w:eastAsia="Aptos" w:cs="Aptos"/>
          <w:color w:val="000000" w:themeColor="text1"/>
          <w:szCs w:val="22"/>
          <w:lang w:val="en-US"/>
        </w:rPr>
        <w:t xml:space="preserve">. </w:t>
      </w:r>
      <w:r w:rsidRPr="00521A8C">
        <w:rPr>
          <w:rFonts w:eastAsia="Aptos" w:cs="Aptos"/>
          <w:color w:val="000000" w:themeColor="text1"/>
          <w:szCs w:val="22"/>
        </w:rPr>
        <w:t xml:space="preserve">The Council and Heritage Victoria both operate within the heritage protection framework, with the Council providing independent advice and determinations, and </w:t>
      </w:r>
      <w:r w:rsidRPr="00521A8C">
        <w:rPr>
          <w:rFonts w:eastAsia="Aptos" w:cs="Aptos"/>
          <w:color w:val="000000" w:themeColor="text1"/>
          <w:szCs w:val="22"/>
        </w:rPr>
        <w:lastRenderedPageBreak/>
        <w:t>Heritage Victoria managing day-to-day operations. Merging these functions would streamline governance and reduce duplication.</w:t>
      </w:r>
      <w:r>
        <w:rPr>
          <w:rFonts w:ascii="Arial" w:eastAsia="Aptos" w:hAnsi="Arial" w:cs="Arial"/>
          <w:color w:val="000000" w:themeColor="text1"/>
          <w:szCs w:val="22"/>
          <w:lang w:val="en-US"/>
        </w:rPr>
        <w:t xml:space="preserve"> </w:t>
      </w:r>
      <w:r>
        <w:rPr>
          <w:rFonts w:eastAsia="Aptos" w:cs="Aptos"/>
          <w:color w:val="000000" w:themeColor="text1"/>
          <w:szCs w:val="22"/>
        </w:rPr>
        <w:t>It</w:t>
      </w:r>
      <w:r w:rsidRPr="00521A8C">
        <w:rPr>
          <w:rFonts w:eastAsia="Aptos" w:cs="Aptos"/>
          <w:color w:val="000000" w:themeColor="text1"/>
          <w:szCs w:val="22"/>
        </w:rPr>
        <w:t xml:space="preserve"> would</w:t>
      </w:r>
      <w:r>
        <w:rPr>
          <w:rFonts w:eastAsia="Aptos" w:cs="Aptos"/>
          <w:color w:val="000000" w:themeColor="text1"/>
          <w:szCs w:val="22"/>
        </w:rPr>
        <w:t xml:space="preserve"> also</w:t>
      </w:r>
      <w:r w:rsidRPr="00521A8C">
        <w:rPr>
          <w:rFonts w:eastAsia="Aptos" w:cs="Aptos"/>
          <w:color w:val="000000" w:themeColor="text1"/>
          <w:szCs w:val="22"/>
        </w:rPr>
        <w:t xml:space="preserve"> centralise heritage decision-making and policy implementation, </w:t>
      </w:r>
      <w:proofErr w:type="gramStart"/>
      <w:r w:rsidRPr="00521A8C">
        <w:rPr>
          <w:rFonts w:eastAsia="Aptos" w:cs="Aptos"/>
          <w:color w:val="000000" w:themeColor="text1"/>
          <w:szCs w:val="22"/>
        </w:rPr>
        <w:t>improving</w:t>
      </w:r>
      <w:proofErr w:type="gramEnd"/>
      <w:r w:rsidRPr="00521A8C">
        <w:rPr>
          <w:rFonts w:eastAsia="Aptos" w:cs="Aptos"/>
          <w:color w:val="000000" w:themeColor="text1"/>
          <w:szCs w:val="22"/>
        </w:rPr>
        <w:t xml:space="preserve"> efficiency and responsiveness while</w:t>
      </w:r>
      <w:r w:rsidR="007558A1">
        <w:rPr>
          <w:rFonts w:eastAsia="Aptos" w:cs="Aptos"/>
          <w:color w:val="000000" w:themeColor="text1"/>
          <w:szCs w:val="22"/>
        </w:rPr>
        <w:t> </w:t>
      </w:r>
      <w:r w:rsidRPr="00521A8C">
        <w:rPr>
          <w:rFonts w:eastAsia="Aptos" w:cs="Aptos"/>
          <w:color w:val="000000" w:themeColor="text1"/>
          <w:szCs w:val="22"/>
        </w:rPr>
        <w:t>maintaining strong heritage protections through a single accountable body.</w:t>
      </w:r>
    </w:p>
    <w:p w14:paraId="6EB4048C" w14:textId="2362242E" w:rsidR="0095201D" w:rsidRPr="005F756F" w:rsidRDefault="0095201D" w:rsidP="00D207B3">
      <w:pPr>
        <w:pStyle w:val="ListParagraph"/>
        <w:numPr>
          <w:ilvl w:val="0"/>
          <w:numId w:val="34"/>
        </w:numPr>
        <w:ind w:left="714" w:hanging="357"/>
        <w:contextualSpacing w:val="0"/>
        <w:rPr>
          <w:rFonts w:eastAsia="Aptos" w:cs="Aptos"/>
          <w:color w:val="000000" w:themeColor="text1"/>
          <w:szCs w:val="22"/>
        </w:rPr>
      </w:pPr>
      <w:r w:rsidRPr="00F37602">
        <w:rPr>
          <w:rFonts w:eastAsia="Aptos" w:cs="Aptos"/>
          <w:b/>
          <w:bCs/>
          <w:color w:val="000000" w:themeColor="text1"/>
          <w:szCs w:val="22"/>
          <w:lang w:val="en-US"/>
        </w:rPr>
        <w:t>Absorb the Housing Registrar into the Social Services Regulator</w:t>
      </w:r>
      <w:r w:rsidR="001316CD">
        <w:rPr>
          <w:rFonts w:eastAsia="Aptos" w:cs="Aptos"/>
          <w:b/>
          <w:bCs/>
          <w:color w:val="000000" w:themeColor="text1"/>
          <w:szCs w:val="22"/>
          <w:lang w:val="en-US"/>
        </w:rPr>
        <w:t xml:space="preserve"> (SSR)</w:t>
      </w:r>
      <w:r>
        <w:rPr>
          <w:rFonts w:eastAsia="Aptos" w:cs="Aptos"/>
          <w:color w:val="000000" w:themeColor="text1"/>
          <w:szCs w:val="22"/>
          <w:lang w:val="en-US"/>
        </w:rPr>
        <w:t xml:space="preserve">. </w:t>
      </w:r>
      <w:r w:rsidRPr="00F37602">
        <w:rPr>
          <w:rFonts w:eastAsia="Aptos" w:cs="Aptos"/>
          <w:color w:val="000000" w:themeColor="text1"/>
          <w:szCs w:val="22"/>
        </w:rPr>
        <w:t xml:space="preserve">Victoria’s </w:t>
      </w:r>
      <w:r w:rsidR="00E16C90">
        <w:rPr>
          <w:rFonts w:eastAsia="Aptos" w:cs="Aptos"/>
          <w:color w:val="000000" w:themeColor="text1"/>
          <w:szCs w:val="22"/>
        </w:rPr>
        <w:t>SSR</w:t>
      </w:r>
      <w:r w:rsidRPr="00F37602">
        <w:rPr>
          <w:rFonts w:eastAsia="Aptos" w:cs="Aptos"/>
          <w:color w:val="000000" w:themeColor="text1"/>
          <w:szCs w:val="22"/>
        </w:rPr>
        <w:t xml:space="preserve"> is an independent statutory authority that </w:t>
      </w:r>
      <w:r w:rsidRPr="00F37602">
        <w:rPr>
          <w:rFonts w:eastAsia="Aptos" w:cs="Aptos"/>
          <w:color w:val="000000" w:themeColor="text1"/>
          <w:szCs w:val="22"/>
        </w:rPr>
        <w:t xml:space="preserve">was established in 2021 and replaced the Human Services Regulator. The SSR’s recently expanded regulatory framework establishes it as the single independent regulator for Victorian social service providers – overseeing safety and quality standards. </w:t>
      </w:r>
      <w:r w:rsidRPr="005F756F">
        <w:rPr>
          <w:rFonts w:eastAsia="Aptos" w:cs="Aptos"/>
          <w:color w:val="000000" w:themeColor="text1"/>
          <w:szCs w:val="22"/>
        </w:rPr>
        <w:t xml:space="preserve">An expanded </w:t>
      </w:r>
      <w:r w:rsidRPr="00F37602">
        <w:rPr>
          <w:rFonts w:eastAsia="Aptos" w:cs="Aptos"/>
          <w:color w:val="000000" w:themeColor="text1"/>
          <w:szCs w:val="22"/>
        </w:rPr>
        <w:t>SSR</w:t>
      </w:r>
      <w:r>
        <w:rPr>
          <w:rFonts w:eastAsia="Aptos" w:cs="Aptos"/>
          <w:color w:val="000000" w:themeColor="text1"/>
          <w:szCs w:val="22"/>
        </w:rPr>
        <w:t xml:space="preserve"> would</w:t>
      </w:r>
      <w:r w:rsidRPr="00F37602">
        <w:rPr>
          <w:rFonts w:eastAsia="Aptos" w:cs="Aptos"/>
          <w:color w:val="000000" w:themeColor="text1"/>
          <w:szCs w:val="22"/>
        </w:rPr>
        <w:t xml:space="preserve"> incorporat</w:t>
      </w:r>
      <w:r>
        <w:rPr>
          <w:rFonts w:eastAsia="Aptos" w:cs="Aptos"/>
          <w:color w:val="000000" w:themeColor="text1"/>
          <w:szCs w:val="22"/>
        </w:rPr>
        <w:t>e</w:t>
      </w:r>
      <w:r w:rsidRPr="00F37602">
        <w:rPr>
          <w:rFonts w:eastAsia="Aptos" w:cs="Aptos"/>
          <w:color w:val="000000" w:themeColor="text1"/>
          <w:szCs w:val="22"/>
        </w:rPr>
        <w:t xml:space="preserve"> the functions of the Housing Registrar. The Housing Registrar regulates Victoria’s community housing sector and providers oversight of registered community housing agencies for financial viability and tenant safety. </w:t>
      </w:r>
    </w:p>
    <w:p w14:paraId="6F6AB5D0" w14:textId="77777777" w:rsidR="006A0C26" w:rsidRDefault="006A0C26" w:rsidP="00631CD7">
      <w:pPr>
        <w:pStyle w:val="Figureheading"/>
        <w:sectPr w:rsidR="006A0C26" w:rsidSect="006A0C26">
          <w:type w:val="continuous"/>
          <w:pgSz w:w="11906" w:h="16838"/>
          <w:pgMar w:top="1440" w:right="1440" w:bottom="1440" w:left="1440" w:header="708" w:footer="708" w:gutter="0"/>
          <w:cols w:num="2" w:space="708"/>
          <w:docGrid w:linePitch="360"/>
          <w15:footnoteColumns w:val="1"/>
        </w:sectPr>
      </w:pPr>
    </w:p>
    <w:p w14:paraId="0B1F5DFB" w14:textId="3174BF16" w:rsidR="0095201D" w:rsidRPr="00B30CB4" w:rsidRDefault="0095201D" w:rsidP="00631CD7">
      <w:pPr>
        <w:pStyle w:val="Figureheading"/>
      </w:pPr>
      <w:r w:rsidRPr="00B30CB4">
        <w:t xml:space="preserve">Figure </w:t>
      </w:r>
      <w:r w:rsidR="00DE4064">
        <w:t>6</w:t>
      </w:r>
      <w:r w:rsidRPr="00B30CB4">
        <w:t>.</w:t>
      </w:r>
      <w:r w:rsidR="009D5FCD">
        <w:fldChar w:fldCharType="begin"/>
      </w:r>
      <w:r w:rsidR="009D5FCD">
        <w:instrText xml:space="preserve"> SEQ Figure \* ARABIC \s 1 </w:instrText>
      </w:r>
      <w:r w:rsidR="009D5FCD">
        <w:fldChar w:fldCharType="separate"/>
      </w:r>
      <w:r w:rsidR="009D1283">
        <w:rPr>
          <w:noProof/>
        </w:rPr>
        <w:t>3</w:t>
      </w:r>
      <w:r w:rsidR="009D5FCD">
        <w:rPr>
          <w:noProof/>
        </w:rPr>
        <w:fldChar w:fldCharType="end"/>
      </w:r>
      <w:r w:rsidRPr="00B30CB4">
        <w:t>: Regulators with substantive mergers or scope changes</w:t>
      </w:r>
    </w:p>
    <w:p w14:paraId="4D65280C" w14:textId="4A462D53" w:rsidR="0095201D" w:rsidRDefault="00EF5D11" w:rsidP="0095201D">
      <w:pPr>
        <w:rPr>
          <w:lang w:val="en-US" w:eastAsia="ja-JP"/>
        </w:rPr>
      </w:pPr>
      <w:r>
        <w:rPr>
          <w:noProof/>
        </w:rPr>
        <w:drawing>
          <wp:inline distT="0" distB="0" distL="0" distR="0" wp14:anchorId="2944BD60" wp14:editId="4A2D0AAB">
            <wp:extent cx="5920966" cy="3952005"/>
            <wp:effectExtent l="0" t="0" r="3810" b="0"/>
            <wp:docPr id="1211521067" name="Picture 2" descr="A diagram that illustrates regulators with substantive mergers or scope changes as recommended by the Independent Review. The figure separately identifies existing entity and department regulators and groups these in new regul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21067" name="Picture 2" descr="A diagram that illustrates regulators with substantive mergers or scope changes as recommended by the Independent Review. The figure separately identifies existing entity and department regulators and groups these in new regulator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a:fillRect/>
                    </a:stretch>
                  </pic:blipFill>
                  <pic:spPr bwMode="auto">
                    <a:xfrm>
                      <a:off x="0" y="0"/>
                      <a:ext cx="5967826" cy="3983282"/>
                    </a:xfrm>
                    <a:prstGeom prst="rect">
                      <a:avLst/>
                    </a:prstGeom>
                    <a:noFill/>
                    <a:ln>
                      <a:noFill/>
                    </a:ln>
                    <a:extLst>
                      <a:ext uri="{53640926-AAD7-44D8-BBD7-CCE9431645EC}">
                        <a14:shadowObscured xmlns:a14="http://schemas.microsoft.com/office/drawing/2010/main"/>
                      </a:ext>
                    </a:extLst>
                  </pic:spPr>
                </pic:pic>
              </a:graphicData>
            </a:graphic>
          </wp:inline>
        </w:drawing>
      </w:r>
    </w:p>
    <w:p w14:paraId="3CBE213D" w14:textId="75970B31" w:rsidR="0095201D" w:rsidRPr="00C41ADC" w:rsidRDefault="00C41ADC" w:rsidP="008B0AA9">
      <w:pPr>
        <w:pStyle w:val="Caption"/>
        <w:spacing w:before="240"/>
      </w:pPr>
      <w:r w:rsidRPr="00C41ADC">
        <w:t>Source: Independent Review of the VPS, 2025</w:t>
      </w:r>
    </w:p>
    <w:p w14:paraId="541D5511" w14:textId="77777777" w:rsidR="00912304" w:rsidRDefault="00912304" w:rsidP="00950B98">
      <w:pPr>
        <w:pStyle w:val="Heading3"/>
        <w:spacing w:before="0"/>
        <w:rPr>
          <w:rFonts w:eastAsia="Aptos"/>
        </w:rPr>
      </w:pPr>
      <w:r>
        <w:rPr>
          <w:rFonts w:eastAsia="Aptos"/>
        </w:rPr>
        <w:br w:type="page"/>
      </w:r>
    </w:p>
    <w:p w14:paraId="045544B2" w14:textId="77777777" w:rsidR="00912304" w:rsidRDefault="00912304" w:rsidP="00950B98">
      <w:pPr>
        <w:pStyle w:val="Heading3"/>
        <w:spacing w:before="0"/>
        <w:rPr>
          <w:rFonts w:eastAsia="Aptos"/>
        </w:rPr>
        <w:sectPr w:rsidR="00912304" w:rsidSect="00AE6104">
          <w:type w:val="continuous"/>
          <w:pgSz w:w="11906" w:h="16838"/>
          <w:pgMar w:top="1440" w:right="1440" w:bottom="1440" w:left="1440" w:header="708" w:footer="708" w:gutter="0"/>
          <w:cols w:space="708"/>
          <w:docGrid w:linePitch="360"/>
          <w15:footnoteColumns w:val="1"/>
        </w:sectPr>
      </w:pPr>
    </w:p>
    <w:p w14:paraId="650DE292" w14:textId="29E86953" w:rsidR="0095201D" w:rsidRPr="004340C8" w:rsidRDefault="0095201D" w:rsidP="00950B98">
      <w:pPr>
        <w:pStyle w:val="Heading3"/>
        <w:spacing w:before="0"/>
        <w:rPr>
          <w:rFonts w:ascii="Aptos" w:eastAsia="Aptos" w:hAnsi="Aptos" w:cs="Aptos"/>
          <w:b w:val="0"/>
          <w:color w:val="000000" w:themeColor="text1"/>
        </w:rPr>
      </w:pPr>
      <w:r>
        <w:rPr>
          <w:rFonts w:eastAsia="Aptos"/>
        </w:rPr>
        <w:lastRenderedPageBreak/>
        <w:t xml:space="preserve">Water and </w:t>
      </w:r>
      <w:r w:rsidRPr="0044167F">
        <w:t>land</w:t>
      </w:r>
      <w:r>
        <w:rPr>
          <w:rFonts w:eastAsia="Aptos"/>
        </w:rPr>
        <w:t xml:space="preserve"> management reform</w:t>
      </w:r>
    </w:p>
    <w:p w14:paraId="60B9EAD5" w14:textId="585C42B2" w:rsidR="0095201D" w:rsidRPr="00A807D7" w:rsidRDefault="0095201D" w:rsidP="0095201D">
      <w:pPr>
        <w:rPr>
          <w:rFonts w:ascii="Aptos" w:eastAsia="Aptos" w:hAnsi="Aptos" w:cs="Aptos"/>
          <w:color w:val="000000" w:themeColor="text1"/>
        </w:rPr>
      </w:pPr>
      <w:r w:rsidRPr="00C04303">
        <w:rPr>
          <w:rFonts w:ascii="Aptos" w:eastAsia="Aptos" w:hAnsi="Aptos" w:cs="Aptos"/>
          <w:color w:val="000000" w:themeColor="text1"/>
        </w:rPr>
        <w:t xml:space="preserve">The </w:t>
      </w:r>
      <w:r w:rsidRPr="00C04303">
        <w:rPr>
          <w:rFonts w:ascii="Aptos" w:eastAsia="Aptos" w:hAnsi="Aptos" w:cs="Aptos"/>
          <w:color w:val="000000" w:themeColor="text1"/>
          <w:lang w:val="en-US"/>
        </w:rPr>
        <w:t>Review recommends consolidating 17</w:t>
      </w:r>
      <w:r w:rsidR="00E4561D">
        <w:rPr>
          <w:rFonts w:ascii="Aptos" w:eastAsia="Aptos" w:hAnsi="Aptos" w:cs="Aptos"/>
          <w:color w:val="000000" w:themeColor="text1"/>
          <w:lang w:val="en-US"/>
        </w:rPr>
        <w:t> </w:t>
      </w:r>
      <w:r w:rsidRPr="00C04303">
        <w:rPr>
          <w:rFonts w:ascii="Aptos" w:eastAsia="Aptos" w:hAnsi="Aptos" w:cs="Aptos"/>
          <w:color w:val="000000" w:themeColor="text1"/>
          <w:lang w:val="en-US"/>
        </w:rPr>
        <w:t>water corporations (excluding Melbourne Water) into 6</w:t>
      </w:r>
      <w:r>
        <w:rPr>
          <w:rFonts w:ascii="Aptos" w:eastAsia="Aptos" w:hAnsi="Aptos" w:cs="Aptos"/>
          <w:color w:val="000000" w:themeColor="text1"/>
          <w:lang w:val="en-US"/>
        </w:rPr>
        <w:t>.</w:t>
      </w:r>
      <w:r w:rsidRPr="00C04303">
        <w:rPr>
          <w:rFonts w:ascii="Aptos" w:eastAsia="Aptos" w:hAnsi="Aptos" w:cs="Aptos"/>
          <w:color w:val="000000" w:themeColor="text1"/>
          <w:lang w:val="en-US"/>
        </w:rPr>
        <w:t xml:space="preserve"> </w:t>
      </w:r>
      <w:r>
        <w:rPr>
          <w:rFonts w:ascii="Aptos" w:eastAsia="Aptos" w:hAnsi="Aptos" w:cs="Aptos"/>
          <w:color w:val="000000" w:themeColor="text1"/>
        </w:rPr>
        <w:t xml:space="preserve">Three </w:t>
      </w:r>
      <w:r w:rsidRPr="007428E2">
        <w:rPr>
          <w:rFonts w:ascii="Aptos" w:eastAsia="Aptos" w:hAnsi="Aptos" w:cs="Aptos"/>
          <w:color w:val="000000" w:themeColor="text1"/>
        </w:rPr>
        <w:t xml:space="preserve">metro corporations and </w:t>
      </w:r>
      <w:r>
        <w:rPr>
          <w:rFonts w:ascii="Aptos" w:eastAsia="Aptos" w:hAnsi="Aptos" w:cs="Aptos"/>
          <w:color w:val="000000" w:themeColor="text1"/>
        </w:rPr>
        <w:t xml:space="preserve">3 </w:t>
      </w:r>
      <w:r w:rsidRPr="007428E2">
        <w:rPr>
          <w:rFonts w:ascii="Aptos" w:eastAsia="Aptos" w:hAnsi="Aptos" w:cs="Aptos"/>
          <w:color w:val="000000" w:themeColor="text1"/>
        </w:rPr>
        <w:t xml:space="preserve">merged regional water corporations would </w:t>
      </w:r>
      <w:r>
        <w:rPr>
          <w:rFonts w:ascii="Aptos" w:eastAsia="Aptos" w:hAnsi="Aptos" w:cs="Aptos"/>
          <w:color w:val="000000" w:themeColor="text1"/>
        </w:rPr>
        <w:t xml:space="preserve">form </w:t>
      </w:r>
      <w:r w:rsidRPr="007428E2">
        <w:rPr>
          <w:rFonts w:ascii="Aptos" w:eastAsia="Aptos" w:hAnsi="Aptos" w:cs="Aptos"/>
          <w:color w:val="000000" w:themeColor="text1"/>
        </w:rPr>
        <w:t>metro-regional partnership</w:t>
      </w:r>
      <w:r>
        <w:rPr>
          <w:rFonts w:ascii="Aptos" w:eastAsia="Aptos" w:hAnsi="Aptos" w:cs="Aptos"/>
          <w:color w:val="000000" w:themeColor="text1"/>
        </w:rPr>
        <w:t>s</w:t>
      </w:r>
      <w:r w:rsidRPr="007428E2">
        <w:rPr>
          <w:rFonts w:ascii="Aptos" w:eastAsia="Aptos" w:hAnsi="Aptos" w:cs="Aptos"/>
          <w:color w:val="000000" w:themeColor="text1"/>
        </w:rPr>
        <w:t>, combining strat</w:t>
      </w:r>
      <w:r>
        <w:rPr>
          <w:rFonts w:ascii="Aptos" w:eastAsia="Aptos" w:hAnsi="Aptos" w:cs="Aptos"/>
          <w:color w:val="000000" w:themeColor="text1"/>
        </w:rPr>
        <w:t>egic</w:t>
      </w:r>
      <w:r w:rsidRPr="007428E2">
        <w:rPr>
          <w:rFonts w:ascii="Aptos" w:eastAsia="Aptos" w:hAnsi="Aptos" w:cs="Aptos"/>
          <w:color w:val="000000" w:themeColor="text1"/>
        </w:rPr>
        <w:t xml:space="preserve"> coordination with local delivery expertise </w:t>
      </w:r>
      <w:r>
        <w:rPr>
          <w:rFonts w:ascii="Aptos" w:eastAsia="Aptos" w:hAnsi="Aptos" w:cs="Aptos"/>
          <w:color w:val="000000" w:themeColor="text1"/>
        </w:rPr>
        <w:t xml:space="preserve">for efficient </w:t>
      </w:r>
      <w:r w:rsidRPr="007428E2">
        <w:rPr>
          <w:rFonts w:ascii="Aptos" w:eastAsia="Aptos" w:hAnsi="Aptos" w:cs="Aptos"/>
          <w:color w:val="000000" w:themeColor="text1"/>
        </w:rPr>
        <w:t>manage</w:t>
      </w:r>
      <w:r>
        <w:rPr>
          <w:rFonts w:ascii="Aptos" w:eastAsia="Aptos" w:hAnsi="Aptos" w:cs="Aptos"/>
          <w:color w:val="000000" w:themeColor="text1"/>
        </w:rPr>
        <w:t>ment of</w:t>
      </w:r>
      <w:r w:rsidRPr="007428E2">
        <w:rPr>
          <w:rFonts w:ascii="Aptos" w:eastAsia="Aptos" w:hAnsi="Aptos" w:cs="Aptos"/>
          <w:color w:val="000000" w:themeColor="text1"/>
        </w:rPr>
        <w:t xml:space="preserve"> water resources across the state.</w:t>
      </w:r>
      <w:r>
        <w:rPr>
          <w:rFonts w:ascii="Aptos" w:eastAsia="Aptos" w:hAnsi="Aptos" w:cs="Aptos"/>
          <w:color w:val="000000" w:themeColor="text1"/>
        </w:rPr>
        <w:t xml:space="preserve"> </w:t>
      </w:r>
      <w:r w:rsidRPr="00C04303">
        <w:rPr>
          <w:rFonts w:ascii="Aptos" w:eastAsia="Aptos" w:hAnsi="Aptos" w:cs="Aptos"/>
          <w:color w:val="000000" w:themeColor="text1"/>
          <w:lang w:val="en-US"/>
        </w:rPr>
        <w:t xml:space="preserve">Catchment Management Authorities (CMAs) </w:t>
      </w:r>
      <w:r>
        <w:rPr>
          <w:rFonts w:ascii="Aptos" w:eastAsia="Aptos" w:hAnsi="Aptos" w:cs="Aptos"/>
          <w:color w:val="000000" w:themeColor="text1"/>
          <w:lang w:val="en-US"/>
        </w:rPr>
        <w:t xml:space="preserve">would be merged </w:t>
      </w:r>
      <w:r w:rsidRPr="00C04303">
        <w:rPr>
          <w:rFonts w:ascii="Aptos" w:eastAsia="Aptos" w:hAnsi="Aptos" w:cs="Aptos"/>
          <w:color w:val="000000" w:themeColor="text1"/>
          <w:lang w:val="en-US"/>
        </w:rPr>
        <w:t>into 3 regionally</w:t>
      </w:r>
      <w:r>
        <w:rPr>
          <w:rFonts w:ascii="Aptos" w:eastAsia="Aptos" w:hAnsi="Aptos" w:cs="Aptos"/>
          <w:color w:val="000000" w:themeColor="text1"/>
          <w:lang w:val="en-US"/>
        </w:rPr>
        <w:t xml:space="preserve"> aligned</w:t>
      </w:r>
      <w:r w:rsidRPr="00C04303">
        <w:rPr>
          <w:rFonts w:ascii="Aptos" w:eastAsia="Aptos" w:hAnsi="Aptos" w:cs="Aptos"/>
          <w:color w:val="000000" w:themeColor="text1"/>
          <w:lang w:val="en-US"/>
        </w:rPr>
        <w:t xml:space="preserve"> bodies (Figure </w:t>
      </w:r>
      <w:r>
        <w:rPr>
          <w:rFonts w:ascii="Aptos" w:eastAsia="Aptos" w:hAnsi="Aptos" w:cs="Aptos"/>
          <w:color w:val="000000" w:themeColor="text1"/>
          <w:lang w:val="en-US"/>
        </w:rPr>
        <w:t>6.4</w:t>
      </w:r>
      <w:r w:rsidRPr="00C04303">
        <w:rPr>
          <w:rFonts w:ascii="Aptos" w:eastAsia="Aptos" w:hAnsi="Aptos" w:cs="Aptos"/>
          <w:color w:val="000000" w:themeColor="text1"/>
          <w:lang w:val="en-US"/>
        </w:rPr>
        <w:t>).</w:t>
      </w:r>
    </w:p>
    <w:p w14:paraId="5772C784" w14:textId="77777777" w:rsidR="0095201D" w:rsidRPr="00B40E55" w:rsidRDefault="0095201D" w:rsidP="0095201D">
      <w:pPr>
        <w:rPr>
          <w:rFonts w:ascii="Aptos" w:eastAsia="Aptos" w:hAnsi="Aptos" w:cs="Aptos"/>
          <w:color w:val="000000" w:themeColor="text1"/>
        </w:rPr>
      </w:pPr>
      <w:r w:rsidRPr="00B40E55">
        <w:rPr>
          <w:rFonts w:ascii="Aptos" w:eastAsia="Aptos" w:hAnsi="Aptos" w:cs="Aptos"/>
          <w:color w:val="000000" w:themeColor="text1"/>
        </w:rPr>
        <w:t>Metro water corporations would act as the central coordination hubs for their respective partnerships. They would be responsible for direct service delivery, infrastructure maintenance and emergency response within their defined areas (as they are now) and take leadership responsibility for the partnership for:</w:t>
      </w:r>
    </w:p>
    <w:p w14:paraId="695D007F" w14:textId="3C1A30A5" w:rsidR="0095201D" w:rsidRPr="00B40E55" w:rsidRDefault="0095201D" w:rsidP="00D207B3">
      <w:pPr>
        <w:numPr>
          <w:ilvl w:val="0"/>
          <w:numId w:val="35"/>
        </w:numPr>
        <w:rPr>
          <w:rFonts w:ascii="Aptos" w:eastAsia="Aptos" w:hAnsi="Aptos" w:cs="Aptos"/>
          <w:color w:val="000000" w:themeColor="text1"/>
          <w:lang w:val="en-US"/>
        </w:rPr>
      </w:pPr>
      <w:r w:rsidRPr="00B40E55">
        <w:rPr>
          <w:rFonts w:ascii="Aptos" w:eastAsia="Aptos" w:hAnsi="Aptos" w:cs="Aptos"/>
          <w:color w:val="000000" w:themeColor="text1"/>
        </w:rPr>
        <w:t>Service delivery management – oversee and coordinate service delivery across urban and regional centres, guiding the service delivery</w:t>
      </w:r>
      <w:r w:rsidR="00E376B9">
        <w:rPr>
          <w:rFonts w:ascii="Aptos" w:eastAsia="Aptos" w:hAnsi="Aptos" w:cs="Aptos"/>
          <w:color w:val="000000" w:themeColor="text1"/>
        </w:rPr>
        <w:t> </w:t>
      </w:r>
      <w:r w:rsidRPr="00B40E55">
        <w:rPr>
          <w:rFonts w:ascii="Aptos" w:eastAsia="Aptos" w:hAnsi="Aptos" w:cs="Aptos"/>
          <w:color w:val="000000" w:themeColor="text1"/>
        </w:rPr>
        <w:t>operations of the regional</w:t>
      </w:r>
      <w:r w:rsidR="00E376B9">
        <w:rPr>
          <w:rFonts w:ascii="Aptos" w:eastAsia="Aptos" w:hAnsi="Aptos" w:cs="Aptos"/>
          <w:color w:val="000000" w:themeColor="text1"/>
        </w:rPr>
        <w:t> </w:t>
      </w:r>
      <w:r w:rsidRPr="00B40E55">
        <w:rPr>
          <w:rFonts w:ascii="Aptos" w:eastAsia="Aptos" w:hAnsi="Aptos" w:cs="Aptos"/>
          <w:color w:val="000000" w:themeColor="text1"/>
        </w:rPr>
        <w:t>corporation</w:t>
      </w:r>
    </w:p>
    <w:p w14:paraId="2FE8F768" w14:textId="77777777" w:rsidR="0095201D" w:rsidRPr="00B40E55" w:rsidRDefault="0095201D" w:rsidP="00D207B3">
      <w:pPr>
        <w:numPr>
          <w:ilvl w:val="0"/>
          <w:numId w:val="35"/>
        </w:numPr>
        <w:rPr>
          <w:rFonts w:ascii="Aptos" w:eastAsia="Aptos" w:hAnsi="Aptos" w:cs="Aptos"/>
          <w:color w:val="000000" w:themeColor="text1"/>
        </w:rPr>
      </w:pPr>
      <w:r w:rsidRPr="00B40E55">
        <w:rPr>
          <w:rFonts w:ascii="Aptos" w:eastAsia="Aptos" w:hAnsi="Aptos" w:cs="Aptos"/>
          <w:color w:val="000000" w:themeColor="text1"/>
        </w:rPr>
        <w:t>Network planning – undertake network planning for the partnership, including aligning plans with regional water corporations to ensure comprehensive coverage</w:t>
      </w:r>
    </w:p>
    <w:p w14:paraId="17682082" w14:textId="77777777" w:rsidR="0095201D" w:rsidRPr="00B40E55" w:rsidRDefault="0095201D" w:rsidP="00D207B3">
      <w:pPr>
        <w:numPr>
          <w:ilvl w:val="0"/>
          <w:numId w:val="35"/>
        </w:numPr>
        <w:rPr>
          <w:rFonts w:ascii="Aptos" w:eastAsia="Aptos" w:hAnsi="Aptos" w:cs="Aptos"/>
          <w:color w:val="000000" w:themeColor="text1"/>
          <w:lang w:val="en-US"/>
        </w:rPr>
      </w:pPr>
      <w:r w:rsidRPr="00B40E55">
        <w:rPr>
          <w:rFonts w:ascii="Aptos" w:eastAsia="Aptos" w:hAnsi="Aptos" w:cs="Aptos"/>
          <w:color w:val="000000" w:themeColor="text1"/>
        </w:rPr>
        <w:t>Procurement – leverage buying power and economies of scale for any contracts</w:t>
      </w:r>
    </w:p>
    <w:p w14:paraId="10B3D8E5" w14:textId="0CF3BECF" w:rsidR="0095201D" w:rsidRPr="00B40E55" w:rsidRDefault="0095201D" w:rsidP="00D207B3">
      <w:pPr>
        <w:numPr>
          <w:ilvl w:val="0"/>
          <w:numId w:val="35"/>
        </w:numPr>
        <w:rPr>
          <w:rFonts w:ascii="Aptos" w:eastAsia="Aptos" w:hAnsi="Aptos" w:cs="Aptos"/>
          <w:color w:val="000000" w:themeColor="text1"/>
        </w:rPr>
      </w:pPr>
      <w:r w:rsidRPr="00B40E55">
        <w:rPr>
          <w:rFonts w:ascii="Aptos" w:eastAsia="Aptos" w:hAnsi="Aptos" w:cs="Aptos"/>
          <w:color w:val="000000" w:themeColor="text1"/>
        </w:rPr>
        <w:t xml:space="preserve">Corporate functions – manage finances, HR, communications, legal services and other functions for the partnership. </w:t>
      </w:r>
    </w:p>
    <w:p w14:paraId="5E948F79" w14:textId="51CE090B" w:rsidR="0095201D" w:rsidRPr="00B40E55" w:rsidRDefault="0095201D" w:rsidP="0095201D">
      <w:pPr>
        <w:rPr>
          <w:rFonts w:ascii="Aptos" w:eastAsia="Aptos" w:hAnsi="Aptos" w:cs="Aptos"/>
          <w:color w:val="000000" w:themeColor="text1"/>
          <w:lang w:val="en-US"/>
        </w:rPr>
      </w:pPr>
      <w:r w:rsidRPr="00B40E55">
        <w:rPr>
          <w:rFonts w:ascii="Aptos" w:eastAsia="Aptos" w:hAnsi="Aptos" w:cs="Aptos"/>
          <w:color w:val="000000" w:themeColor="text1"/>
        </w:rPr>
        <w:t>The regional water corporations would act as the service delivery arms for their respective partnerships.</w:t>
      </w:r>
      <w:r w:rsidRPr="00B40E55">
        <w:rPr>
          <w:rFonts w:ascii="Aptos" w:eastAsia="Aptos" w:hAnsi="Aptos" w:cs="Aptos"/>
          <w:color w:val="000000" w:themeColor="text1"/>
          <w:lang w:val="en-US"/>
        </w:rPr>
        <w:t xml:space="preserve"> </w:t>
      </w:r>
      <w:r w:rsidRPr="00B40E55">
        <w:rPr>
          <w:rFonts w:ascii="Aptos" w:eastAsia="Aptos" w:hAnsi="Aptos" w:cs="Aptos"/>
          <w:color w:val="000000" w:themeColor="text1"/>
        </w:rPr>
        <w:t>They would be responsible for:</w:t>
      </w:r>
    </w:p>
    <w:p w14:paraId="0450FD56" w14:textId="04C14B26" w:rsidR="0095201D" w:rsidRPr="00B40E55" w:rsidRDefault="0095201D" w:rsidP="00D207B3">
      <w:pPr>
        <w:numPr>
          <w:ilvl w:val="0"/>
          <w:numId w:val="36"/>
        </w:numPr>
        <w:rPr>
          <w:rFonts w:ascii="Aptos" w:eastAsia="Aptos" w:hAnsi="Aptos" w:cs="Aptos"/>
          <w:color w:val="000000" w:themeColor="text1"/>
          <w:lang w:val="en-US"/>
        </w:rPr>
      </w:pPr>
      <w:r w:rsidRPr="00B40E55">
        <w:rPr>
          <w:rFonts w:ascii="Aptos" w:eastAsia="Aptos" w:hAnsi="Aptos" w:cs="Aptos"/>
          <w:color w:val="000000" w:themeColor="text1"/>
        </w:rPr>
        <w:t>Direct service delivery – manage operations of water supply and sewage services within their areas, ensuring reliability and responsive</w:t>
      </w:r>
      <w:r w:rsidR="006A5E6B">
        <w:rPr>
          <w:rFonts w:ascii="Aptos" w:eastAsia="Aptos" w:hAnsi="Aptos" w:cs="Aptos"/>
          <w:color w:val="000000" w:themeColor="text1"/>
        </w:rPr>
        <w:softHyphen/>
      </w:r>
      <w:r w:rsidRPr="00B40E55">
        <w:rPr>
          <w:rFonts w:ascii="Aptos" w:eastAsia="Aptos" w:hAnsi="Aptos" w:cs="Aptos"/>
          <w:color w:val="000000" w:themeColor="text1"/>
        </w:rPr>
        <w:t>ness to local customer needs</w:t>
      </w:r>
    </w:p>
    <w:p w14:paraId="321380B1" w14:textId="77777777" w:rsidR="0095201D" w:rsidRPr="00B40E55" w:rsidRDefault="0095201D" w:rsidP="00D207B3">
      <w:pPr>
        <w:numPr>
          <w:ilvl w:val="0"/>
          <w:numId w:val="36"/>
        </w:numPr>
        <w:rPr>
          <w:rFonts w:ascii="Aptos" w:eastAsia="Aptos" w:hAnsi="Aptos" w:cs="Aptos"/>
          <w:color w:val="000000" w:themeColor="text1"/>
          <w:lang w:val="en-US"/>
        </w:rPr>
      </w:pPr>
      <w:r w:rsidRPr="00B40E55">
        <w:rPr>
          <w:rFonts w:ascii="Aptos" w:eastAsia="Aptos" w:hAnsi="Aptos" w:cs="Aptos"/>
          <w:color w:val="000000" w:themeColor="text1"/>
        </w:rPr>
        <w:t>Infrastructure maintenance – maintain and operate local infrastructure, including distribution networks and treatment facilities</w:t>
      </w:r>
    </w:p>
    <w:p w14:paraId="313CE5D6" w14:textId="51ED0F2C" w:rsidR="0095201D" w:rsidRPr="00B40E55" w:rsidRDefault="0095201D" w:rsidP="00D207B3">
      <w:pPr>
        <w:numPr>
          <w:ilvl w:val="0"/>
          <w:numId w:val="36"/>
        </w:numPr>
        <w:rPr>
          <w:rFonts w:ascii="Aptos" w:eastAsia="Aptos" w:hAnsi="Aptos" w:cs="Aptos"/>
          <w:color w:val="000000" w:themeColor="text1"/>
          <w:lang w:val="en-US"/>
        </w:rPr>
      </w:pPr>
      <w:r w:rsidRPr="00B40E55">
        <w:rPr>
          <w:rFonts w:ascii="Aptos" w:eastAsia="Aptos" w:hAnsi="Aptos" w:cs="Aptos"/>
          <w:color w:val="000000" w:themeColor="text1"/>
        </w:rPr>
        <w:t>Emergency response – respond to localised service disruptions, implementing strategies coordinated with metro oversight for</w:t>
      </w:r>
      <w:r w:rsidR="00195F23">
        <w:rPr>
          <w:rFonts w:ascii="Aptos" w:eastAsia="Aptos" w:hAnsi="Aptos" w:cs="Aptos"/>
          <w:color w:val="000000" w:themeColor="text1"/>
        </w:rPr>
        <w:t> </w:t>
      </w:r>
      <w:r w:rsidRPr="00B40E55">
        <w:rPr>
          <w:rFonts w:ascii="Aptos" w:eastAsia="Aptos" w:hAnsi="Aptos" w:cs="Aptos"/>
          <w:color w:val="000000" w:themeColor="text1"/>
        </w:rPr>
        <w:t>swift resolution.</w:t>
      </w:r>
    </w:p>
    <w:p w14:paraId="084A0CED" w14:textId="77777777" w:rsidR="0095201D" w:rsidRPr="00C04303" w:rsidRDefault="0095201D" w:rsidP="0095201D">
      <w:pPr>
        <w:rPr>
          <w:rFonts w:ascii="Aptos" w:eastAsia="Aptos" w:hAnsi="Aptos" w:cs="Aptos"/>
          <w:color w:val="000000" w:themeColor="text1"/>
        </w:rPr>
      </w:pPr>
      <w:r w:rsidRPr="00B40E55">
        <w:rPr>
          <w:rFonts w:ascii="Aptos" w:eastAsia="Aptos" w:hAnsi="Aptos" w:cs="Aptos"/>
          <w:color w:val="000000" w:themeColor="text1"/>
        </w:rPr>
        <w:t>The merged CMAs would remain responsible for planning and coordination of land, water and biodiversity management in all catchment and land protection regions. They would be distinct from water corporations but share aligned boundaries to support integrated planning across regions. A smaller number of CMAs across the state will support increased efficiency and strategic operations.</w:t>
      </w:r>
    </w:p>
    <w:p w14:paraId="1BDE8CD5" w14:textId="52184FE4" w:rsidR="0095201D" w:rsidRPr="00C04303" w:rsidRDefault="0095201D" w:rsidP="0095201D">
      <w:pPr>
        <w:rPr>
          <w:rFonts w:ascii="Aptos" w:eastAsia="Aptos" w:hAnsi="Aptos" w:cs="Aptos"/>
          <w:color w:val="000000" w:themeColor="text1"/>
        </w:rPr>
      </w:pPr>
      <w:r w:rsidRPr="00C04303">
        <w:rPr>
          <w:rFonts w:ascii="Aptos" w:eastAsia="Aptos" w:hAnsi="Aptos" w:cs="Aptos"/>
          <w:color w:val="000000" w:themeColor="text1"/>
        </w:rPr>
        <w:t xml:space="preserve">This partnership model would modernise and streamline administration and customer service, reduce duplication of corporate functions and allow for </w:t>
      </w:r>
      <w:r w:rsidR="001F4EEE">
        <w:rPr>
          <w:rFonts w:ascii="Aptos" w:eastAsia="Aptos" w:hAnsi="Aptos" w:cs="Aptos"/>
          <w:color w:val="000000" w:themeColor="text1"/>
        </w:rPr>
        <w:t xml:space="preserve">a </w:t>
      </w:r>
      <w:r w:rsidRPr="00C04303">
        <w:rPr>
          <w:rFonts w:ascii="Aptos" w:eastAsia="Aptos" w:hAnsi="Aptos" w:cs="Aptos"/>
          <w:color w:val="000000" w:themeColor="text1"/>
        </w:rPr>
        <w:t xml:space="preserve">more strategic water management approach across the state. It builds on some shared service arrangements already in place across the sector (e.g. via </w:t>
      </w:r>
      <w:proofErr w:type="spellStart"/>
      <w:r w:rsidRPr="00C04303">
        <w:rPr>
          <w:rFonts w:ascii="Aptos" w:eastAsia="Aptos" w:hAnsi="Aptos" w:cs="Aptos"/>
          <w:color w:val="000000" w:themeColor="text1"/>
        </w:rPr>
        <w:t>VicWater</w:t>
      </w:r>
      <w:proofErr w:type="spellEnd"/>
      <w:r w:rsidRPr="00C04303">
        <w:rPr>
          <w:rFonts w:ascii="Aptos" w:eastAsia="Aptos" w:hAnsi="Aptos" w:cs="Aptos"/>
          <w:color w:val="000000" w:themeColor="text1"/>
        </w:rPr>
        <w:t>), so that current efficiencies are retained and scaled.</w:t>
      </w:r>
      <w:r>
        <w:rPr>
          <w:rFonts w:ascii="Aptos" w:eastAsia="Aptos" w:hAnsi="Aptos" w:cs="Aptos"/>
          <w:color w:val="000000" w:themeColor="text1"/>
        </w:rPr>
        <w:t xml:space="preserve"> </w:t>
      </w:r>
      <w:r w:rsidRPr="00C04303">
        <w:rPr>
          <w:rFonts w:ascii="Aptos" w:eastAsia="Aptos" w:hAnsi="Aptos" w:cs="Aptos"/>
          <w:color w:val="000000" w:themeColor="text1"/>
        </w:rPr>
        <w:t xml:space="preserve">Best of breed systems and processes could be adopted from existing corporations </w:t>
      </w:r>
      <w:r>
        <w:rPr>
          <w:rFonts w:ascii="Aptos" w:eastAsia="Aptos" w:hAnsi="Aptos" w:cs="Aptos"/>
          <w:color w:val="000000" w:themeColor="text1"/>
        </w:rPr>
        <w:t xml:space="preserve">(metro or regional) </w:t>
      </w:r>
      <w:r w:rsidRPr="00C04303">
        <w:rPr>
          <w:rFonts w:ascii="Aptos" w:eastAsia="Aptos" w:hAnsi="Aptos" w:cs="Aptos"/>
          <w:color w:val="000000" w:themeColor="text1"/>
        </w:rPr>
        <w:t>as part of the partnership model.</w:t>
      </w:r>
      <w:r>
        <w:rPr>
          <w:rFonts w:ascii="Aptos" w:eastAsia="Aptos" w:hAnsi="Aptos" w:cs="Aptos"/>
          <w:color w:val="000000" w:themeColor="text1"/>
        </w:rPr>
        <w:t xml:space="preserve"> </w:t>
      </w:r>
    </w:p>
    <w:p w14:paraId="43CD8BB7" w14:textId="02626816" w:rsidR="0095201D" w:rsidRPr="00C04303" w:rsidRDefault="0095201D" w:rsidP="0095201D">
      <w:pPr>
        <w:rPr>
          <w:rFonts w:ascii="Aptos" w:eastAsia="Aptos" w:hAnsi="Aptos" w:cs="Aptos"/>
          <w:color w:val="000000" w:themeColor="text1"/>
        </w:rPr>
      </w:pPr>
      <w:r w:rsidRPr="00C04303">
        <w:rPr>
          <w:rFonts w:ascii="Aptos" w:eastAsia="Aptos" w:hAnsi="Aptos" w:cs="Aptos"/>
          <w:color w:val="000000" w:themeColor="text1"/>
        </w:rPr>
        <w:lastRenderedPageBreak/>
        <w:t xml:space="preserve">Implementation planning will need to </w:t>
      </w:r>
      <w:proofErr w:type="gramStart"/>
      <w:r w:rsidRPr="00C04303">
        <w:rPr>
          <w:rFonts w:ascii="Aptos" w:eastAsia="Aptos" w:hAnsi="Aptos" w:cs="Aptos"/>
          <w:color w:val="000000" w:themeColor="text1"/>
        </w:rPr>
        <w:t>give careful consideration to</w:t>
      </w:r>
      <w:proofErr w:type="gramEnd"/>
      <w:r w:rsidRPr="00C04303">
        <w:rPr>
          <w:rFonts w:ascii="Aptos" w:eastAsia="Aptos" w:hAnsi="Aptos" w:cs="Aptos"/>
          <w:color w:val="000000" w:themeColor="text1"/>
        </w:rPr>
        <w:t xml:space="preserve"> resolving potential conflicts between storage management and retail, efficiencies to be passed on to customers, and any implications for government’s commitment to Traditional Owners’ self-determination. Consideration will also need to be given to the drought</w:t>
      </w:r>
      <w:r w:rsidR="001E0425">
        <w:rPr>
          <w:rFonts w:ascii="Aptos" w:eastAsia="Aptos" w:hAnsi="Aptos" w:cs="Aptos"/>
          <w:color w:val="000000" w:themeColor="text1"/>
        </w:rPr>
        <w:t xml:space="preserve"> </w:t>
      </w:r>
      <w:r w:rsidR="001E0425">
        <w:rPr>
          <w:rFonts w:ascii="Aptos" w:eastAsia="Aptos" w:hAnsi="Aptos" w:cs="Aptos"/>
          <w:color w:val="000000" w:themeColor="text1"/>
        </w:rPr>
        <w:t>conditions</w:t>
      </w:r>
      <w:r w:rsidRPr="00C04303">
        <w:rPr>
          <w:rFonts w:ascii="Aptos" w:eastAsia="Aptos" w:hAnsi="Aptos" w:cs="Aptos"/>
          <w:color w:val="000000" w:themeColor="text1"/>
        </w:rPr>
        <w:t xml:space="preserve"> and how regional communities will be supported</w:t>
      </w:r>
      <w:r>
        <w:rPr>
          <w:rFonts w:ascii="Aptos" w:eastAsia="Aptos" w:hAnsi="Aptos" w:cs="Aptos"/>
          <w:color w:val="000000" w:themeColor="text1"/>
        </w:rPr>
        <w:t xml:space="preserve">, </w:t>
      </w:r>
      <w:r w:rsidRPr="00B40E55">
        <w:rPr>
          <w:rFonts w:ascii="Aptos" w:eastAsia="Aptos" w:hAnsi="Aptos" w:cs="Aptos"/>
          <w:color w:val="000000" w:themeColor="text1"/>
        </w:rPr>
        <w:t>and how local knowledge and engagement can be sustained.</w:t>
      </w:r>
    </w:p>
    <w:p w14:paraId="3F75B822" w14:textId="761F1FCB" w:rsidR="0095201D" w:rsidRDefault="0095201D" w:rsidP="0095201D">
      <w:pPr>
        <w:rPr>
          <w:rFonts w:ascii="Aptos" w:eastAsia="Aptos" w:hAnsi="Aptos" w:cs="Aptos"/>
          <w:color w:val="000000" w:themeColor="text1"/>
          <w:lang w:val="en-US"/>
        </w:rPr>
      </w:pPr>
      <w:r w:rsidRPr="00FA3D6F">
        <w:rPr>
          <w:rFonts w:ascii="Aptos" w:eastAsia="Aptos" w:hAnsi="Aptos" w:cs="Aptos"/>
          <w:color w:val="000000" w:themeColor="text1"/>
          <w:lang w:val="en-US"/>
        </w:rPr>
        <w:t xml:space="preserve">The </w:t>
      </w:r>
      <w:r>
        <w:rPr>
          <w:rFonts w:ascii="Aptos" w:eastAsia="Aptos" w:hAnsi="Aptos" w:cs="Aptos"/>
          <w:color w:val="000000" w:themeColor="text1"/>
          <w:lang w:val="en-US"/>
        </w:rPr>
        <w:t>estimated</w:t>
      </w:r>
      <w:r w:rsidRPr="0085031C">
        <w:rPr>
          <w:rFonts w:ascii="Aptos" w:eastAsia="Aptos" w:hAnsi="Aptos" w:cs="Aptos"/>
          <w:color w:val="000000" w:themeColor="text1"/>
          <w:lang w:val="en-US"/>
        </w:rPr>
        <w:t xml:space="preserve"> </w:t>
      </w:r>
      <w:r w:rsidRPr="00FA3D6F">
        <w:rPr>
          <w:rFonts w:ascii="Aptos" w:eastAsia="Aptos" w:hAnsi="Aptos" w:cs="Aptos"/>
          <w:color w:val="000000" w:themeColor="text1"/>
          <w:lang w:val="en-US"/>
        </w:rPr>
        <w:t xml:space="preserve">net savings for </w:t>
      </w:r>
      <w:bookmarkStart w:id="82" w:name="_Int_SOtKV3XM"/>
      <w:r w:rsidRPr="00FA3D6F">
        <w:rPr>
          <w:rFonts w:ascii="Aptos" w:eastAsia="Aptos" w:hAnsi="Aptos" w:cs="Aptos"/>
          <w:color w:val="000000" w:themeColor="text1"/>
          <w:lang w:val="en-US"/>
        </w:rPr>
        <w:t>government</w:t>
      </w:r>
      <w:bookmarkEnd w:id="82"/>
      <w:r w:rsidRPr="00FA3D6F">
        <w:rPr>
          <w:rFonts w:ascii="Aptos" w:eastAsia="Aptos" w:hAnsi="Aptos" w:cs="Aptos"/>
          <w:color w:val="000000" w:themeColor="text1"/>
          <w:lang w:val="en-US"/>
        </w:rPr>
        <w:t xml:space="preserve"> through these reforms is </w:t>
      </w:r>
      <w:r w:rsidRPr="008F1FFB">
        <w:rPr>
          <w:rFonts w:ascii="Aptos" w:eastAsia="Aptos" w:hAnsi="Aptos" w:cs="Aptos"/>
          <w:color w:val="000000" w:themeColor="text1"/>
          <w:lang w:val="en-US"/>
        </w:rPr>
        <w:t>$71</w:t>
      </w:r>
      <w:r w:rsidRPr="00FA3D6F">
        <w:rPr>
          <w:rFonts w:ascii="Aptos" w:eastAsia="Aptos" w:hAnsi="Aptos" w:cs="Aptos"/>
          <w:color w:val="000000" w:themeColor="text1"/>
          <w:lang w:val="en-US"/>
        </w:rPr>
        <w:t xml:space="preserve"> million over the forward estimates </w:t>
      </w:r>
      <w:r>
        <w:rPr>
          <w:rFonts w:ascii="Aptos" w:eastAsia="Aptos" w:hAnsi="Aptos" w:cs="Aptos"/>
          <w:color w:val="000000" w:themeColor="text1"/>
          <w:lang w:val="en-US"/>
        </w:rPr>
        <w:t>and</w:t>
      </w:r>
      <w:r w:rsidRPr="00FA3D6F">
        <w:rPr>
          <w:rFonts w:ascii="Aptos" w:eastAsia="Aptos" w:hAnsi="Aptos" w:cs="Aptos"/>
          <w:color w:val="000000" w:themeColor="text1"/>
          <w:lang w:val="en-US"/>
        </w:rPr>
        <w:t xml:space="preserve"> </w:t>
      </w:r>
      <w:r w:rsidRPr="008F1FFB">
        <w:rPr>
          <w:rFonts w:ascii="Aptos" w:eastAsia="Aptos" w:hAnsi="Aptos" w:cs="Aptos"/>
          <w:color w:val="000000" w:themeColor="text1"/>
          <w:lang w:val="en-US"/>
        </w:rPr>
        <w:t>160 FTE.</w:t>
      </w:r>
      <w:r>
        <w:rPr>
          <w:rFonts w:ascii="Aptos" w:eastAsia="Aptos" w:hAnsi="Aptos" w:cs="Aptos"/>
          <w:color w:val="000000" w:themeColor="text1"/>
          <w:lang w:val="en-US"/>
        </w:rPr>
        <w:t xml:space="preserve"> </w:t>
      </w:r>
    </w:p>
    <w:p w14:paraId="56391A22" w14:textId="77777777" w:rsidR="00912304" w:rsidRDefault="00912304" w:rsidP="00765C5F">
      <w:pPr>
        <w:pStyle w:val="Figureheading"/>
        <w:spacing w:before="480"/>
        <w:sectPr w:rsidR="00912304" w:rsidSect="00912304">
          <w:type w:val="continuous"/>
          <w:pgSz w:w="11906" w:h="16838"/>
          <w:pgMar w:top="1440" w:right="1440" w:bottom="1440" w:left="1440" w:header="708" w:footer="708" w:gutter="0"/>
          <w:cols w:num="2" w:space="708"/>
          <w:docGrid w:linePitch="360"/>
          <w15:footnoteColumns w:val="1"/>
        </w:sectPr>
      </w:pPr>
    </w:p>
    <w:p w14:paraId="2225C339" w14:textId="5856E804" w:rsidR="0095201D" w:rsidRPr="00011F38" w:rsidRDefault="0095201D" w:rsidP="00765C5F">
      <w:pPr>
        <w:pStyle w:val="Figureheading"/>
        <w:spacing w:before="480"/>
      </w:pPr>
      <w:r w:rsidRPr="00011F38">
        <w:t xml:space="preserve">Figure </w:t>
      </w:r>
      <w:r w:rsidR="00DE4064">
        <w:t>6</w:t>
      </w:r>
      <w:r w:rsidRPr="00011F38">
        <w:t>.</w:t>
      </w:r>
      <w:r w:rsidR="009D5FCD">
        <w:fldChar w:fldCharType="begin"/>
      </w:r>
      <w:r w:rsidR="009D5FCD">
        <w:instrText xml:space="preserve"> SEQ Figure \* ARABIC \s 1 </w:instrText>
      </w:r>
      <w:r w:rsidR="009D5FCD">
        <w:fldChar w:fldCharType="separate"/>
      </w:r>
      <w:r w:rsidR="009D1283">
        <w:rPr>
          <w:noProof/>
        </w:rPr>
        <w:t>4</w:t>
      </w:r>
      <w:r w:rsidR="009D5FCD">
        <w:rPr>
          <w:noProof/>
        </w:rPr>
        <w:fldChar w:fldCharType="end"/>
      </w:r>
      <w:r w:rsidR="004C79C0">
        <w:t>:</w:t>
      </w:r>
      <w:r w:rsidRPr="00011F38">
        <w:t xml:space="preserve"> Recommended </w:t>
      </w:r>
      <w:r w:rsidR="0078776E">
        <w:t>l</w:t>
      </w:r>
      <w:r w:rsidRPr="00011F38">
        <w:t xml:space="preserve">and and </w:t>
      </w:r>
      <w:r w:rsidR="0078776E">
        <w:t>w</w:t>
      </w:r>
      <w:r w:rsidRPr="00011F38">
        <w:t xml:space="preserve">ater </w:t>
      </w:r>
      <w:r w:rsidR="0078776E">
        <w:t>m</w:t>
      </w:r>
      <w:r w:rsidRPr="00011F38">
        <w:t xml:space="preserve">anagement </w:t>
      </w:r>
      <w:r w:rsidR="0078776E">
        <w:t>r</w:t>
      </w:r>
      <w:r w:rsidRPr="00011F38">
        <w:t>eforms</w:t>
      </w:r>
    </w:p>
    <w:p w14:paraId="1DBF3781" w14:textId="0CBB88D5" w:rsidR="0095201D" w:rsidRDefault="00C76135" w:rsidP="0095201D">
      <w:pPr>
        <w:rPr>
          <w:rFonts w:ascii="Aptos" w:eastAsia="Aptos" w:hAnsi="Aptos" w:cs="Aptos"/>
          <w:color w:val="000000" w:themeColor="text1"/>
          <w:lang w:val="en-US"/>
        </w:rPr>
      </w:pPr>
      <w:r>
        <w:rPr>
          <w:rFonts w:ascii="Aptos" w:eastAsia="Aptos" w:hAnsi="Aptos" w:cs="Aptos"/>
          <w:noProof/>
          <w:color w:val="000000" w:themeColor="text1"/>
          <w:lang w:val="en-US"/>
        </w:rPr>
        <w:drawing>
          <wp:inline distT="0" distB="0" distL="0" distR="0" wp14:anchorId="117D0908" wp14:editId="160D2AAB">
            <wp:extent cx="6057239" cy="2750789"/>
            <wp:effectExtent l="0" t="0" r="1270" b="0"/>
            <wp:docPr id="1141872887" name="Picture 3" descr="A map of Victoria with text outlining land and water management reforms recommended by the Independent Review. The map of Victoria is separated into the Western Regional, Northern Regional and Eastern Regional sections, and identifies Greater Western Water, Yarra Valley Water and South East Water as the central hub for these three regions with shading. Text on the outside of the map outlines which catchment management authorities and water corporations would be mer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72887" name="Picture 3" descr="A map of Victoria with text outlining land and water management reforms recommended by the Independent Review. The map of Victoria is separated into the Western Regional, Northern Regional and Eastern Regional sections, and identifies Greater Western Water, Yarra Valley Water and South East Water as the central hub for these three regions with shading. Text on the outside of the map outlines which catchment management authorities and water corporations would be merg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90102" cy="2765713"/>
                    </a:xfrm>
                    <a:prstGeom prst="rect">
                      <a:avLst/>
                    </a:prstGeom>
                  </pic:spPr>
                </pic:pic>
              </a:graphicData>
            </a:graphic>
          </wp:inline>
        </w:drawing>
      </w:r>
    </w:p>
    <w:p w14:paraId="1DCD207A" w14:textId="57EAFD1F" w:rsidR="00A97302" w:rsidRPr="00A97302" w:rsidRDefault="00A97302" w:rsidP="00546068">
      <w:pPr>
        <w:pStyle w:val="Caption"/>
        <w:spacing w:before="300"/>
      </w:pPr>
      <w:r w:rsidRPr="00A97302">
        <w:t>Source: Independent Review of the VPS, 2025</w:t>
      </w:r>
    </w:p>
    <w:p w14:paraId="1BE0DC0D" w14:textId="77777777" w:rsidR="00E103D1" w:rsidRDefault="00E103D1" w:rsidP="0059369D">
      <w:pPr>
        <w:pStyle w:val="Heading3"/>
        <w:spacing w:before="0"/>
        <w:rPr>
          <w:rFonts w:eastAsia="Aptos"/>
        </w:rPr>
        <w:sectPr w:rsidR="00E103D1" w:rsidSect="00AE6104">
          <w:type w:val="continuous"/>
          <w:pgSz w:w="11906" w:h="16838"/>
          <w:pgMar w:top="1440" w:right="1440" w:bottom="1440" w:left="1440" w:header="708" w:footer="708" w:gutter="0"/>
          <w:cols w:space="708"/>
          <w:docGrid w:linePitch="360"/>
          <w15:footnoteColumns w:val="1"/>
        </w:sectPr>
      </w:pPr>
    </w:p>
    <w:p w14:paraId="1C70A8B6" w14:textId="77777777" w:rsidR="0095201D" w:rsidRPr="004340C8" w:rsidRDefault="0095201D" w:rsidP="0059369D">
      <w:pPr>
        <w:pStyle w:val="Heading3"/>
        <w:spacing w:before="0"/>
        <w:rPr>
          <w:rFonts w:ascii="Aptos" w:eastAsia="Aptos" w:hAnsi="Aptos" w:cs="Aptos"/>
          <w:b w:val="0"/>
          <w:color w:val="000000" w:themeColor="text1"/>
        </w:rPr>
      </w:pPr>
      <w:r>
        <w:rPr>
          <w:rFonts w:eastAsia="Aptos"/>
        </w:rPr>
        <w:t xml:space="preserve">Policy </w:t>
      </w:r>
      <w:r w:rsidRPr="0044167F">
        <w:t>advice</w:t>
      </w:r>
      <w:r>
        <w:rPr>
          <w:rFonts w:eastAsia="Aptos"/>
        </w:rPr>
        <w:t xml:space="preserve"> and research</w:t>
      </w:r>
    </w:p>
    <w:p w14:paraId="2905175C" w14:textId="29ED90EC" w:rsidR="0095201D" w:rsidRPr="00C04303" w:rsidRDefault="0095201D" w:rsidP="0095201D">
      <w:pPr>
        <w:rPr>
          <w:rFonts w:ascii="Aptos" w:eastAsia="Aptos" w:hAnsi="Aptos" w:cs="Aptos"/>
          <w:color w:val="000000" w:themeColor="text1"/>
          <w:lang w:val="en-US"/>
        </w:rPr>
      </w:pPr>
      <w:r w:rsidRPr="00C04303">
        <w:rPr>
          <w:rFonts w:ascii="Aptos" w:eastAsia="Aptos" w:hAnsi="Aptos" w:cs="Aptos"/>
          <w:color w:val="000000" w:themeColor="text1"/>
          <w:lang w:val="en-US"/>
        </w:rPr>
        <w:t xml:space="preserve">Victoria should bring policy advice and research work being conducted by entities back in-house to departments. Specifically, the Review recommends abolishing and ceasing the standalone functions of Better Regulation Victoria, Economic Growth </w:t>
      </w:r>
      <w:r w:rsidR="00803E37">
        <w:rPr>
          <w:rFonts w:ascii="Aptos" w:eastAsia="Aptos" w:hAnsi="Aptos" w:cs="Aptos"/>
          <w:color w:val="000000" w:themeColor="text1"/>
          <w:lang w:val="en-US"/>
        </w:rPr>
        <w:t xml:space="preserve">Victoria </w:t>
      </w:r>
      <w:r w:rsidRPr="00C04303">
        <w:rPr>
          <w:rFonts w:ascii="Aptos" w:eastAsia="Aptos" w:hAnsi="Aptos" w:cs="Aptos"/>
          <w:color w:val="000000" w:themeColor="text1"/>
          <w:lang w:val="en-US"/>
        </w:rPr>
        <w:t>and Infrastructure Victoria.</w:t>
      </w:r>
    </w:p>
    <w:p w14:paraId="435E0052" w14:textId="13BD74D7" w:rsidR="0095201D" w:rsidRDefault="0095201D" w:rsidP="0095201D">
      <w:pPr>
        <w:rPr>
          <w:rFonts w:ascii="Aptos" w:eastAsia="Aptos" w:hAnsi="Aptos" w:cs="Aptos"/>
          <w:color w:val="000000" w:themeColor="text1"/>
          <w:lang w:val="en-US"/>
        </w:rPr>
      </w:pPr>
      <w:r w:rsidRPr="000F1D78">
        <w:rPr>
          <w:rFonts w:ascii="Aptos" w:eastAsia="Aptos" w:hAnsi="Aptos" w:cs="Aptos"/>
          <w:color w:val="000000" w:themeColor="text1"/>
          <w:lang w:val="en-US"/>
        </w:rPr>
        <w:t xml:space="preserve">This change would bring core </w:t>
      </w:r>
      <w:r>
        <w:rPr>
          <w:rFonts w:ascii="Aptos" w:eastAsia="Aptos" w:hAnsi="Aptos" w:cs="Aptos"/>
          <w:color w:val="000000" w:themeColor="text1"/>
          <w:lang w:val="en-US"/>
        </w:rPr>
        <w:t xml:space="preserve">regulatory </w:t>
      </w:r>
      <w:r w:rsidRPr="000F1D78">
        <w:rPr>
          <w:rFonts w:ascii="Aptos" w:eastAsia="Aptos" w:hAnsi="Aptos" w:cs="Aptos"/>
          <w:color w:val="000000" w:themeColor="text1"/>
          <w:lang w:val="en-US"/>
        </w:rPr>
        <w:t xml:space="preserve">policy work back into </w:t>
      </w:r>
      <w:r>
        <w:rPr>
          <w:rFonts w:ascii="Aptos" w:eastAsia="Aptos" w:hAnsi="Aptos" w:cs="Aptos"/>
          <w:color w:val="000000" w:themeColor="text1"/>
          <w:lang w:val="en-US"/>
        </w:rPr>
        <w:t>DTF</w:t>
      </w:r>
      <w:r w:rsidRPr="000F1D78">
        <w:rPr>
          <w:rFonts w:ascii="Aptos" w:eastAsia="Aptos" w:hAnsi="Aptos" w:cs="Aptos"/>
          <w:color w:val="000000" w:themeColor="text1"/>
          <w:lang w:val="en-US"/>
        </w:rPr>
        <w:t>. Assessment of Regulatory Impact Statements</w:t>
      </w:r>
      <w:r w:rsidR="00187EB5">
        <w:rPr>
          <w:rFonts w:ascii="Aptos" w:eastAsia="Aptos" w:hAnsi="Aptos" w:cs="Aptos"/>
          <w:color w:val="000000" w:themeColor="text1"/>
          <w:lang w:val="en-US"/>
        </w:rPr>
        <w:t xml:space="preserve"> and</w:t>
      </w:r>
      <w:r w:rsidRPr="000F1D78">
        <w:rPr>
          <w:rFonts w:ascii="Aptos" w:eastAsia="Aptos" w:hAnsi="Aptos" w:cs="Aptos"/>
          <w:color w:val="000000" w:themeColor="text1"/>
          <w:lang w:val="en-US"/>
        </w:rPr>
        <w:t xml:space="preserve"> Legislative Impact </w:t>
      </w:r>
      <w:proofErr w:type="gramStart"/>
      <w:r w:rsidRPr="000F1D78">
        <w:rPr>
          <w:rFonts w:ascii="Aptos" w:eastAsia="Aptos" w:hAnsi="Aptos" w:cs="Aptos"/>
          <w:color w:val="000000" w:themeColor="text1"/>
          <w:lang w:val="en-US"/>
        </w:rPr>
        <w:t xml:space="preserve">Assessments, </w:t>
      </w:r>
      <w:r w:rsidR="00187EB5">
        <w:rPr>
          <w:rFonts w:ascii="Aptos" w:eastAsia="Aptos" w:hAnsi="Aptos" w:cs="Aptos"/>
          <w:color w:val="000000" w:themeColor="text1"/>
          <w:lang w:val="en-US"/>
        </w:rPr>
        <w:t>and</w:t>
      </w:r>
      <w:proofErr w:type="gramEnd"/>
      <w:r w:rsidR="00187EB5">
        <w:rPr>
          <w:rFonts w:ascii="Aptos" w:eastAsia="Aptos" w:hAnsi="Aptos" w:cs="Aptos"/>
          <w:color w:val="000000" w:themeColor="text1"/>
          <w:lang w:val="en-US"/>
        </w:rPr>
        <w:t xml:space="preserve"> </w:t>
      </w:r>
      <w:r w:rsidRPr="000F1D78">
        <w:rPr>
          <w:rFonts w:ascii="Aptos" w:eastAsia="Aptos" w:hAnsi="Aptos" w:cs="Aptos"/>
          <w:color w:val="000000" w:themeColor="text1"/>
          <w:lang w:val="en-US"/>
        </w:rPr>
        <w:t xml:space="preserve">supporting regulatory practice and supporting economic growth </w:t>
      </w:r>
      <w:r>
        <w:rPr>
          <w:rFonts w:ascii="Aptos" w:eastAsia="Aptos" w:hAnsi="Aptos" w:cs="Aptos"/>
          <w:color w:val="000000" w:themeColor="text1"/>
          <w:lang w:val="en-US"/>
        </w:rPr>
        <w:t>is</w:t>
      </w:r>
      <w:r w:rsidRPr="000F1D78">
        <w:rPr>
          <w:rFonts w:ascii="Aptos" w:eastAsia="Aptos" w:hAnsi="Aptos" w:cs="Aptos"/>
          <w:color w:val="000000" w:themeColor="text1"/>
          <w:lang w:val="en-US"/>
        </w:rPr>
        <w:t xml:space="preserve"> core work of</w:t>
      </w:r>
      <w:r w:rsidR="003223A0">
        <w:rPr>
          <w:rFonts w:ascii="Aptos" w:eastAsia="Aptos" w:hAnsi="Aptos" w:cs="Aptos"/>
          <w:color w:val="000000" w:themeColor="text1"/>
          <w:lang w:val="en-US"/>
        </w:rPr>
        <w:t> </w:t>
      </w:r>
      <w:r w:rsidRPr="000F1D78">
        <w:rPr>
          <w:rFonts w:ascii="Aptos" w:eastAsia="Aptos" w:hAnsi="Aptos" w:cs="Aptos"/>
          <w:color w:val="000000" w:themeColor="text1"/>
          <w:lang w:val="en-US"/>
        </w:rPr>
        <w:t>DTF and</w:t>
      </w:r>
      <w:r>
        <w:rPr>
          <w:rFonts w:ascii="Aptos" w:eastAsia="Aptos" w:hAnsi="Aptos" w:cs="Aptos"/>
          <w:color w:val="000000" w:themeColor="text1"/>
          <w:lang w:val="en-US"/>
        </w:rPr>
        <w:t xml:space="preserve"> should</w:t>
      </w:r>
      <w:r w:rsidRPr="000F1D78">
        <w:rPr>
          <w:rFonts w:ascii="Aptos" w:eastAsia="Aptos" w:hAnsi="Aptos" w:cs="Aptos"/>
          <w:color w:val="000000" w:themeColor="text1"/>
          <w:lang w:val="en-US"/>
        </w:rPr>
        <w:t xml:space="preserve"> be absorbed.</w:t>
      </w:r>
    </w:p>
    <w:p w14:paraId="083F2E75" w14:textId="1C475C15" w:rsidR="0095201D" w:rsidRPr="00EF1664" w:rsidRDefault="0095201D" w:rsidP="006166AF">
      <w:pPr>
        <w:spacing w:before="240"/>
        <w:rPr>
          <w:rFonts w:ascii="Aptos" w:eastAsia="Aptos" w:hAnsi="Aptos" w:cs="Aptos"/>
          <w:color w:val="000000" w:themeColor="text1"/>
        </w:rPr>
      </w:pPr>
      <w:r>
        <w:rPr>
          <w:rFonts w:ascii="Aptos" w:eastAsia="Aptos" w:hAnsi="Aptos" w:cs="Aptos"/>
          <w:color w:val="000000" w:themeColor="text1"/>
        </w:rPr>
        <w:t>Infrastructure Victoria has undertaken good</w:t>
      </w:r>
      <w:r w:rsidR="0072409F">
        <w:rPr>
          <w:rFonts w:ascii="Aptos" w:eastAsia="Aptos" w:hAnsi="Aptos" w:cs="Aptos"/>
          <w:color w:val="000000" w:themeColor="text1"/>
        </w:rPr>
        <w:t> </w:t>
      </w:r>
      <w:r>
        <w:rPr>
          <w:rFonts w:ascii="Aptos" w:eastAsia="Aptos" w:hAnsi="Aptos" w:cs="Aptos"/>
          <w:color w:val="000000" w:themeColor="text1"/>
        </w:rPr>
        <w:t>work but now is an appropriate time to</w:t>
      </w:r>
      <w:r w:rsidR="0072409F">
        <w:rPr>
          <w:rFonts w:ascii="Aptos" w:eastAsia="Aptos" w:hAnsi="Aptos" w:cs="Aptos"/>
          <w:color w:val="000000" w:themeColor="text1"/>
        </w:rPr>
        <w:t> </w:t>
      </w:r>
      <w:r>
        <w:rPr>
          <w:rFonts w:ascii="Aptos" w:eastAsia="Aptos" w:hAnsi="Aptos" w:cs="Aptos"/>
          <w:color w:val="000000" w:themeColor="text1"/>
        </w:rPr>
        <w:t xml:space="preserve">absorb its operations into a department. </w:t>
      </w:r>
      <w:r w:rsidRPr="00EF1664">
        <w:rPr>
          <w:rFonts w:ascii="Aptos" w:eastAsia="Aptos" w:hAnsi="Aptos" w:cs="Aptos"/>
          <w:color w:val="000000" w:themeColor="text1"/>
        </w:rPr>
        <w:t>Abol</w:t>
      </w:r>
      <w:r>
        <w:rPr>
          <w:rFonts w:ascii="Aptos" w:eastAsia="Aptos" w:hAnsi="Aptos" w:cs="Aptos"/>
          <w:color w:val="000000" w:themeColor="text1"/>
        </w:rPr>
        <w:t xml:space="preserve">ishing </w:t>
      </w:r>
      <w:r w:rsidRPr="00EF1664">
        <w:rPr>
          <w:rFonts w:ascii="Aptos" w:eastAsia="Aptos" w:hAnsi="Aptos" w:cs="Aptos"/>
          <w:color w:val="000000" w:themeColor="text1"/>
        </w:rPr>
        <w:t>Infrastructure Victoria</w:t>
      </w:r>
      <w:r>
        <w:rPr>
          <w:rFonts w:ascii="Aptos" w:eastAsia="Aptos" w:hAnsi="Aptos" w:cs="Aptos"/>
          <w:color w:val="000000" w:themeColor="text1"/>
        </w:rPr>
        <w:t xml:space="preserve"> would mean </w:t>
      </w:r>
      <w:r w:rsidRPr="00EF1664">
        <w:rPr>
          <w:rFonts w:ascii="Aptos" w:eastAsia="Aptos" w:hAnsi="Aptos" w:cs="Aptos"/>
          <w:color w:val="000000" w:themeColor="text1"/>
        </w:rPr>
        <w:t xml:space="preserve">long-term infrastructure planning </w:t>
      </w:r>
      <w:r>
        <w:rPr>
          <w:rFonts w:ascii="Aptos" w:eastAsia="Aptos" w:hAnsi="Aptos" w:cs="Aptos"/>
          <w:color w:val="000000" w:themeColor="text1"/>
        </w:rPr>
        <w:t xml:space="preserve">and advice would be </w:t>
      </w:r>
      <w:r w:rsidRPr="00EF1664">
        <w:rPr>
          <w:rFonts w:ascii="Aptos" w:eastAsia="Aptos" w:hAnsi="Aptos" w:cs="Aptos"/>
          <w:color w:val="000000" w:themeColor="text1"/>
        </w:rPr>
        <w:t xml:space="preserve">core work </w:t>
      </w:r>
      <w:r>
        <w:rPr>
          <w:rFonts w:ascii="Aptos" w:eastAsia="Aptos" w:hAnsi="Aptos" w:cs="Aptos"/>
          <w:color w:val="000000" w:themeColor="text1"/>
        </w:rPr>
        <w:t>of DTF</w:t>
      </w:r>
      <w:r w:rsidRPr="00EF1664">
        <w:rPr>
          <w:rFonts w:ascii="Aptos" w:eastAsia="Aptos" w:hAnsi="Aptos" w:cs="Aptos"/>
          <w:color w:val="000000" w:themeColor="text1"/>
        </w:rPr>
        <w:t>.</w:t>
      </w:r>
    </w:p>
    <w:p w14:paraId="7AE6066F" w14:textId="77777777" w:rsidR="0095201D" w:rsidRPr="00BD42A5" w:rsidRDefault="0095201D" w:rsidP="0095201D">
      <w:pPr>
        <w:rPr>
          <w:rFonts w:ascii="Aptos" w:eastAsia="Aptos" w:hAnsi="Aptos" w:cs="Aptos"/>
          <w:color w:val="000000" w:themeColor="text1"/>
        </w:rPr>
      </w:pPr>
      <w:r>
        <w:rPr>
          <w:rFonts w:ascii="Aptos" w:eastAsia="Aptos" w:hAnsi="Aptos" w:cs="Aptos"/>
          <w:color w:val="000000" w:themeColor="text1"/>
        </w:rPr>
        <w:t xml:space="preserve">These changes </w:t>
      </w:r>
      <w:r w:rsidRPr="00EF1664">
        <w:rPr>
          <w:rFonts w:ascii="Aptos" w:eastAsia="Aptos" w:hAnsi="Aptos" w:cs="Aptos"/>
          <w:color w:val="000000" w:themeColor="text1"/>
        </w:rPr>
        <w:t>reduce overlaps of policy advice and research functions.</w:t>
      </w:r>
    </w:p>
    <w:p w14:paraId="6591B88C" w14:textId="47B83E43" w:rsidR="0095201D" w:rsidRPr="00610F3A" w:rsidRDefault="0095201D" w:rsidP="0095201D">
      <w:pPr>
        <w:rPr>
          <w:rFonts w:ascii="Aptos" w:eastAsia="Aptos" w:hAnsi="Aptos" w:cs="Aptos"/>
          <w:color w:val="000000" w:themeColor="text1"/>
        </w:rPr>
      </w:pPr>
      <w:r w:rsidRPr="00610F3A">
        <w:rPr>
          <w:rFonts w:ascii="Aptos" w:eastAsia="Aptos" w:hAnsi="Aptos" w:cs="Aptos"/>
          <w:color w:val="000000" w:themeColor="text1"/>
          <w:lang w:val="en-US"/>
        </w:rPr>
        <w:t xml:space="preserve">The </w:t>
      </w:r>
      <w:r>
        <w:rPr>
          <w:rFonts w:ascii="Aptos" w:eastAsia="Aptos" w:hAnsi="Aptos" w:cs="Aptos"/>
          <w:color w:val="000000" w:themeColor="text1"/>
          <w:lang w:val="en-US"/>
        </w:rPr>
        <w:t>estimated</w:t>
      </w:r>
      <w:r w:rsidRPr="0085031C">
        <w:rPr>
          <w:rFonts w:ascii="Aptos" w:eastAsia="Aptos" w:hAnsi="Aptos" w:cs="Aptos"/>
          <w:color w:val="000000" w:themeColor="text1"/>
          <w:lang w:val="en-US"/>
        </w:rPr>
        <w:t xml:space="preserve"> </w:t>
      </w:r>
      <w:r w:rsidRPr="00610F3A">
        <w:rPr>
          <w:rFonts w:ascii="Aptos" w:eastAsia="Aptos" w:hAnsi="Aptos" w:cs="Aptos"/>
          <w:color w:val="000000" w:themeColor="text1"/>
          <w:lang w:val="en-US"/>
        </w:rPr>
        <w:t xml:space="preserve">net savings for </w:t>
      </w:r>
      <w:bookmarkStart w:id="83" w:name="_Int_5jhv63us"/>
      <w:r w:rsidRPr="00610F3A">
        <w:rPr>
          <w:rFonts w:ascii="Aptos" w:eastAsia="Aptos" w:hAnsi="Aptos" w:cs="Aptos"/>
          <w:color w:val="000000" w:themeColor="text1"/>
          <w:lang w:val="en-US"/>
        </w:rPr>
        <w:t>government</w:t>
      </w:r>
      <w:bookmarkEnd w:id="83"/>
      <w:r w:rsidRPr="00610F3A">
        <w:rPr>
          <w:rFonts w:ascii="Aptos" w:eastAsia="Aptos" w:hAnsi="Aptos" w:cs="Aptos"/>
          <w:color w:val="000000" w:themeColor="text1"/>
          <w:lang w:val="en-US"/>
        </w:rPr>
        <w:t xml:space="preserve"> through these reforms is </w:t>
      </w:r>
      <w:r w:rsidRPr="008F1FFB">
        <w:rPr>
          <w:rFonts w:ascii="Aptos" w:eastAsia="Aptos" w:hAnsi="Aptos" w:cs="Aptos"/>
          <w:color w:val="000000" w:themeColor="text1"/>
          <w:lang w:val="en-US"/>
        </w:rPr>
        <w:t>$</w:t>
      </w:r>
      <w:r w:rsidR="003E6A8C">
        <w:rPr>
          <w:rFonts w:ascii="Aptos" w:eastAsia="Aptos" w:hAnsi="Aptos" w:cs="Aptos"/>
          <w:color w:val="000000" w:themeColor="text1"/>
          <w:lang w:val="en-US"/>
        </w:rPr>
        <w:t>31</w:t>
      </w:r>
      <w:r w:rsidRPr="00610F3A">
        <w:rPr>
          <w:rFonts w:ascii="Aptos" w:eastAsia="Aptos" w:hAnsi="Aptos" w:cs="Aptos"/>
          <w:color w:val="000000" w:themeColor="text1"/>
          <w:lang w:val="en-US"/>
        </w:rPr>
        <w:t xml:space="preserve"> million over the forward estimates </w:t>
      </w:r>
      <w:r>
        <w:rPr>
          <w:rFonts w:ascii="Aptos" w:eastAsia="Aptos" w:hAnsi="Aptos" w:cs="Aptos"/>
          <w:color w:val="000000" w:themeColor="text1"/>
          <w:lang w:val="en-US"/>
        </w:rPr>
        <w:t>and</w:t>
      </w:r>
      <w:r w:rsidRPr="00610F3A">
        <w:rPr>
          <w:rFonts w:ascii="Aptos" w:eastAsia="Aptos" w:hAnsi="Aptos" w:cs="Aptos"/>
          <w:color w:val="000000" w:themeColor="text1"/>
          <w:lang w:val="en-US"/>
        </w:rPr>
        <w:t xml:space="preserve"> </w:t>
      </w:r>
      <w:r w:rsidR="003E6A8C">
        <w:rPr>
          <w:rFonts w:ascii="Aptos" w:eastAsia="Aptos" w:hAnsi="Aptos" w:cs="Aptos"/>
          <w:color w:val="000000" w:themeColor="text1"/>
          <w:lang w:val="en-US"/>
        </w:rPr>
        <w:t>36</w:t>
      </w:r>
      <w:r w:rsidRPr="008F1FFB">
        <w:rPr>
          <w:rFonts w:ascii="Aptos" w:eastAsia="Aptos" w:hAnsi="Aptos" w:cs="Aptos"/>
          <w:color w:val="000000" w:themeColor="text1"/>
          <w:lang w:val="en-US"/>
        </w:rPr>
        <w:t xml:space="preserve"> FTE.</w:t>
      </w:r>
    </w:p>
    <w:p w14:paraId="2261C62D" w14:textId="77777777" w:rsidR="0095201D" w:rsidRPr="004340C8" w:rsidRDefault="0095201D" w:rsidP="00F76E39">
      <w:pPr>
        <w:pStyle w:val="Heading3"/>
        <w:spacing w:before="0"/>
        <w:rPr>
          <w:rFonts w:ascii="Aptos" w:eastAsia="Aptos" w:hAnsi="Aptos" w:cs="Aptos"/>
          <w:b w:val="0"/>
          <w:color w:val="000000" w:themeColor="text1"/>
        </w:rPr>
      </w:pPr>
      <w:r>
        <w:rPr>
          <w:rFonts w:eastAsia="Aptos"/>
        </w:rPr>
        <w:lastRenderedPageBreak/>
        <w:t xml:space="preserve">Funds </w:t>
      </w:r>
      <w:r w:rsidRPr="0044167F">
        <w:t>and</w:t>
      </w:r>
      <w:r>
        <w:rPr>
          <w:rFonts w:eastAsia="Aptos"/>
        </w:rPr>
        <w:t xml:space="preserve"> investment management</w:t>
      </w:r>
    </w:p>
    <w:p w14:paraId="1BFC74BB" w14:textId="7ADDFB3D" w:rsidR="0095201D" w:rsidRPr="00C04303" w:rsidRDefault="0095201D" w:rsidP="0095201D">
      <w:pPr>
        <w:rPr>
          <w:rFonts w:ascii="Aptos" w:eastAsia="Aptos" w:hAnsi="Aptos" w:cs="Aptos"/>
          <w:color w:val="000000" w:themeColor="text1"/>
          <w:lang w:val="en-US"/>
        </w:rPr>
      </w:pPr>
      <w:r w:rsidRPr="00C04303">
        <w:rPr>
          <w:rFonts w:ascii="Aptos" w:eastAsia="Aptos" w:hAnsi="Aptos" w:cs="Aptos"/>
          <w:color w:val="000000" w:themeColor="text1"/>
        </w:rPr>
        <w:t>Victoria should consolidate its funds and investment management.</w:t>
      </w:r>
      <w:r>
        <w:rPr>
          <w:rFonts w:ascii="Aptos" w:eastAsia="Aptos" w:hAnsi="Aptos" w:cs="Aptos"/>
          <w:color w:val="000000" w:themeColor="text1"/>
          <w:lang w:val="en-US"/>
        </w:rPr>
        <w:t xml:space="preserve"> </w:t>
      </w:r>
      <w:r w:rsidRPr="00C04303">
        <w:rPr>
          <w:rFonts w:ascii="Aptos" w:eastAsia="Aptos" w:hAnsi="Aptos" w:cs="Aptos"/>
          <w:color w:val="000000" w:themeColor="text1"/>
        </w:rPr>
        <w:t xml:space="preserve">By default, invested funds should be managed by </w:t>
      </w:r>
      <w:r w:rsidR="00045E96">
        <w:rPr>
          <w:rFonts w:ascii="Aptos" w:eastAsia="Aptos" w:hAnsi="Aptos" w:cs="Aptos"/>
          <w:color w:val="000000" w:themeColor="text1"/>
        </w:rPr>
        <w:t>the Victorian Funds Management Corporation (</w:t>
      </w:r>
      <w:r w:rsidRPr="00C04303">
        <w:rPr>
          <w:rFonts w:ascii="Aptos" w:eastAsia="Aptos" w:hAnsi="Aptos" w:cs="Aptos"/>
          <w:color w:val="000000" w:themeColor="text1"/>
        </w:rPr>
        <w:t>VFMC</w:t>
      </w:r>
      <w:r w:rsidR="00045E96">
        <w:rPr>
          <w:rFonts w:ascii="Aptos" w:eastAsia="Aptos" w:hAnsi="Aptos" w:cs="Aptos"/>
          <w:color w:val="000000" w:themeColor="text1"/>
        </w:rPr>
        <w:t>)</w:t>
      </w:r>
      <w:r w:rsidRPr="00C04303">
        <w:rPr>
          <w:rFonts w:ascii="Aptos" w:eastAsia="Aptos" w:hAnsi="Aptos" w:cs="Aptos"/>
          <w:color w:val="000000" w:themeColor="text1"/>
        </w:rPr>
        <w:t xml:space="preserve">. </w:t>
      </w:r>
      <w:r w:rsidRPr="00C04303">
        <w:rPr>
          <w:rFonts w:ascii="Aptos" w:eastAsia="Aptos" w:hAnsi="Aptos" w:cs="Aptos"/>
          <w:color w:val="000000" w:themeColor="text1"/>
          <w:lang w:val="en-US"/>
        </w:rPr>
        <w:t>The VFMC currently manages $92</w:t>
      </w:r>
      <w:r w:rsidR="001B1CA8">
        <w:rPr>
          <w:rFonts w:ascii="Aptos" w:eastAsia="Aptos" w:hAnsi="Aptos" w:cs="Aptos"/>
          <w:color w:val="000000" w:themeColor="text1"/>
          <w:lang w:val="en-US"/>
        </w:rPr>
        <w:t> </w:t>
      </w:r>
      <w:r w:rsidRPr="00C04303">
        <w:rPr>
          <w:rFonts w:ascii="Aptos" w:eastAsia="Aptos" w:hAnsi="Aptos" w:cs="Aptos"/>
          <w:color w:val="000000" w:themeColor="text1"/>
          <w:lang w:val="en-US"/>
        </w:rPr>
        <w:t xml:space="preserve">billion of assets on behalf of more than 30 Victorian entities. </w:t>
      </w:r>
      <w:r w:rsidRPr="00C04303">
        <w:rPr>
          <w:rFonts w:ascii="Aptos" w:eastAsia="Aptos" w:hAnsi="Aptos" w:cs="Aptos"/>
          <w:color w:val="000000" w:themeColor="text1"/>
        </w:rPr>
        <w:t>The Review has identified other entities managing funds of least $2.</w:t>
      </w:r>
      <w:r w:rsidRPr="00C04303">
        <w:rPr>
          <w:rFonts w:ascii="Aptos" w:eastAsia="Aptos" w:hAnsi="Aptos" w:cs="Aptos"/>
          <w:color w:val="000000" w:themeColor="text1"/>
          <w:lang w:val="en-US"/>
        </w:rPr>
        <w:t>6 billion (e.g. Victorian Legal Services Board, Residential Tenancies Bond Authority, Victorian Legal Practitioners Liability Committee)</w:t>
      </w:r>
      <w:r w:rsidRPr="00C04303">
        <w:rPr>
          <w:rFonts w:ascii="Aptos" w:eastAsia="Aptos" w:hAnsi="Aptos" w:cs="Aptos"/>
          <w:color w:val="000000" w:themeColor="text1"/>
        </w:rPr>
        <w:t xml:space="preserve">, and recommends they be </w:t>
      </w:r>
      <w:r w:rsidR="001024F9" w:rsidRPr="00EE1D43">
        <w:rPr>
          <w:rFonts w:ascii="Aptos" w:eastAsia="Aptos" w:hAnsi="Aptos" w:cs="Aptos"/>
          <w:color w:val="000000" w:themeColor="text1"/>
        </w:rPr>
        <w:t>transferred</w:t>
      </w:r>
      <w:r w:rsidRPr="00EE1D43">
        <w:rPr>
          <w:rFonts w:ascii="Aptos" w:eastAsia="Aptos" w:hAnsi="Aptos" w:cs="Aptos"/>
          <w:color w:val="000000" w:themeColor="text1"/>
        </w:rPr>
        <w:t xml:space="preserve"> </w:t>
      </w:r>
      <w:r w:rsidR="001024F9" w:rsidRPr="00EE1D43">
        <w:rPr>
          <w:rFonts w:ascii="Aptos" w:eastAsia="Aptos" w:hAnsi="Aptos" w:cs="Aptos"/>
          <w:color w:val="000000" w:themeColor="text1"/>
        </w:rPr>
        <w:t>to the</w:t>
      </w:r>
      <w:r w:rsidRPr="00C04303">
        <w:rPr>
          <w:rFonts w:ascii="Aptos" w:eastAsia="Aptos" w:hAnsi="Aptos" w:cs="Aptos"/>
          <w:color w:val="000000" w:themeColor="text1"/>
        </w:rPr>
        <w:t xml:space="preserve"> VFMC</w:t>
      </w:r>
      <w:r w:rsidRPr="00C04303">
        <w:rPr>
          <w:rFonts w:ascii="Aptos" w:eastAsia="Aptos" w:hAnsi="Aptos" w:cs="Aptos"/>
          <w:color w:val="000000" w:themeColor="text1"/>
          <w:lang w:val="en-US"/>
        </w:rPr>
        <w:t xml:space="preserve">. </w:t>
      </w:r>
      <w:r w:rsidR="000B3190">
        <w:rPr>
          <w:rFonts w:ascii="Aptos" w:eastAsia="Aptos" w:hAnsi="Aptos" w:cs="Aptos"/>
          <w:color w:val="000000" w:themeColor="text1"/>
          <w:lang w:val="en-US"/>
        </w:rPr>
        <w:t xml:space="preserve">This </w:t>
      </w:r>
      <w:r w:rsidR="006B6243">
        <w:rPr>
          <w:rFonts w:ascii="Aptos" w:eastAsia="Aptos" w:hAnsi="Aptos" w:cs="Aptos"/>
          <w:color w:val="000000" w:themeColor="text1"/>
          <w:lang w:val="en-US"/>
        </w:rPr>
        <w:t xml:space="preserve">is </w:t>
      </w:r>
      <w:r w:rsidR="000B3190">
        <w:rPr>
          <w:rFonts w:ascii="Aptos" w:eastAsia="Aptos" w:hAnsi="Aptos" w:cs="Aptos"/>
          <w:color w:val="000000" w:themeColor="text1"/>
          <w:lang w:val="en-US"/>
        </w:rPr>
        <w:t xml:space="preserve">the same model </w:t>
      </w:r>
      <w:r w:rsidR="00C97E33">
        <w:rPr>
          <w:rFonts w:ascii="Aptos" w:eastAsia="Aptos" w:hAnsi="Aptos" w:cs="Aptos"/>
          <w:color w:val="000000" w:themeColor="text1"/>
          <w:lang w:val="en-US"/>
        </w:rPr>
        <w:t>that</w:t>
      </w:r>
      <w:r w:rsidR="006B6243">
        <w:rPr>
          <w:rFonts w:ascii="Aptos" w:eastAsia="Aptos" w:hAnsi="Aptos" w:cs="Aptos"/>
          <w:color w:val="000000" w:themeColor="text1"/>
          <w:lang w:val="en-US"/>
        </w:rPr>
        <w:t xml:space="preserve"> operates </w:t>
      </w:r>
      <w:r w:rsidR="000B3190">
        <w:rPr>
          <w:rFonts w:ascii="Aptos" w:eastAsia="Aptos" w:hAnsi="Aptos" w:cs="Aptos"/>
          <w:color w:val="000000" w:themeColor="text1"/>
          <w:lang w:val="en-US"/>
        </w:rPr>
        <w:t xml:space="preserve">for </w:t>
      </w:r>
      <w:r w:rsidR="00C97E33">
        <w:rPr>
          <w:rFonts w:ascii="Aptos" w:eastAsia="Aptos" w:hAnsi="Aptos" w:cs="Aptos"/>
          <w:color w:val="000000" w:themeColor="text1"/>
          <w:lang w:val="en-US"/>
        </w:rPr>
        <w:t xml:space="preserve">the </w:t>
      </w:r>
      <w:r w:rsidR="00C56185">
        <w:rPr>
          <w:rFonts w:ascii="Aptos" w:eastAsia="Aptos" w:hAnsi="Aptos" w:cs="Aptos"/>
          <w:color w:val="000000" w:themeColor="text1"/>
          <w:lang w:val="en-US"/>
        </w:rPr>
        <w:t>Transport Accident Commission and Work</w:t>
      </w:r>
      <w:r w:rsidR="00D46A6A">
        <w:rPr>
          <w:rFonts w:ascii="Aptos" w:eastAsia="Aptos" w:hAnsi="Aptos" w:cs="Aptos"/>
          <w:color w:val="000000" w:themeColor="text1"/>
          <w:lang w:val="en-US"/>
        </w:rPr>
        <w:t>S</w:t>
      </w:r>
      <w:r w:rsidR="008B6FE0">
        <w:rPr>
          <w:rFonts w:ascii="Aptos" w:eastAsia="Aptos" w:hAnsi="Aptos" w:cs="Aptos"/>
          <w:color w:val="000000" w:themeColor="text1"/>
          <w:lang w:val="en-US"/>
        </w:rPr>
        <w:t>afe</w:t>
      </w:r>
      <w:r w:rsidR="00D46A6A">
        <w:rPr>
          <w:rFonts w:ascii="Aptos" w:eastAsia="Aptos" w:hAnsi="Aptos" w:cs="Aptos"/>
          <w:color w:val="000000" w:themeColor="text1"/>
          <w:lang w:val="en-US"/>
        </w:rPr>
        <w:t xml:space="preserve"> Victoria</w:t>
      </w:r>
      <w:r w:rsidR="000B3190">
        <w:rPr>
          <w:rFonts w:ascii="Aptos" w:eastAsia="Aptos" w:hAnsi="Aptos" w:cs="Aptos"/>
          <w:color w:val="000000" w:themeColor="text1"/>
          <w:lang w:val="en-US"/>
        </w:rPr>
        <w:t xml:space="preserve"> funds. </w:t>
      </w:r>
      <w:r w:rsidRPr="00C04303">
        <w:rPr>
          <w:rFonts w:ascii="Aptos" w:eastAsia="Aptos" w:hAnsi="Aptos" w:cs="Aptos"/>
          <w:color w:val="000000" w:themeColor="text1"/>
          <w:lang w:val="en-US"/>
        </w:rPr>
        <w:t xml:space="preserve">Consolidating funds management into VFMC will leverage expertise, improve oversight and reduce financial </w:t>
      </w:r>
      <w:r>
        <w:rPr>
          <w:rFonts w:ascii="Aptos" w:eastAsia="Aptos" w:hAnsi="Aptos" w:cs="Aptos"/>
          <w:color w:val="000000" w:themeColor="text1"/>
          <w:lang w:val="en-US"/>
        </w:rPr>
        <w:t xml:space="preserve">and operational </w:t>
      </w:r>
      <w:r w:rsidRPr="00C04303">
        <w:rPr>
          <w:rFonts w:ascii="Aptos" w:eastAsia="Aptos" w:hAnsi="Aptos" w:cs="Aptos"/>
          <w:color w:val="000000" w:themeColor="text1"/>
          <w:lang w:val="en-US"/>
        </w:rPr>
        <w:t>risk to government</w:t>
      </w:r>
      <w:r>
        <w:rPr>
          <w:rFonts w:ascii="Aptos" w:eastAsia="Aptos" w:hAnsi="Aptos" w:cs="Aptos"/>
          <w:color w:val="000000" w:themeColor="text1"/>
          <w:lang w:val="en-US"/>
        </w:rPr>
        <w:t xml:space="preserve">, and to participants ultimately </w:t>
      </w:r>
      <w:proofErr w:type="spellStart"/>
      <w:r>
        <w:rPr>
          <w:rFonts w:ascii="Aptos" w:eastAsia="Aptos" w:hAnsi="Aptos" w:cs="Aptos"/>
          <w:color w:val="000000" w:themeColor="text1"/>
          <w:lang w:val="en-US"/>
        </w:rPr>
        <w:t>utilising</w:t>
      </w:r>
      <w:proofErr w:type="spellEnd"/>
      <w:r>
        <w:rPr>
          <w:rFonts w:ascii="Aptos" w:eastAsia="Aptos" w:hAnsi="Aptos" w:cs="Aptos"/>
          <w:color w:val="000000" w:themeColor="text1"/>
          <w:lang w:val="en-US"/>
        </w:rPr>
        <w:t xml:space="preserve"> these funds</w:t>
      </w:r>
      <w:r w:rsidRPr="00C04303">
        <w:rPr>
          <w:rFonts w:ascii="Aptos" w:eastAsia="Aptos" w:hAnsi="Aptos" w:cs="Aptos"/>
          <w:color w:val="000000" w:themeColor="text1"/>
          <w:lang w:val="en-US"/>
        </w:rPr>
        <w:t>.</w:t>
      </w:r>
    </w:p>
    <w:p w14:paraId="3F16EF3E" w14:textId="325957EE" w:rsidR="0095201D" w:rsidRPr="00C04303" w:rsidRDefault="0095201D" w:rsidP="0095201D">
      <w:pPr>
        <w:rPr>
          <w:rFonts w:ascii="Aptos" w:eastAsia="Aptos" w:hAnsi="Aptos" w:cs="Aptos"/>
          <w:color w:val="000000" w:themeColor="text1"/>
          <w:lang w:val="en-US"/>
        </w:rPr>
      </w:pPr>
      <w:r w:rsidRPr="00C04303">
        <w:rPr>
          <w:rFonts w:ascii="Aptos" w:eastAsia="Aptos" w:hAnsi="Aptos" w:cs="Aptos"/>
          <w:color w:val="000000" w:themeColor="text1"/>
          <w:lang w:val="en-US"/>
        </w:rPr>
        <w:t xml:space="preserve">The Review recommends that government consolidate and scale back its industry support activities. This includes abolishing </w:t>
      </w:r>
      <w:proofErr w:type="spellStart"/>
      <w:r w:rsidRPr="00C04303">
        <w:rPr>
          <w:rFonts w:ascii="Aptos" w:eastAsia="Aptos" w:hAnsi="Aptos" w:cs="Aptos"/>
          <w:color w:val="000000" w:themeColor="text1"/>
          <w:lang w:val="en-US"/>
        </w:rPr>
        <w:t>LaunchVic</w:t>
      </w:r>
      <w:proofErr w:type="spellEnd"/>
      <w:r w:rsidRPr="00C04303">
        <w:rPr>
          <w:rFonts w:ascii="Aptos" w:eastAsia="Aptos" w:hAnsi="Aptos" w:cs="Aptos"/>
          <w:color w:val="000000" w:themeColor="text1"/>
          <w:lang w:val="en-US"/>
        </w:rPr>
        <w:t xml:space="preserve"> as a standalone entity and absorbing necessary remaining functions into Invest</w:t>
      </w:r>
      <w:r w:rsidR="001D7AC5">
        <w:rPr>
          <w:rFonts w:ascii="Aptos" w:eastAsia="Aptos" w:hAnsi="Aptos" w:cs="Aptos"/>
          <w:color w:val="000000" w:themeColor="text1"/>
          <w:lang w:val="en-US"/>
        </w:rPr>
        <w:t xml:space="preserve"> Victoria</w:t>
      </w:r>
      <w:r w:rsidRPr="00C04303">
        <w:rPr>
          <w:rFonts w:ascii="Aptos" w:eastAsia="Aptos" w:hAnsi="Aptos" w:cs="Aptos"/>
          <w:color w:val="000000" w:themeColor="text1"/>
          <w:lang w:val="en-US"/>
        </w:rPr>
        <w:t xml:space="preserve">. </w:t>
      </w:r>
      <w:r w:rsidR="00DF2F36" w:rsidRPr="00EE1D43">
        <w:rPr>
          <w:rFonts w:ascii="Aptos" w:eastAsia="Aptos" w:hAnsi="Aptos" w:cs="Aptos"/>
          <w:color w:val="000000" w:themeColor="text1"/>
          <w:lang w:val="en-US"/>
        </w:rPr>
        <w:t xml:space="preserve">Management of </w:t>
      </w:r>
      <w:proofErr w:type="spellStart"/>
      <w:r w:rsidR="00DF2F36" w:rsidRPr="00EE1D43">
        <w:rPr>
          <w:rFonts w:ascii="Aptos" w:eastAsia="Aptos" w:hAnsi="Aptos" w:cs="Aptos"/>
          <w:color w:val="000000" w:themeColor="text1"/>
          <w:lang w:val="en-US"/>
        </w:rPr>
        <w:t>LaunchVic’s</w:t>
      </w:r>
      <w:proofErr w:type="spellEnd"/>
      <w:r w:rsidR="00DF2F36" w:rsidRPr="00EE1D43">
        <w:rPr>
          <w:rFonts w:ascii="Aptos" w:eastAsia="Aptos" w:hAnsi="Aptos" w:cs="Aptos"/>
          <w:color w:val="000000" w:themeColor="text1"/>
          <w:lang w:val="en-US"/>
        </w:rPr>
        <w:t xml:space="preserve"> equity investments </w:t>
      </w:r>
      <w:r w:rsidR="00F20E25" w:rsidRPr="00EE1D43">
        <w:rPr>
          <w:rFonts w:ascii="Aptos" w:eastAsia="Aptos" w:hAnsi="Aptos" w:cs="Aptos"/>
          <w:color w:val="000000" w:themeColor="text1"/>
          <w:lang w:val="en-US"/>
        </w:rPr>
        <w:t>should also be</w:t>
      </w:r>
      <w:r w:rsidR="00DF2F36" w:rsidRPr="00EE1D43">
        <w:rPr>
          <w:rFonts w:ascii="Aptos" w:eastAsia="Aptos" w:hAnsi="Aptos" w:cs="Aptos"/>
          <w:color w:val="000000" w:themeColor="text1"/>
          <w:lang w:val="en-US"/>
        </w:rPr>
        <w:t xml:space="preserve"> transferred to VFMC.</w:t>
      </w:r>
      <w:r w:rsidRPr="00C04303">
        <w:rPr>
          <w:rFonts w:ascii="Aptos" w:eastAsia="Aptos" w:hAnsi="Aptos" w:cs="Aptos"/>
          <w:color w:val="000000" w:themeColor="text1"/>
          <w:lang w:val="en-US"/>
        </w:rPr>
        <w:t xml:space="preserve"> Chapter </w:t>
      </w:r>
      <w:r w:rsidRPr="008F1FFB">
        <w:rPr>
          <w:rFonts w:ascii="Aptos" w:eastAsia="Aptos" w:hAnsi="Aptos" w:cs="Aptos"/>
          <w:color w:val="000000" w:themeColor="text1"/>
          <w:lang w:val="en-US"/>
        </w:rPr>
        <w:t>8</w:t>
      </w:r>
      <w:r w:rsidRPr="00C04303">
        <w:rPr>
          <w:rFonts w:ascii="Aptos" w:eastAsia="Aptos" w:hAnsi="Aptos" w:cs="Aptos"/>
          <w:color w:val="000000" w:themeColor="text1"/>
          <w:lang w:val="en-US"/>
        </w:rPr>
        <w:t xml:space="preserve"> discusses recommended industry support changes in further detail.</w:t>
      </w:r>
    </w:p>
    <w:p w14:paraId="6DE4F809" w14:textId="60EB9D9F" w:rsidR="0095201D" w:rsidRPr="008F1FFB" w:rsidRDefault="0095201D" w:rsidP="0095201D">
      <w:pPr>
        <w:rPr>
          <w:rFonts w:ascii="Aptos" w:eastAsia="Aptos" w:hAnsi="Aptos" w:cs="Aptos"/>
          <w:color w:val="000000" w:themeColor="text1"/>
        </w:rPr>
      </w:pPr>
      <w:r w:rsidRPr="0085031C">
        <w:rPr>
          <w:rFonts w:ascii="Aptos" w:eastAsia="Aptos" w:hAnsi="Aptos" w:cs="Aptos"/>
          <w:color w:val="000000" w:themeColor="text1"/>
          <w:lang w:val="en-US"/>
        </w:rPr>
        <w:t xml:space="preserve">The </w:t>
      </w:r>
      <w:r>
        <w:rPr>
          <w:rFonts w:ascii="Aptos" w:eastAsia="Aptos" w:hAnsi="Aptos" w:cs="Aptos"/>
          <w:color w:val="000000" w:themeColor="text1"/>
          <w:lang w:val="en-US"/>
        </w:rPr>
        <w:t>estimated</w:t>
      </w:r>
      <w:r w:rsidRPr="0085031C">
        <w:rPr>
          <w:rFonts w:ascii="Aptos" w:eastAsia="Aptos" w:hAnsi="Aptos" w:cs="Aptos"/>
          <w:color w:val="000000" w:themeColor="text1"/>
          <w:lang w:val="en-US"/>
        </w:rPr>
        <w:t xml:space="preserve"> net savings for government through these reforms is </w:t>
      </w:r>
      <w:r w:rsidRPr="008F1FFB">
        <w:rPr>
          <w:rFonts w:ascii="Aptos" w:eastAsia="Aptos" w:hAnsi="Aptos" w:cs="Aptos"/>
          <w:color w:val="000000" w:themeColor="text1"/>
          <w:lang w:val="en-US"/>
        </w:rPr>
        <w:t>$13 million</w:t>
      </w:r>
      <w:r w:rsidRPr="004F3EC0">
        <w:rPr>
          <w:rFonts w:ascii="Aptos" w:eastAsia="Aptos" w:hAnsi="Aptos" w:cs="Aptos"/>
          <w:color w:val="000000" w:themeColor="text1"/>
          <w:lang w:val="en-US"/>
        </w:rPr>
        <w:t xml:space="preserve"> over the forward estimates </w:t>
      </w:r>
      <w:r>
        <w:rPr>
          <w:rFonts w:ascii="Aptos" w:eastAsia="Aptos" w:hAnsi="Aptos" w:cs="Aptos"/>
          <w:color w:val="000000" w:themeColor="text1"/>
          <w:lang w:val="en-US"/>
        </w:rPr>
        <w:t>and</w:t>
      </w:r>
      <w:r w:rsidRPr="004F3EC0">
        <w:rPr>
          <w:rFonts w:ascii="Aptos" w:eastAsia="Aptos" w:hAnsi="Aptos" w:cs="Aptos"/>
          <w:color w:val="000000" w:themeColor="text1"/>
          <w:lang w:val="en-US"/>
        </w:rPr>
        <w:t xml:space="preserve"> </w:t>
      </w:r>
      <w:r w:rsidRPr="008F1FFB">
        <w:rPr>
          <w:rFonts w:ascii="Aptos" w:eastAsia="Aptos" w:hAnsi="Aptos" w:cs="Aptos"/>
          <w:color w:val="000000" w:themeColor="text1"/>
          <w:lang w:val="en-US"/>
        </w:rPr>
        <w:t>14 FTE</w:t>
      </w:r>
      <w:r w:rsidR="008F1FFB" w:rsidRPr="008F1FFB">
        <w:rPr>
          <w:rFonts w:ascii="Arial" w:eastAsia="Aptos" w:hAnsi="Arial" w:cs="Arial"/>
          <w:color w:val="000000" w:themeColor="text1"/>
        </w:rPr>
        <w:t>.</w:t>
      </w:r>
    </w:p>
    <w:p w14:paraId="040C5B4C" w14:textId="77777777" w:rsidR="0095201D" w:rsidRPr="004340C8" w:rsidRDefault="0095201D" w:rsidP="0044167F">
      <w:pPr>
        <w:pStyle w:val="Heading3"/>
        <w:rPr>
          <w:rFonts w:ascii="Aptos" w:eastAsia="Aptos" w:hAnsi="Aptos" w:cs="Aptos"/>
          <w:b w:val="0"/>
          <w:color w:val="000000" w:themeColor="text1"/>
        </w:rPr>
      </w:pPr>
      <w:r>
        <w:rPr>
          <w:rFonts w:eastAsia="Aptos"/>
        </w:rPr>
        <w:t xml:space="preserve">Abolishing </w:t>
      </w:r>
      <w:r w:rsidRPr="0044167F">
        <w:t>entities</w:t>
      </w:r>
      <w:r>
        <w:rPr>
          <w:rFonts w:eastAsia="Aptos"/>
        </w:rPr>
        <w:t xml:space="preserve"> and ceasing functions</w:t>
      </w:r>
    </w:p>
    <w:p w14:paraId="691726FB" w14:textId="7BEBDD89" w:rsidR="0095201D" w:rsidRDefault="0095201D" w:rsidP="0095201D">
      <w:pPr>
        <w:rPr>
          <w:rFonts w:eastAsia="Aptos" w:cs="Aptos"/>
          <w:color w:val="000000" w:themeColor="text1"/>
        </w:rPr>
      </w:pPr>
      <w:r w:rsidRPr="00C04303">
        <w:rPr>
          <w:rFonts w:eastAsia="Aptos" w:cs="Aptos"/>
          <w:bCs/>
          <w:color w:val="000000" w:themeColor="text1"/>
        </w:rPr>
        <w:t>The</w:t>
      </w:r>
      <w:r>
        <w:rPr>
          <w:rFonts w:eastAsia="Aptos" w:cs="Aptos"/>
          <w:bCs/>
          <w:color w:val="000000" w:themeColor="text1"/>
        </w:rPr>
        <w:t xml:space="preserve"> Review has found</w:t>
      </w:r>
      <w:r w:rsidRPr="00C04303">
        <w:rPr>
          <w:rFonts w:eastAsia="Aptos" w:cs="Aptos"/>
          <w:color w:val="000000" w:themeColor="text1"/>
        </w:rPr>
        <w:t xml:space="preserve"> opportunities to abolish some entities where there is substantial duplication with the </w:t>
      </w:r>
      <w:r w:rsidRPr="00C04303">
        <w:rPr>
          <w:rFonts w:eastAsia="Aptos" w:cs="Aptos"/>
          <w:color w:val="000000" w:themeColor="text1"/>
        </w:rPr>
        <w:t>responsibilities of departments and the</w:t>
      </w:r>
      <w:r w:rsidR="00A85C01">
        <w:rPr>
          <w:rFonts w:eastAsia="Aptos" w:cs="Aptos"/>
          <w:color w:val="000000" w:themeColor="text1"/>
        </w:rPr>
        <w:t>re is</w:t>
      </w:r>
      <w:r w:rsidRPr="00C04303">
        <w:rPr>
          <w:rFonts w:eastAsia="Aptos" w:cs="Aptos"/>
          <w:color w:val="000000" w:themeColor="text1"/>
        </w:rPr>
        <w:t xml:space="preserve"> not </w:t>
      </w:r>
      <w:r w:rsidR="00A85C01">
        <w:rPr>
          <w:rFonts w:eastAsia="Aptos" w:cs="Aptos"/>
          <w:color w:val="000000" w:themeColor="text1"/>
        </w:rPr>
        <w:t>an</w:t>
      </w:r>
      <w:r w:rsidRPr="00C04303">
        <w:rPr>
          <w:rFonts w:eastAsia="Aptos" w:cs="Aptos"/>
          <w:color w:val="000000" w:themeColor="text1"/>
        </w:rPr>
        <w:t xml:space="preserve"> identified ongoing </w:t>
      </w:r>
      <w:r w:rsidR="0002757F">
        <w:rPr>
          <w:rFonts w:eastAsia="Aptos" w:cs="Aptos"/>
          <w:color w:val="000000" w:themeColor="text1"/>
        </w:rPr>
        <w:t>need</w:t>
      </w:r>
      <w:r w:rsidRPr="00C04303">
        <w:rPr>
          <w:rFonts w:eastAsia="Aptos" w:cs="Aptos"/>
          <w:color w:val="000000" w:themeColor="text1"/>
        </w:rPr>
        <w:t xml:space="preserve"> for the activity. These entities were established to achieve policy goals at a particular time, have done good work</w:t>
      </w:r>
      <w:r>
        <w:rPr>
          <w:rFonts w:eastAsia="Aptos" w:cs="Aptos"/>
          <w:color w:val="000000" w:themeColor="text1"/>
        </w:rPr>
        <w:t xml:space="preserve"> and achieved their objectives</w:t>
      </w:r>
      <w:r w:rsidRPr="00C04303">
        <w:rPr>
          <w:rFonts w:eastAsia="Aptos" w:cs="Aptos"/>
          <w:color w:val="000000" w:themeColor="text1"/>
        </w:rPr>
        <w:t xml:space="preserve">, </w:t>
      </w:r>
      <w:r>
        <w:rPr>
          <w:rFonts w:eastAsia="Aptos" w:cs="Aptos"/>
          <w:color w:val="000000" w:themeColor="text1"/>
        </w:rPr>
        <w:t>and now arguably</w:t>
      </w:r>
      <w:r w:rsidRPr="00C04303">
        <w:rPr>
          <w:rFonts w:eastAsia="Aptos" w:cs="Aptos"/>
          <w:color w:val="000000" w:themeColor="text1"/>
        </w:rPr>
        <w:t xml:space="preserve"> </w:t>
      </w:r>
      <w:r>
        <w:rPr>
          <w:rFonts w:eastAsia="Aptos" w:cs="Aptos"/>
          <w:color w:val="000000" w:themeColor="text1"/>
        </w:rPr>
        <w:t xml:space="preserve">are </w:t>
      </w:r>
      <w:r w:rsidRPr="00C04303">
        <w:rPr>
          <w:rFonts w:eastAsia="Aptos" w:cs="Aptos"/>
          <w:color w:val="000000" w:themeColor="text1"/>
        </w:rPr>
        <w:t>no longer</w:t>
      </w:r>
      <w:r w:rsidR="0052375E">
        <w:rPr>
          <w:rFonts w:eastAsia="Aptos" w:cs="Aptos"/>
          <w:color w:val="000000" w:themeColor="text1"/>
        </w:rPr>
        <w:t> </w:t>
      </w:r>
      <w:r w:rsidRPr="00C04303">
        <w:rPr>
          <w:rFonts w:eastAsia="Aptos" w:cs="Aptos"/>
          <w:color w:val="000000" w:themeColor="text1"/>
        </w:rPr>
        <w:t>required.</w:t>
      </w:r>
      <w:r>
        <w:rPr>
          <w:rFonts w:eastAsia="Aptos" w:cs="Aptos"/>
          <w:color w:val="000000" w:themeColor="text1"/>
        </w:rPr>
        <w:t xml:space="preserve"> </w:t>
      </w:r>
    </w:p>
    <w:p w14:paraId="383F6A1D" w14:textId="73765A23" w:rsidR="0095201D" w:rsidRPr="008F1FFB" w:rsidRDefault="0095201D" w:rsidP="0095201D">
      <w:pPr>
        <w:rPr>
          <w:rFonts w:ascii="Arial" w:eastAsia="Aptos" w:hAnsi="Arial" w:cs="Arial"/>
          <w:color w:val="000000" w:themeColor="text1"/>
        </w:rPr>
      </w:pPr>
      <w:r w:rsidRPr="0085031C">
        <w:rPr>
          <w:rFonts w:ascii="Aptos" w:eastAsia="Aptos" w:hAnsi="Aptos" w:cs="Aptos"/>
          <w:color w:val="000000" w:themeColor="text1"/>
          <w:lang w:val="en-US"/>
        </w:rPr>
        <w:t xml:space="preserve">The </w:t>
      </w:r>
      <w:r>
        <w:rPr>
          <w:rFonts w:ascii="Aptos" w:eastAsia="Aptos" w:hAnsi="Aptos" w:cs="Aptos"/>
          <w:color w:val="000000" w:themeColor="text1"/>
          <w:lang w:val="en-US"/>
        </w:rPr>
        <w:t>estimated</w:t>
      </w:r>
      <w:r w:rsidRPr="0085031C">
        <w:rPr>
          <w:rFonts w:ascii="Aptos" w:eastAsia="Aptos" w:hAnsi="Aptos" w:cs="Aptos"/>
          <w:color w:val="000000" w:themeColor="text1"/>
          <w:lang w:val="en-US"/>
        </w:rPr>
        <w:t xml:space="preserve"> net savings for government through these reforms is </w:t>
      </w:r>
      <w:r w:rsidRPr="008F1FFB">
        <w:rPr>
          <w:rFonts w:ascii="Aptos" w:eastAsia="Aptos" w:hAnsi="Aptos" w:cs="Aptos"/>
          <w:color w:val="000000" w:themeColor="text1"/>
          <w:lang w:val="en-US"/>
        </w:rPr>
        <w:t>$18 million</w:t>
      </w:r>
      <w:r w:rsidRPr="004F3EC0">
        <w:rPr>
          <w:rFonts w:ascii="Aptos" w:eastAsia="Aptos" w:hAnsi="Aptos" w:cs="Aptos"/>
          <w:color w:val="000000" w:themeColor="text1"/>
          <w:lang w:val="en-US"/>
        </w:rPr>
        <w:t xml:space="preserve"> over the forward estimates </w:t>
      </w:r>
      <w:r>
        <w:rPr>
          <w:rFonts w:ascii="Aptos" w:eastAsia="Aptos" w:hAnsi="Aptos" w:cs="Aptos"/>
          <w:color w:val="000000" w:themeColor="text1"/>
          <w:lang w:val="en-US"/>
        </w:rPr>
        <w:t>and</w:t>
      </w:r>
      <w:r w:rsidRPr="004F3EC0">
        <w:rPr>
          <w:rFonts w:ascii="Aptos" w:eastAsia="Aptos" w:hAnsi="Aptos" w:cs="Aptos"/>
          <w:color w:val="000000" w:themeColor="text1"/>
          <w:lang w:val="en-US"/>
        </w:rPr>
        <w:t xml:space="preserve"> </w:t>
      </w:r>
      <w:r w:rsidRPr="008F1FFB">
        <w:rPr>
          <w:rFonts w:ascii="Aptos" w:eastAsia="Aptos" w:hAnsi="Aptos" w:cs="Aptos"/>
          <w:color w:val="000000" w:themeColor="text1"/>
          <w:lang w:val="en-US"/>
        </w:rPr>
        <w:t>14 FTE.</w:t>
      </w:r>
    </w:p>
    <w:p w14:paraId="73D6A8D5" w14:textId="77777777" w:rsidR="0095201D" w:rsidRPr="00E66A50" w:rsidRDefault="0095201D" w:rsidP="0095201D">
      <w:pPr>
        <w:rPr>
          <w:rFonts w:eastAsia="Aptos" w:cs="Aptos"/>
          <w:color w:val="000000" w:themeColor="text1"/>
        </w:rPr>
      </w:pPr>
      <w:r w:rsidRPr="00E66A50">
        <w:rPr>
          <w:rFonts w:eastAsia="Aptos" w:cs="Arial"/>
          <w:color w:val="000000" w:themeColor="text1"/>
        </w:rPr>
        <w:t>Re</w:t>
      </w:r>
      <w:r>
        <w:rPr>
          <w:rFonts w:eastAsia="Aptos" w:cs="Arial"/>
          <w:color w:val="000000" w:themeColor="text1"/>
        </w:rPr>
        <w:t>commended reforms include:</w:t>
      </w:r>
    </w:p>
    <w:p w14:paraId="0D17EC77" w14:textId="53384691" w:rsidR="0095201D" w:rsidRPr="00C40350" w:rsidRDefault="0095201D" w:rsidP="00D207B3">
      <w:pPr>
        <w:pStyle w:val="ListParagraph"/>
        <w:numPr>
          <w:ilvl w:val="0"/>
          <w:numId w:val="34"/>
        </w:numPr>
        <w:contextualSpacing w:val="0"/>
        <w:rPr>
          <w:rFonts w:eastAsia="Aptos" w:cs="Aptos"/>
          <w:color w:val="000000" w:themeColor="text1"/>
        </w:rPr>
      </w:pPr>
      <w:r w:rsidRPr="00E66A50">
        <w:rPr>
          <w:rFonts w:eastAsia="Aptos" w:cs="Aptos"/>
          <w:b/>
          <w:bCs/>
          <w:color w:val="000000" w:themeColor="text1"/>
        </w:rPr>
        <w:t>Sustainability Victoria</w:t>
      </w:r>
      <w:r w:rsidRPr="00C40350">
        <w:rPr>
          <w:rFonts w:eastAsia="Aptos" w:cs="Aptos"/>
          <w:color w:val="000000" w:themeColor="text1"/>
        </w:rPr>
        <w:t xml:space="preserve"> </w:t>
      </w:r>
      <w:r>
        <w:rPr>
          <w:rFonts w:eastAsia="Aptos" w:cs="Aptos"/>
          <w:color w:val="000000" w:themeColor="text1"/>
        </w:rPr>
        <w:t xml:space="preserve">(SV) </w:t>
      </w:r>
      <w:r w:rsidRPr="00C40350">
        <w:rPr>
          <w:rFonts w:eastAsia="Aptos" w:cs="Aptos"/>
          <w:color w:val="000000" w:themeColor="text1"/>
        </w:rPr>
        <w:t>s</w:t>
      </w:r>
      <w:r>
        <w:rPr>
          <w:rFonts w:eastAsia="Aptos" w:cs="Aptos"/>
          <w:color w:val="000000" w:themeColor="text1"/>
        </w:rPr>
        <w:t>hould be abolished as a standalone entity and its functions ceased. SV</w:t>
      </w:r>
      <w:r w:rsidRPr="00C40350">
        <w:rPr>
          <w:rFonts w:eastAsia="Aptos" w:cs="Aptos"/>
          <w:color w:val="000000" w:themeColor="text1"/>
        </w:rPr>
        <w:t xml:space="preserve"> was established</w:t>
      </w:r>
      <w:r>
        <w:rPr>
          <w:rFonts w:eastAsia="Aptos" w:cs="Aptos"/>
          <w:color w:val="000000" w:themeColor="text1"/>
        </w:rPr>
        <w:t xml:space="preserve"> in 2005</w:t>
      </w:r>
      <w:r w:rsidRPr="00C40350">
        <w:rPr>
          <w:rFonts w:eastAsia="Aptos" w:cs="Aptos"/>
          <w:color w:val="000000" w:themeColor="text1"/>
        </w:rPr>
        <w:t xml:space="preserve"> to promote environmental sustainability</w:t>
      </w:r>
      <w:r>
        <w:rPr>
          <w:rFonts w:eastAsia="Aptos" w:cs="Aptos"/>
          <w:color w:val="000000" w:themeColor="text1"/>
        </w:rPr>
        <w:t xml:space="preserve">, which </w:t>
      </w:r>
      <w:r w:rsidRPr="00C40350">
        <w:rPr>
          <w:rFonts w:eastAsia="Aptos" w:cs="Aptos"/>
          <w:color w:val="000000" w:themeColor="text1"/>
        </w:rPr>
        <w:t>is a</w:t>
      </w:r>
      <w:r>
        <w:rPr>
          <w:rFonts w:eastAsia="Aptos" w:cs="Aptos"/>
          <w:color w:val="000000" w:themeColor="text1"/>
        </w:rPr>
        <w:t>n important</w:t>
      </w:r>
      <w:r w:rsidRPr="00C40350">
        <w:rPr>
          <w:rFonts w:eastAsia="Aptos" w:cs="Aptos"/>
          <w:color w:val="000000" w:themeColor="text1"/>
        </w:rPr>
        <w:t xml:space="preserve"> role for government</w:t>
      </w:r>
      <w:r>
        <w:rPr>
          <w:rFonts w:eastAsia="Aptos" w:cs="Aptos"/>
          <w:color w:val="000000" w:themeColor="text1"/>
        </w:rPr>
        <w:t>. However, SV</w:t>
      </w:r>
      <w:r w:rsidR="00B005E9">
        <w:rPr>
          <w:rFonts w:eastAsia="Aptos" w:cs="Aptos"/>
          <w:color w:val="000000" w:themeColor="text1"/>
        </w:rPr>
        <w:t>’</w:t>
      </w:r>
      <w:r>
        <w:rPr>
          <w:rFonts w:eastAsia="Aptos" w:cs="Aptos"/>
          <w:color w:val="000000" w:themeColor="text1"/>
        </w:rPr>
        <w:t xml:space="preserve">s </w:t>
      </w:r>
      <w:r w:rsidRPr="00C40350">
        <w:rPr>
          <w:rFonts w:eastAsia="Aptos" w:cs="Aptos"/>
          <w:color w:val="000000" w:themeColor="text1"/>
        </w:rPr>
        <w:t xml:space="preserve">waste management, recycling, energy and climate change responsibilities </w:t>
      </w:r>
      <w:r>
        <w:rPr>
          <w:rFonts w:eastAsia="Aptos" w:cs="Aptos"/>
          <w:color w:val="000000" w:themeColor="text1"/>
        </w:rPr>
        <w:t>overlap</w:t>
      </w:r>
      <w:r w:rsidRPr="00C40350">
        <w:rPr>
          <w:rFonts w:eastAsia="Aptos" w:cs="Aptos"/>
          <w:color w:val="000000" w:themeColor="text1"/>
        </w:rPr>
        <w:t xml:space="preserve"> with </w:t>
      </w:r>
      <w:r>
        <w:rPr>
          <w:rFonts w:eastAsia="Aptos" w:cs="Aptos"/>
          <w:color w:val="000000" w:themeColor="text1"/>
        </w:rPr>
        <w:t>DEECA</w:t>
      </w:r>
      <w:r w:rsidRPr="00C40350">
        <w:rPr>
          <w:rFonts w:eastAsia="Aptos" w:cs="Aptos"/>
          <w:color w:val="000000" w:themeColor="text1"/>
        </w:rPr>
        <w:t xml:space="preserve"> and other non-departmental entities (i.e. Recycling Victoria and </w:t>
      </w:r>
      <w:r>
        <w:rPr>
          <w:rFonts w:eastAsia="Aptos" w:cs="Aptos"/>
          <w:color w:val="000000" w:themeColor="text1"/>
        </w:rPr>
        <w:t xml:space="preserve">the </w:t>
      </w:r>
      <w:r w:rsidRPr="00C40350">
        <w:rPr>
          <w:rFonts w:eastAsia="Aptos" w:cs="Aptos"/>
          <w:color w:val="000000" w:themeColor="text1"/>
        </w:rPr>
        <w:t xml:space="preserve">EPA). </w:t>
      </w:r>
      <w:r>
        <w:rPr>
          <w:rFonts w:eastAsia="Aptos" w:cs="Aptos"/>
          <w:color w:val="000000" w:themeColor="text1"/>
        </w:rPr>
        <w:t xml:space="preserve">Removing SV </w:t>
      </w:r>
      <w:r w:rsidRPr="00C40350">
        <w:rPr>
          <w:rFonts w:eastAsia="Aptos" w:cs="Aptos"/>
          <w:color w:val="000000" w:themeColor="text1"/>
        </w:rPr>
        <w:t>would streamline sustainability policy, simplify governance, reduce administrative overheads and clarify</w:t>
      </w:r>
      <w:r w:rsidR="00711B38">
        <w:rPr>
          <w:rFonts w:eastAsia="Aptos" w:cs="Aptos"/>
          <w:color w:val="000000" w:themeColor="text1"/>
        </w:rPr>
        <w:t> </w:t>
      </w:r>
      <w:r w:rsidRPr="00C40350">
        <w:rPr>
          <w:rFonts w:eastAsia="Aptos" w:cs="Aptos"/>
          <w:color w:val="000000" w:themeColor="text1"/>
        </w:rPr>
        <w:t>accountability across the relevant bodies.</w:t>
      </w:r>
    </w:p>
    <w:p w14:paraId="69D75916" w14:textId="216B3DEF" w:rsidR="0095201D" w:rsidRPr="00A34BBE" w:rsidRDefault="0095201D" w:rsidP="00D207B3">
      <w:pPr>
        <w:pStyle w:val="ListParagraph"/>
        <w:numPr>
          <w:ilvl w:val="0"/>
          <w:numId w:val="34"/>
        </w:numPr>
        <w:contextualSpacing w:val="0"/>
        <w:rPr>
          <w:rFonts w:eastAsia="Aptos" w:cs="Aptos"/>
          <w:color w:val="000000" w:themeColor="text1"/>
        </w:rPr>
      </w:pPr>
      <w:r w:rsidRPr="00BA6791">
        <w:rPr>
          <w:rFonts w:eastAsia="Aptos" w:cs="Aptos"/>
          <w:color w:val="000000" w:themeColor="text1"/>
        </w:rPr>
        <w:t xml:space="preserve">The </w:t>
      </w:r>
      <w:r w:rsidRPr="00E66A50">
        <w:rPr>
          <w:rFonts w:eastAsia="Aptos" w:cs="Aptos"/>
          <w:b/>
          <w:bCs/>
          <w:color w:val="000000" w:themeColor="text1"/>
        </w:rPr>
        <w:t>Geelong Authority</w:t>
      </w:r>
      <w:r>
        <w:rPr>
          <w:rFonts w:eastAsia="Aptos" w:cs="Aptos"/>
          <w:b/>
          <w:bCs/>
          <w:color w:val="000000" w:themeColor="text1"/>
        </w:rPr>
        <w:t xml:space="preserve"> </w:t>
      </w:r>
      <w:r w:rsidRPr="00BA6791">
        <w:rPr>
          <w:rFonts w:eastAsia="Aptos" w:cs="Aptos"/>
          <w:color w:val="000000" w:themeColor="text1"/>
        </w:rPr>
        <w:t xml:space="preserve">should </w:t>
      </w:r>
      <w:r>
        <w:rPr>
          <w:rFonts w:eastAsia="Aptos" w:cs="Aptos"/>
          <w:color w:val="000000" w:themeColor="text1"/>
        </w:rPr>
        <w:t xml:space="preserve">be abolished as a standalone entity and its functions ceased. The </w:t>
      </w:r>
      <w:r w:rsidRPr="00BA6791">
        <w:rPr>
          <w:rFonts w:eastAsia="Aptos" w:cs="Aptos"/>
          <w:color w:val="000000" w:themeColor="text1"/>
        </w:rPr>
        <w:t>Geelong Authority</w:t>
      </w:r>
      <w:r>
        <w:rPr>
          <w:rFonts w:eastAsia="Aptos" w:cs="Aptos"/>
          <w:color w:val="000000" w:themeColor="text1"/>
        </w:rPr>
        <w:t xml:space="preserve"> was established in 2015</w:t>
      </w:r>
      <w:r w:rsidRPr="00BA6791">
        <w:rPr>
          <w:rFonts w:eastAsia="Aptos" w:cs="Aptos"/>
          <w:color w:val="000000" w:themeColor="text1"/>
        </w:rPr>
        <w:t xml:space="preserve"> </w:t>
      </w:r>
      <w:r>
        <w:rPr>
          <w:rFonts w:eastAsia="Aptos" w:cs="Aptos"/>
          <w:color w:val="000000" w:themeColor="text1"/>
        </w:rPr>
        <w:t xml:space="preserve">to </w:t>
      </w:r>
      <w:r w:rsidRPr="00BA6791">
        <w:rPr>
          <w:rFonts w:eastAsia="Aptos" w:cs="Aptos"/>
          <w:color w:val="000000" w:themeColor="text1"/>
        </w:rPr>
        <w:t xml:space="preserve">provide independent advice to the Minister for Planning on priority projects </w:t>
      </w:r>
      <w:r>
        <w:rPr>
          <w:rFonts w:eastAsia="Aptos" w:cs="Aptos"/>
          <w:color w:val="000000" w:themeColor="text1"/>
        </w:rPr>
        <w:t xml:space="preserve">to attract investment </w:t>
      </w:r>
      <w:r w:rsidRPr="00BA6791">
        <w:rPr>
          <w:rFonts w:eastAsia="Aptos" w:cs="Aptos"/>
          <w:color w:val="000000" w:themeColor="text1"/>
        </w:rPr>
        <w:t xml:space="preserve">and </w:t>
      </w:r>
      <w:r>
        <w:rPr>
          <w:rFonts w:eastAsia="Aptos" w:cs="Aptos"/>
          <w:color w:val="000000" w:themeColor="text1"/>
        </w:rPr>
        <w:t xml:space="preserve">major </w:t>
      </w:r>
      <w:r w:rsidRPr="00BA6791">
        <w:rPr>
          <w:rFonts w:eastAsia="Aptos" w:cs="Aptos"/>
          <w:color w:val="000000" w:themeColor="text1"/>
        </w:rPr>
        <w:t>planning</w:t>
      </w:r>
      <w:r>
        <w:rPr>
          <w:rFonts w:eastAsia="Aptos" w:cs="Aptos"/>
          <w:color w:val="000000" w:themeColor="text1"/>
        </w:rPr>
        <w:t xml:space="preserve"> decisions</w:t>
      </w:r>
      <w:r w:rsidRPr="00BA6791">
        <w:rPr>
          <w:rFonts w:eastAsia="Aptos" w:cs="Aptos"/>
          <w:color w:val="000000" w:themeColor="text1"/>
        </w:rPr>
        <w:t xml:space="preserve"> within the Geelong region</w:t>
      </w:r>
      <w:r>
        <w:rPr>
          <w:rFonts w:eastAsia="Aptos" w:cs="Aptos"/>
          <w:color w:val="000000" w:themeColor="text1"/>
        </w:rPr>
        <w:t>. This duplicates</w:t>
      </w:r>
      <w:r w:rsidRPr="00CC4B37">
        <w:rPr>
          <w:rFonts w:eastAsia="Aptos" w:cs="Aptos"/>
          <w:color w:val="000000" w:themeColor="text1"/>
        </w:rPr>
        <w:t xml:space="preserve"> DTP</w:t>
      </w:r>
      <w:r>
        <w:rPr>
          <w:rFonts w:eastAsia="Aptos" w:cs="Aptos"/>
          <w:color w:val="000000" w:themeColor="text1"/>
        </w:rPr>
        <w:t xml:space="preserve">’s </w:t>
      </w:r>
      <w:proofErr w:type="gramStart"/>
      <w:r>
        <w:rPr>
          <w:rFonts w:eastAsia="Aptos" w:cs="Aptos"/>
          <w:color w:val="000000" w:themeColor="text1"/>
        </w:rPr>
        <w:t>responsibilities</w:t>
      </w:r>
      <w:proofErr w:type="gramEnd"/>
      <w:r>
        <w:rPr>
          <w:rFonts w:eastAsia="Aptos" w:cs="Aptos"/>
          <w:color w:val="000000" w:themeColor="text1"/>
        </w:rPr>
        <w:t xml:space="preserve"> </w:t>
      </w:r>
      <w:r w:rsidR="00F00A3E">
        <w:rPr>
          <w:rFonts w:eastAsia="Aptos" w:cs="Aptos"/>
          <w:color w:val="000000" w:themeColor="text1"/>
        </w:rPr>
        <w:t xml:space="preserve">and </w:t>
      </w:r>
      <w:r>
        <w:rPr>
          <w:rFonts w:eastAsia="Aptos" w:cs="Aptos"/>
          <w:color w:val="000000" w:themeColor="text1"/>
        </w:rPr>
        <w:t xml:space="preserve">a separate entity is no longer required. </w:t>
      </w:r>
      <w:r w:rsidRPr="00A34BBE">
        <w:rPr>
          <w:rFonts w:eastAsia="Aptos" w:cs="Aptos"/>
          <w:color w:val="000000" w:themeColor="text1"/>
        </w:rPr>
        <w:t>Discontinuing this body</w:t>
      </w:r>
      <w:r>
        <w:rPr>
          <w:rFonts w:eastAsia="Aptos" w:cs="Aptos"/>
          <w:color w:val="000000" w:themeColor="text1"/>
        </w:rPr>
        <w:t xml:space="preserve"> will</w:t>
      </w:r>
      <w:r w:rsidRPr="00A34BBE">
        <w:rPr>
          <w:rFonts w:eastAsia="Aptos" w:cs="Aptos"/>
          <w:color w:val="000000" w:themeColor="text1"/>
        </w:rPr>
        <w:t xml:space="preserve"> </w:t>
      </w:r>
      <w:r w:rsidRPr="00A34BBE">
        <w:rPr>
          <w:rFonts w:eastAsia="Aptos" w:cs="Aptos"/>
          <w:color w:val="000000" w:themeColor="text1"/>
        </w:rPr>
        <w:lastRenderedPageBreak/>
        <w:t xml:space="preserve">streamline planning processes and avoids duplicating administrative functions. </w:t>
      </w:r>
    </w:p>
    <w:p w14:paraId="05818241" w14:textId="27A6BDA2" w:rsidR="0095201D" w:rsidRPr="00464DD4" w:rsidRDefault="0095201D" w:rsidP="00D207B3">
      <w:pPr>
        <w:pStyle w:val="ListParagraph"/>
        <w:numPr>
          <w:ilvl w:val="0"/>
          <w:numId w:val="34"/>
        </w:numPr>
        <w:contextualSpacing w:val="0"/>
        <w:rPr>
          <w:rFonts w:eastAsia="Aptos" w:cs="Aptos"/>
          <w:color w:val="000000" w:themeColor="text1"/>
          <w:lang w:val="en-US"/>
        </w:rPr>
      </w:pPr>
      <w:r w:rsidRPr="002B5B5F">
        <w:rPr>
          <w:rFonts w:eastAsia="Aptos" w:cs="Aptos"/>
          <w:color w:val="000000" w:themeColor="text1"/>
        </w:rPr>
        <w:t xml:space="preserve">The </w:t>
      </w:r>
      <w:r w:rsidRPr="002B5B5F">
        <w:rPr>
          <w:rFonts w:eastAsia="Aptos" w:cs="Aptos"/>
          <w:b/>
          <w:bCs/>
          <w:color w:val="000000" w:themeColor="text1"/>
        </w:rPr>
        <w:t>Office of the Local Jobs First Commissioner</w:t>
      </w:r>
      <w:r w:rsidRPr="002B5B5F">
        <w:rPr>
          <w:rFonts w:eastAsia="Aptos" w:cs="Aptos"/>
          <w:color w:val="000000" w:themeColor="text1"/>
        </w:rPr>
        <w:t xml:space="preserve"> should </w:t>
      </w:r>
      <w:r>
        <w:rPr>
          <w:rFonts w:eastAsia="Aptos" w:cs="Aptos"/>
          <w:color w:val="000000" w:themeColor="text1"/>
        </w:rPr>
        <w:t xml:space="preserve">be abolished as a standalone entity and its functions ceased. </w:t>
      </w:r>
      <w:r w:rsidRPr="00173CA2">
        <w:rPr>
          <w:rFonts w:eastAsia="Aptos" w:cs="Aptos"/>
          <w:color w:val="000000" w:themeColor="text1"/>
        </w:rPr>
        <w:t xml:space="preserve">The </w:t>
      </w:r>
      <w:r w:rsidRPr="00173CA2">
        <w:rPr>
          <w:rFonts w:eastAsia="Aptos" w:cs="Aptos"/>
          <w:color w:val="000000" w:themeColor="text1"/>
          <w:lang w:val="en-US"/>
        </w:rPr>
        <w:t>Office</w:t>
      </w:r>
      <w:r>
        <w:rPr>
          <w:rFonts w:eastAsia="Aptos" w:cs="Aptos"/>
          <w:color w:val="000000" w:themeColor="text1"/>
          <w:lang w:val="en-US"/>
        </w:rPr>
        <w:t xml:space="preserve"> was established in 2018 to</w:t>
      </w:r>
      <w:r w:rsidRPr="00173CA2">
        <w:rPr>
          <w:rFonts w:eastAsia="Aptos" w:cs="Aptos"/>
          <w:color w:val="000000" w:themeColor="text1"/>
          <w:lang w:val="en-US"/>
        </w:rPr>
        <w:t xml:space="preserve"> promote Victorian jobs by promoting the Local Jobs First </w:t>
      </w:r>
      <w:proofErr w:type="gramStart"/>
      <w:r w:rsidRPr="00173CA2">
        <w:rPr>
          <w:rFonts w:eastAsia="Aptos" w:cs="Aptos"/>
          <w:color w:val="000000" w:themeColor="text1"/>
          <w:lang w:val="en-US"/>
        </w:rPr>
        <w:t>policy, and</w:t>
      </w:r>
      <w:proofErr w:type="gramEnd"/>
      <w:r w:rsidRPr="00173CA2">
        <w:rPr>
          <w:rFonts w:eastAsia="Aptos" w:cs="Aptos"/>
          <w:color w:val="000000" w:themeColor="text1"/>
          <w:lang w:val="en-US"/>
        </w:rPr>
        <w:t xml:space="preserve"> providing advocacy and leadership for local jobs and training. </w:t>
      </w:r>
      <w:r>
        <w:rPr>
          <w:rFonts w:eastAsia="Aptos" w:cs="Aptos"/>
          <w:color w:val="000000" w:themeColor="text1"/>
          <w:lang w:val="en-US"/>
        </w:rPr>
        <w:t xml:space="preserve">This was an important entity at the time but is no longer necessary as </w:t>
      </w:r>
      <w:r w:rsidRPr="00074F88">
        <w:rPr>
          <w:rFonts w:eastAsia="Aptos" w:cs="Aptos"/>
          <w:color w:val="000000" w:themeColor="text1"/>
          <w:lang w:val="en-US"/>
        </w:rPr>
        <w:t>the Local Jobs First policy is now well established in Victorian Government procurement practice</w:t>
      </w:r>
      <w:r>
        <w:rPr>
          <w:rFonts w:eastAsia="Aptos" w:cs="Aptos"/>
          <w:color w:val="000000" w:themeColor="text1"/>
          <w:lang w:val="en-US"/>
        </w:rPr>
        <w:t>s</w:t>
      </w:r>
      <w:r w:rsidRPr="00074F88">
        <w:rPr>
          <w:rFonts w:eastAsia="Aptos" w:cs="Aptos"/>
          <w:color w:val="000000" w:themeColor="text1"/>
          <w:lang w:val="en-US"/>
        </w:rPr>
        <w:t>. The Office</w:t>
      </w:r>
      <w:r>
        <w:rPr>
          <w:rFonts w:eastAsia="Aptos" w:cs="Aptos"/>
          <w:color w:val="000000" w:themeColor="text1"/>
          <w:lang w:val="en-US"/>
        </w:rPr>
        <w:t xml:space="preserve"> </w:t>
      </w:r>
      <w:r w:rsidRPr="00421097">
        <w:rPr>
          <w:rFonts w:eastAsia="Aptos" w:cs="Aptos"/>
          <w:color w:val="000000" w:themeColor="text1"/>
          <w:lang w:val="en-US"/>
        </w:rPr>
        <w:t>overlaps with the core functions of</w:t>
      </w:r>
      <w:r w:rsidR="00EB50AD">
        <w:rPr>
          <w:rFonts w:eastAsia="Aptos" w:cs="Aptos"/>
          <w:color w:val="000000" w:themeColor="text1"/>
          <w:lang w:val="en-US"/>
        </w:rPr>
        <w:t> </w:t>
      </w:r>
      <w:r w:rsidRPr="00421097">
        <w:rPr>
          <w:rFonts w:eastAsia="Aptos" w:cs="Aptos"/>
          <w:color w:val="000000" w:themeColor="text1"/>
          <w:lang w:val="en-US"/>
        </w:rPr>
        <w:t>DJSIR</w:t>
      </w:r>
      <w:r>
        <w:rPr>
          <w:rFonts w:eastAsia="Aptos" w:cs="Aptos"/>
          <w:color w:val="000000" w:themeColor="text1"/>
          <w:lang w:val="en-US"/>
        </w:rPr>
        <w:t xml:space="preserve"> and removing</w:t>
      </w:r>
      <w:r w:rsidRPr="00421097">
        <w:rPr>
          <w:rFonts w:eastAsia="Aptos" w:cs="Aptos"/>
          <w:color w:val="000000" w:themeColor="text1"/>
        </w:rPr>
        <w:t xml:space="preserve"> </w:t>
      </w:r>
      <w:r>
        <w:rPr>
          <w:rFonts w:eastAsia="Aptos" w:cs="Aptos"/>
          <w:color w:val="000000" w:themeColor="text1"/>
        </w:rPr>
        <w:t>it</w:t>
      </w:r>
      <w:r w:rsidRPr="00421097">
        <w:rPr>
          <w:rFonts w:eastAsia="Aptos" w:cs="Aptos"/>
          <w:color w:val="000000" w:themeColor="text1"/>
        </w:rPr>
        <w:t xml:space="preserve"> will reduce</w:t>
      </w:r>
      <w:r w:rsidR="00EB50AD">
        <w:rPr>
          <w:rFonts w:eastAsia="Aptos" w:cs="Aptos"/>
          <w:color w:val="000000" w:themeColor="text1"/>
        </w:rPr>
        <w:t> </w:t>
      </w:r>
      <w:r w:rsidRPr="00421097">
        <w:rPr>
          <w:rFonts w:eastAsia="Aptos" w:cs="Aptos"/>
          <w:color w:val="000000" w:themeColor="text1"/>
        </w:rPr>
        <w:t>duplication.</w:t>
      </w:r>
    </w:p>
    <w:p w14:paraId="546EA23F" w14:textId="77777777" w:rsidR="0095201D" w:rsidRPr="004340C8" w:rsidRDefault="0095201D" w:rsidP="003856A4">
      <w:pPr>
        <w:pStyle w:val="Heading3"/>
        <w:spacing w:before="0"/>
        <w:rPr>
          <w:rFonts w:ascii="Aptos" w:eastAsia="Aptos" w:hAnsi="Aptos" w:cs="Aptos"/>
          <w:b w:val="0"/>
          <w:color w:val="000000" w:themeColor="text1"/>
        </w:rPr>
      </w:pPr>
      <w:r>
        <w:rPr>
          <w:rFonts w:eastAsia="Aptos"/>
        </w:rPr>
        <w:t xml:space="preserve">Absorbing </w:t>
      </w:r>
      <w:r w:rsidRPr="0044167F">
        <w:t>functions</w:t>
      </w:r>
      <w:r>
        <w:rPr>
          <w:rFonts w:eastAsia="Aptos"/>
        </w:rPr>
        <w:t xml:space="preserve"> into departments or other bodies</w:t>
      </w:r>
    </w:p>
    <w:p w14:paraId="3353324A" w14:textId="117D1CDE" w:rsidR="0095201D" w:rsidRDefault="0095201D" w:rsidP="0095201D">
      <w:pPr>
        <w:rPr>
          <w:rFonts w:eastAsia="Aptos" w:cs="Aptos"/>
          <w:color w:val="000000" w:themeColor="text1"/>
        </w:rPr>
      </w:pPr>
      <w:r w:rsidRPr="00C34A81">
        <w:rPr>
          <w:rFonts w:eastAsia="Aptos" w:cs="Aptos"/>
          <w:bCs/>
          <w:color w:val="000000" w:themeColor="text1"/>
        </w:rPr>
        <w:t>The Review</w:t>
      </w:r>
      <w:r w:rsidRPr="00C34A81">
        <w:rPr>
          <w:rFonts w:eastAsia="Aptos" w:cs="Aptos"/>
          <w:color w:val="000000" w:themeColor="text1"/>
        </w:rPr>
        <w:t xml:space="preserve"> has found there are some entities whose functions are not (or no longer) required to operate all or some of their functions at arm’s length from government, or functions overlap with the existing work of departments</w:t>
      </w:r>
      <w:r>
        <w:rPr>
          <w:rFonts w:eastAsia="Aptos" w:cs="Aptos"/>
          <w:color w:val="000000" w:themeColor="text1"/>
        </w:rPr>
        <w:t xml:space="preserve"> and other relevant bodies</w:t>
      </w:r>
      <w:r w:rsidRPr="00281391">
        <w:rPr>
          <w:rFonts w:eastAsia="Aptos" w:cs="Aptos"/>
          <w:color w:val="000000" w:themeColor="text1"/>
        </w:rPr>
        <w:t>. </w:t>
      </w:r>
      <w:r w:rsidRPr="00281391">
        <w:rPr>
          <w:rFonts w:eastAsia="Aptos" w:cs="Arial"/>
          <w:color w:val="000000" w:themeColor="text1"/>
          <w:lang w:val="en-US"/>
        </w:rPr>
        <w:t>In addition to</w:t>
      </w:r>
      <w:r>
        <w:rPr>
          <w:rFonts w:eastAsia="Aptos" w:cs="Arial"/>
          <w:color w:val="000000" w:themeColor="text1"/>
          <w:lang w:val="en-US"/>
        </w:rPr>
        <w:t xml:space="preserve"> achieving savings for direct and indirect costs to government, these reforms </w:t>
      </w:r>
      <w:r w:rsidRPr="00281391">
        <w:rPr>
          <w:rFonts w:eastAsia="Aptos" w:cs="Aptos"/>
          <w:color w:val="000000" w:themeColor="text1"/>
        </w:rPr>
        <w:t xml:space="preserve">will enable clearer structures and oversight, and stronger accountability. </w:t>
      </w:r>
      <w:r>
        <w:rPr>
          <w:rFonts w:eastAsia="Aptos" w:cs="Aptos"/>
          <w:color w:val="000000" w:themeColor="text1"/>
        </w:rPr>
        <w:t xml:space="preserve">It will also make government less complex to navigate for citizens, business and the VPS. </w:t>
      </w:r>
    </w:p>
    <w:p w14:paraId="19BD0DD6" w14:textId="1DFC4B0C" w:rsidR="0095201D" w:rsidRPr="009B77EE" w:rsidRDefault="0095201D" w:rsidP="0095201D">
      <w:pPr>
        <w:rPr>
          <w:rFonts w:ascii="Arial" w:eastAsia="Aptos" w:hAnsi="Arial" w:cs="Arial"/>
          <w:color w:val="000000" w:themeColor="text1"/>
        </w:rPr>
      </w:pPr>
      <w:r w:rsidRPr="00C34A81">
        <w:rPr>
          <w:rFonts w:ascii="Aptos" w:eastAsia="Aptos" w:hAnsi="Aptos" w:cs="Aptos"/>
          <w:color w:val="000000" w:themeColor="text1"/>
          <w:lang w:val="en-US"/>
        </w:rPr>
        <w:t xml:space="preserve">The estimated net savings for government through these reforms is </w:t>
      </w:r>
      <w:r w:rsidRPr="009B77EE">
        <w:rPr>
          <w:rFonts w:ascii="Aptos" w:eastAsia="Aptos" w:hAnsi="Aptos" w:cs="Aptos"/>
          <w:color w:val="000000" w:themeColor="text1"/>
          <w:lang w:val="en-US"/>
        </w:rPr>
        <w:t>$119 million</w:t>
      </w:r>
      <w:r w:rsidRPr="00C34A81">
        <w:rPr>
          <w:rFonts w:ascii="Aptos" w:eastAsia="Aptos" w:hAnsi="Aptos" w:cs="Aptos"/>
          <w:color w:val="000000" w:themeColor="text1"/>
          <w:lang w:val="en-US"/>
        </w:rPr>
        <w:t xml:space="preserve"> over the forward estimates and </w:t>
      </w:r>
      <w:r w:rsidRPr="009B77EE">
        <w:rPr>
          <w:rFonts w:ascii="Aptos" w:eastAsia="Aptos" w:hAnsi="Aptos" w:cs="Aptos"/>
          <w:color w:val="000000" w:themeColor="text1"/>
          <w:lang w:val="en-US"/>
        </w:rPr>
        <w:t>124 FTE.</w:t>
      </w:r>
    </w:p>
    <w:p w14:paraId="04C89320" w14:textId="2B89AC3C" w:rsidR="0095201D" w:rsidRPr="00A62499" w:rsidRDefault="00DD4408" w:rsidP="0095201D">
      <w:pPr>
        <w:rPr>
          <w:rFonts w:eastAsia="Aptos" w:cs="Aptos"/>
          <w:color w:val="000000" w:themeColor="text1"/>
        </w:rPr>
      </w:pPr>
      <w:r>
        <w:rPr>
          <w:rFonts w:eastAsia="Aptos" w:cs="Arial"/>
          <w:color w:val="000000" w:themeColor="text1"/>
          <w:lang w:val="en-US"/>
        </w:rPr>
        <w:br w:type="column"/>
      </w:r>
      <w:r w:rsidR="0095201D">
        <w:rPr>
          <w:rFonts w:eastAsia="Aptos" w:cs="Arial"/>
          <w:color w:val="000000" w:themeColor="text1"/>
          <w:lang w:val="en-US"/>
        </w:rPr>
        <w:t>Recommended reforms</w:t>
      </w:r>
      <w:r w:rsidR="0095201D" w:rsidRPr="00281391">
        <w:rPr>
          <w:rFonts w:eastAsia="Aptos" w:cs="Arial"/>
          <w:color w:val="000000" w:themeColor="text1"/>
          <w:lang w:val="en-US"/>
        </w:rPr>
        <w:t xml:space="preserve"> include:</w:t>
      </w:r>
    </w:p>
    <w:p w14:paraId="1DC0F7F0" w14:textId="5D923D71" w:rsidR="0095201D" w:rsidRPr="00CA3373" w:rsidRDefault="0095201D" w:rsidP="00D207B3">
      <w:pPr>
        <w:pStyle w:val="ListParagraph"/>
        <w:numPr>
          <w:ilvl w:val="0"/>
          <w:numId w:val="33"/>
        </w:numPr>
        <w:contextualSpacing w:val="0"/>
        <w:rPr>
          <w:rFonts w:eastAsia="Aptos" w:cs="Aptos"/>
          <w:color w:val="000000" w:themeColor="text1"/>
        </w:rPr>
      </w:pPr>
      <w:proofErr w:type="spellStart"/>
      <w:r w:rsidRPr="00CA3373">
        <w:rPr>
          <w:rFonts w:eastAsia="Aptos" w:cs="Aptos"/>
          <w:b/>
          <w:bCs/>
          <w:color w:val="000000" w:themeColor="text1"/>
        </w:rPr>
        <w:t>HealthShare</w:t>
      </w:r>
      <w:proofErr w:type="spellEnd"/>
      <w:r w:rsidRPr="00CA3373">
        <w:rPr>
          <w:rFonts w:eastAsia="Aptos" w:cs="Aptos"/>
          <w:b/>
          <w:bCs/>
          <w:color w:val="000000" w:themeColor="text1"/>
        </w:rPr>
        <w:t xml:space="preserve"> Victoria</w:t>
      </w:r>
      <w:r w:rsidRPr="00CA3373">
        <w:rPr>
          <w:rFonts w:eastAsia="Aptos" w:cs="Aptos"/>
          <w:color w:val="000000" w:themeColor="text1"/>
        </w:rPr>
        <w:t xml:space="preserve"> (HSV) should be abolished as a standalone entity and its functions absorbed into DH as a branded division. HSV is currently an independent statutory authority with healthcare procurement logistics functions, monitors public health service compliance, ensures probity in purchasing, tendering and contracting activities, and provides advice and training related to procurement. This activity does not need to be conducted at arm</w:t>
      </w:r>
      <w:r>
        <w:rPr>
          <w:rFonts w:eastAsia="Aptos" w:cs="Aptos"/>
          <w:color w:val="000000" w:themeColor="text1"/>
        </w:rPr>
        <w:t>’</w:t>
      </w:r>
      <w:r w:rsidRPr="00CA3373">
        <w:rPr>
          <w:rFonts w:eastAsia="Aptos" w:cs="Aptos"/>
          <w:color w:val="000000" w:themeColor="text1"/>
        </w:rPr>
        <w:t>s length and can be absorbed into DH</w:t>
      </w:r>
      <w:r w:rsidR="00A65547">
        <w:rPr>
          <w:rFonts w:eastAsia="Aptos" w:cs="Aptos"/>
          <w:color w:val="000000" w:themeColor="text1"/>
        </w:rPr>
        <w:t> </w:t>
      </w:r>
      <w:r w:rsidRPr="00CA3373">
        <w:rPr>
          <w:rFonts w:eastAsia="Aptos" w:cs="Aptos"/>
          <w:color w:val="000000" w:themeColor="text1"/>
        </w:rPr>
        <w:t>work without comprising service</w:t>
      </w:r>
      <w:r w:rsidR="00F40B24">
        <w:rPr>
          <w:rFonts w:eastAsia="Aptos" w:cs="Aptos"/>
          <w:color w:val="000000" w:themeColor="text1"/>
        </w:rPr>
        <w:t> </w:t>
      </w:r>
      <w:r w:rsidRPr="00CA3373">
        <w:rPr>
          <w:rFonts w:eastAsia="Aptos" w:cs="Aptos"/>
          <w:color w:val="000000" w:themeColor="text1"/>
        </w:rPr>
        <w:t xml:space="preserve">quality. HSV’s branding would be retained. </w:t>
      </w:r>
    </w:p>
    <w:p w14:paraId="0EF46657" w14:textId="3A4AC5C5" w:rsidR="0095201D" w:rsidRPr="00CA3373" w:rsidRDefault="0095201D" w:rsidP="00D207B3">
      <w:pPr>
        <w:pStyle w:val="ListParagraph"/>
        <w:numPr>
          <w:ilvl w:val="0"/>
          <w:numId w:val="33"/>
        </w:numPr>
        <w:contextualSpacing w:val="0"/>
        <w:rPr>
          <w:rFonts w:eastAsia="Aptos" w:cs="Aptos"/>
          <w:color w:val="000000" w:themeColor="text1"/>
        </w:rPr>
      </w:pPr>
      <w:r w:rsidRPr="00CA3373">
        <w:rPr>
          <w:rFonts w:eastAsia="Aptos" w:cs="Aptos"/>
          <w:b/>
          <w:bCs/>
          <w:color w:val="000000" w:themeColor="text1"/>
        </w:rPr>
        <w:t>VicHealth</w:t>
      </w:r>
      <w:r w:rsidRPr="00CA3373">
        <w:rPr>
          <w:rFonts w:eastAsia="Aptos" w:cs="Aptos"/>
          <w:color w:val="000000" w:themeColor="text1"/>
        </w:rPr>
        <w:t xml:space="preserve"> (Victorian Health Promotion Foundation) should be abolished as a standalone entity and its functions absorbed into DH. VicHealth was established to promote health and prevent chronic disease in Victoria through research, policy development, and</w:t>
      </w:r>
      <w:r w:rsidR="00A811A4">
        <w:rPr>
          <w:rFonts w:eastAsia="Aptos" w:cs="Aptos"/>
          <w:color w:val="000000" w:themeColor="text1"/>
        </w:rPr>
        <w:t> </w:t>
      </w:r>
      <w:r w:rsidRPr="00CA3373">
        <w:rPr>
          <w:rFonts w:eastAsia="Aptos" w:cs="Aptos"/>
          <w:color w:val="000000" w:themeColor="text1"/>
        </w:rPr>
        <w:t>community-based health initiatives</w:t>
      </w:r>
      <w:r w:rsidR="00BF56E0">
        <w:rPr>
          <w:rFonts w:eastAsia="Aptos" w:cs="Aptos"/>
          <w:color w:val="000000" w:themeColor="text1"/>
        </w:rPr>
        <w:t> </w:t>
      </w:r>
      <w:r w:rsidRPr="00CA3373">
        <w:rPr>
          <w:rFonts w:eastAsia="Aptos" w:cs="Aptos"/>
          <w:color w:val="000000" w:themeColor="text1"/>
        </w:rPr>
        <w:t xml:space="preserve">– including Cancer Council Victoria programs and the QUIT helpline. This is important work but does not need to </w:t>
      </w:r>
      <w:r w:rsidR="004476A6">
        <w:rPr>
          <w:rFonts w:eastAsia="Aptos" w:cs="Aptos"/>
          <w:color w:val="000000" w:themeColor="text1"/>
        </w:rPr>
        <w:t xml:space="preserve">be </w:t>
      </w:r>
      <w:r w:rsidRPr="00CA3373">
        <w:rPr>
          <w:rFonts w:eastAsia="Aptos" w:cs="Aptos"/>
          <w:color w:val="000000" w:themeColor="text1"/>
        </w:rPr>
        <w:t xml:space="preserve">conducted independently of a department; it can be absorbed into DH work without compromising service quality. This will also reduce current duplicative work across VicHealth and DH. </w:t>
      </w:r>
      <w:r>
        <w:rPr>
          <w:rFonts w:eastAsia="Aptos" w:cs="Aptos"/>
          <w:color w:val="000000" w:themeColor="text1"/>
        </w:rPr>
        <w:t>The brand could be retained.</w:t>
      </w:r>
    </w:p>
    <w:p w14:paraId="16853237" w14:textId="77777777" w:rsidR="004957AC" w:rsidRDefault="004957AC" w:rsidP="00D207B3">
      <w:pPr>
        <w:pStyle w:val="ListParagraph"/>
        <w:numPr>
          <w:ilvl w:val="0"/>
          <w:numId w:val="33"/>
        </w:numPr>
        <w:contextualSpacing w:val="0"/>
        <w:rPr>
          <w:rFonts w:eastAsia="Aptos" w:cs="Aptos"/>
          <w:color w:val="000000" w:themeColor="text1"/>
        </w:rPr>
      </w:pPr>
      <w:r>
        <w:rPr>
          <w:rFonts w:eastAsia="Aptos" w:cs="Aptos"/>
          <w:color w:val="000000" w:themeColor="text1"/>
        </w:rPr>
        <w:br w:type="page"/>
      </w:r>
    </w:p>
    <w:p w14:paraId="5106DB44" w14:textId="2CA6CFF8" w:rsidR="0095201D" w:rsidRPr="00F730A8" w:rsidRDefault="0095201D" w:rsidP="00D207B3">
      <w:pPr>
        <w:pStyle w:val="ListParagraph"/>
        <w:numPr>
          <w:ilvl w:val="0"/>
          <w:numId w:val="33"/>
        </w:numPr>
        <w:contextualSpacing w:val="0"/>
        <w:rPr>
          <w:rFonts w:eastAsia="Aptos" w:cs="Aptos"/>
          <w:color w:val="000000" w:themeColor="text1"/>
        </w:rPr>
      </w:pPr>
      <w:r w:rsidRPr="00F730A8">
        <w:rPr>
          <w:rFonts w:eastAsia="Aptos" w:cs="Aptos"/>
          <w:color w:val="000000" w:themeColor="text1"/>
        </w:rPr>
        <w:lastRenderedPageBreak/>
        <w:t xml:space="preserve">The corporate functions of </w:t>
      </w:r>
      <w:r w:rsidRPr="00F730A8">
        <w:rPr>
          <w:rFonts w:eastAsia="Aptos" w:cs="Aptos"/>
          <w:b/>
          <w:color w:val="000000" w:themeColor="text1"/>
        </w:rPr>
        <w:t>Court Services Victoria</w:t>
      </w:r>
      <w:r w:rsidRPr="00F730A8">
        <w:rPr>
          <w:rFonts w:eastAsia="Aptos" w:cs="Aptos"/>
          <w:color w:val="000000" w:themeColor="text1"/>
        </w:rPr>
        <w:t xml:space="preserve"> (CSV) should be absorbed into and delivered by DJCS. CSV was established to support judicial independence and to provide administrative services for courts and </w:t>
      </w:r>
      <w:r w:rsidR="00514EFC">
        <w:rPr>
          <w:rFonts w:eastAsia="Aptos" w:cs="Aptos"/>
          <w:color w:val="000000" w:themeColor="text1"/>
        </w:rPr>
        <w:t xml:space="preserve">the </w:t>
      </w:r>
      <w:r w:rsidR="0017453A" w:rsidRPr="007511D6">
        <w:rPr>
          <w:rFonts w:eastAsia="Times New Roman" w:cs="Times New Roman"/>
          <w:szCs w:val="22"/>
          <w:lang w:eastAsia="en-AU"/>
        </w:rPr>
        <w:t xml:space="preserve">Victorian Civil and Administrative Tribunal </w:t>
      </w:r>
      <w:r w:rsidR="0017453A">
        <w:rPr>
          <w:rFonts w:eastAsia="Times New Roman" w:cs="Times New Roman"/>
          <w:szCs w:val="22"/>
          <w:lang w:eastAsia="en-AU"/>
        </w:rPr>
        <w:t>(</w:t>
      </w:r>
      <w:r w:rsidRPr="00F730A8">
        <w:rPr>
          <w:rFonts w:eastAsia="Aptos" w:cs="Aptos"/>
          <w:color w:val="000000" w:themeColor="text1"/>
        </w:rPr>
        <w:t>VCAT</w:t>
      </w:r>
      <w:r w:rsidR="0017453A">
        <w:rPr>
          <w:rFonts w:eastAsia="Aptos" w:cs="Aptos"/>
          <w:color w:val="000000" w:themeColor="text1"/>
        </w:rPr>
        <w:t>)</w:t>
      </w:r>
      <w:r w:rsidRPr="00F730A8">
        <w:rPr>
          <w:rFonts w:eastAsia="Aptos" w:cs="Aptos"/>
          <w:color w:val="000000" w:themeColor="text1"/>
        </w:rPr>
        <w:t>. It is not essential that general corporate functions – such as finance, payroll, ICT and asset maintenance – be delivered at arm’s length from government. To improve the efficiency and effectiveness of corporate services within a more streamlined operational structure, CSV’s corporate functions can be delivered by DJCS. This integration will enable more cohesive management by DJCS and financial oversight while maintaining judicial independence. All</w:t>
      </w:r>
      <w:r w:rsidR="00D82ECD">
        <w:rPr>
          <w:rFonts w:eastAsia="Aptos" w:cs="Aptos"/>
          <w:color w:val="000000" w:themeColor="text1"/>
        </w:rPr>
        <w:t xml:space="preserve"> </w:t>
      </w:r>
      <w:r w:rsidR="00D82ECD" w:rsidRPr="009B77EE">
        <w:rPr>
          <w:rFonts w:eastAsia="Aptos" w:cs="Aptos"/>
          <w:color w:val="000000" w:themeColor="text1"/>
        </w:rPr>
        <w:t>courts</w:t>
      </w:r>
      <w:r w:rsidR="00A51B5E" w:rsidRPr="009B77EE">
        <w:rPr>
          <w:rFonts w:eastAsia="Aptos" w:cs="Aptos"/>
          <w:color w:val="000000" w:themeColor="text1"/>
        </w:rPr>
        <w:t xml:space="preserve"> and VCAT</w:t>
      </w:r>
      <w:r w:rsidRPr="009B77EE">
        <w:rPr>
          <w:rFonts w:eastAsia="Aptos" w:cs="Aptos"/>
          <w:color w:val="000000" w:themeColor="text1"/>
        </w:rPr>
        <w:t xml:space="preserve"> frontline</w:t>
      </w:r>
      <w:r w:rsidRPr="00F730A8">
        <w:rPr>
          <w:rFonts w:eastAsia="Aptos" w:cs="Aptos"/>
          <w:color w:val="000000" w:themeColor="text1"/>
        </w:rPr>
        <w:t xml:space="preserve"> service delivery, along with the Judicial College of Victoria and Judicial Commissioner of Victoria, would </w:t>
      </w:r>
      <w:r w:rsidR="0060211D" w:rsidRPr="00275E39">
        <w:rPr>
          <w:rFonts w:eastAsia="Aptos" w:cs="Aptos"/>
          <w:color w:val="000000" w:themeColor="text1"/>
        </w:rPr>
        <w:t xml:space="preserve">continue to </w:t>
      </w:r>
      <w:r w:rsidR="000A6F70" w:rsidRPr="009B77EE">
        <w:rPr>
          <w:rFonts w:eastAsia="Aptos" w:cs="Aptos"/>
          <w:color w:val="000000" w:themeColor="text1"/>
        </w:rPr>
        <w:t xml:space="preserve">be </w:t>
      </w:r>
      <w:r w:rsidR="00BA7B91" w:rsidRPr="00275E39">
        <w:rPr>
          <w:rFonts w:eastAsia="Aptos" w:cs="Aptos"/>
          <w:color w:val="000000" w:themeColor="text1"/>
        </w:rPr>
        <w:t>directly</w:t>
      </w:r>
      <w:r w:rsidR="00BA7B91">
        <w:rPr>
          <w:rFonts w:eastAsia="Aptos" w:cs="Aptos"/>
          <w:color w:val="000000" w:themeColor="text1"/>
        </w:rPr>
        <w:t xml:space="preserve"> </w:t>
      </w:r>
      <w:r w:rsidR="000A6F70" w:rsidRPr="009B77EE">
        <w:rPr>
          <w:rFonts w:eastAsia="Aptos" w:cs="Aptos"/>
          <w:color w:val="000000" w:themeColor="text1"/>
        </w:rPr>
        <w:t>supported by</w:t>
      </w:r>
      <w:r w:rsidRPr="00F730A8">
        <w:rPr>
          <w:rFonts w:eastAsia="Aptos" w:cs="Aptos"/>
          <w:color w:val="000000" w:themeColor="text1"/>
        </w:rPr>
        <w:t xml:space="preserve"> CSV.</w:t>
      </w:r>
    </w:p>
    <w:p w14:paraId="0F169A5F" w14:textId="6AE3455C" w:rsidR="0095201D" w:rsidRDefault="0095201D" w:rsidP="00D207B3">
      <w:pPr>
        <w:pStyle w:val="ListParagraph"/>
        <w:numPr>
          <w:ilvl w:val="0"/>
          <w:numId w:val="33"/>
        </w:numPr>
        <w:contextualSpacing w:val="0"/>
        <w:rPr>
          <w:rFonts w:eastAsia="Aptos" w:cs="Aptos"/>
          <w:color w:val="000000" w:themeColor="text1"/>
        </w:rPr>
      </w:pPr>
      <w:r w:rsidRPr="00CA3373">
        <w:rPr>
          <w:rFonts w:eastAsia="Aptos" w:cs="Aptos"/>
          <w:b/>
          <w:bCs/>
          <w:color w:val="000000" w:themeColor="text1"/>
        </w:rPr>
        <w:t>Emergency Recovery Victoria</w:t>
      </w:r>
      <w:r w:rsidRPr="00CA3373">
        <w:rPr>
          <w:rFonts w:eastAsia="Aptos" w:cs="Aptos"/>
          <w:color w:val="000000" w:themeColor="text1"/>
        </w:rPr>
        <w:t xml:space="preserve"> (ERV) and </w:t>
      </w:r>
      <w:r w:rsidRPr="00CA3373">
        <w:rPr>
          <w:rFonts w:eastAsia="Aptos" w:cs="Aptos"/>
          <w:b/>
          <w:bCs/>
          <w:color w:val="000000" w:themeColor="text1"/>
        </w:rPr>
        <w:t>Emergency Management Victoria</w:t>
      </w:r>
      <w:r w:rsidRPr="00CA3373">
        <w:rPr>
          <w:rFonts w:eastAsia="Aptos" w:cs="Aptos"/>
          <w:color w:val="000000" w:themeColor="text1"/>
        </w:rPr>
        <w:t xml:space="preserve"> (EMV) should be abolished as standalone entities and their functions absorbed into DJCS as a si</w:t>
      </w:r>
      <w:r w:rsidR="00B311C7">
        <w:rPr>
          <w:rFonts w:eastAsia="Aptos" w:cs="Aptos"/>
          <w:color w:val="000000" w:themeColor="text1"/>
        </w:rPr>
        <w:t>ngle</w:t>
      </w:r>
      <w:r w:rsidRPr="00CA3373">
        <w:rPr>
          <w:rFonts w:eastAsia="Aptos" w:cs="Aptos"/>
          <w:color w:val="000000" w:themeColor="text1"/>
        </w:rPr>
        <w:t xml:space="preserve"> branded division. ERV is responsible for leading Victoria’s recovery coordination and relief, while EMV is responsible for implementing emergency management reform. Both play an important role but do not need to operate separately and independently of government. They can be brought together and into DJCS. This will help clarify </w:t>
      </w:r>
      <w:r w:rsidRPr="00CA3373">
        <w:rPr>
          <w:rFonts w:eastAsia="Aptos" w:cs="Aptos"/>
          <w:color w:val="000000" w:themeColor="text1"/>
        </w:rPr>
        <w:t>responsibilities and accountability within government for preparing for emergencies or supporting recovery f</w:t>
      </w:r>
      <w:r w:rsidR="00A007E0">
        <w:rPr>
          <w:rFonts w:eastAsia="Aptos" w:cs="Aptos"/>
          <w:color w:val="000000" w:themeColor="text1"/>
        </w:rPr>
        <w:t>ollowing</w:t>
      </w:r>
      <w:r w:rsidRPr="00CA3373">
        <w:rPr>
          <w:rFonts w:eastAsia="Aptos" w:cs="Aptos"/>
          <w:color w:val="000000" w:themeColor="text1"/>
        </w:rPr>
        <w:t xml:space="preserve"> emergencies. It will also support Victoria to increasingly move towards a coordinated, all hazards approach. Emergency response will remain with existing organisations.</w:t>
      </w:r>
    </w:p>
    <w:p w14:paraId="60AA46CE" w14:textId="29BE47F6" w:rsidR="0095201D" w:rsidRPr="00350393" w:rsidRDefault="0095201D" w:rsidP="00D207B3">
      <w:pPr>
        <w:pStyle w:val="ListParagraph"/>
        <w:numPr>
          <w:ilvl w:val="0"/>
          <w:numId w:val="33"/>
        </w:numPr>
        <w:contextualSpacing w:val="0"/>
        <w:rPr>
          <w:rFonts w:eastAsia="Aptos" w:cs="Arial"/>
          <w:color w:val="000000" w:themeColor="text1"/>
        </w:rPr>
      </w:pPr>
      <w:r w:rsidRPr="00350393">
        <w:rPr>
          <w:rFonts w:eastAsia="Aptos" w:cs="Aptos"/>
          <w:color w:val="000000" w:themeColor="text1"/>
          <w:lang w:val="en-US"/>
        </w:rPr>
        <w:t xml:space="preserve">The </w:t>
      </w:r>
      <w:r w:rsidRPr="00350393">
        <w:rPr>
          <w:rFonts w:eastAsia="Aptos" w:cs="Arial"/>
          <w:b/>
          <w:bCs/>
          <w:color w:val="000000" w:themeColor="text1"/>
        </w:rPr>
        <w:t>Victorian Small Business Commission</w:t>
      </w:r>
      <w:r w:rsidRPr="00350393">
        <w:rPr>
          <w:rFonts w:eastAsia="Aptos" w:cs="Arial"/>
          <w:color w:val="000000" w:themeColor="text1"/>
        </w:rPr>
        <w:t xml:space="preserve"> (VSBC) should be abolished as a standalone entity and its functions absorbed into VCAT. The VSBC provides important dispute resolution services for small </w:t>
      </w:r>
      <w:proofErr w:type="gramStart"/>
      <w:r w:rsidRPr="00350393">
        <w:rPr>
          <w:rFonts w:eastAsia="Aptos" w:cs="Arial"/>
          <w:color w:val="000000" w:themeColor="text1"/>
        </w:rPr>
        <w:t>business</w:t>
      </w:r>
      <w:proofErr w:type="gramEnd"/>
      <w:r w:rsidRPr="00350393">
        <w:rPr>
          <w:rFonts w:eastAsia="Aptos" w:cs="Arial"/>
          <w:color w:val="000000" w:themeColor="text1"/>
        </w:rPr>
        <w:t xml:space="preserve"> but they do not need to be delivered by a separate body. They can be delivered </w:t>
      </w:r>
      <w:r w:rsidR="00C7117C">
        <w:rPr>
          <w:rFonts w:eastAsia="Aptos" w:cs="Arial"/>
          <w:color w:val="000000" w:themeColor="text1"/>
        </w:rPr>
        <w:t>by</w:t>
      </w:r>
      <w:r w:rsidRPr="00350393">
        <w:rPr>
          <w:rFonts w:eastAsia="Aptos" w:cs="Arial"/>
          <w:color w:val="000000" w:themeColor="text1"/>
        </w:rPr>
        <w:t xml:space="preserve"> VCAT. This will reduce administrative duplication and simplify the experience for small businesses seeking to resolve</w:t>
      </w:r>
      <w:r w:rsidR="00DA3649">
        <w:rPr>
          <w:rFonts w:eastAsia="Aptos" w:cs="Arial"/>
          <w:color w:val="000000" w:themeColor="text1"/>
        </w:rPr>
        <w:t> </w:t>
      </w:r>
      <w:r w:rsidRPr="00350393">
        <w:rPr>
          <w:rFonts w:eastAsia="Aptos" w:cs="Arial"/>
          <w:color w:val="000000" w:themeColor="text1"/>
        </w:rPr>
        <w:t>disputes.</w:t>
      </w:r>
    </w:p>
    <w:p w14:paraId="7F6B458B" w14:textId="77777777" w:rsidR="0095201D" w:rsidRPr="002B5B5F" w:rsidRDefault="0095201D" w:rsidP="0044167F">
      <w:pPr>
        <w:pStyle w:val="Heading3"/>
        <w:rPr>
          <w:rFonts w:ascii="Aptos" w:eastAsia="Aptos" w:hAnsi="Aptos" w:cs="Aptos"/>
          <w:b w:val="0"/>
          <w:color w:val="000000" w:themeColor="text1"/>
        </w:rPr>
      </w:pPr>
      <w:r>
        <w:rPr>
          <w:rFonts w:eastAsia="Aptos"/>
        </w:rPr>
        <w:t xml:space="preserve">Merging </w:t>
      </w:r>
      <w:r w:rsidRPr="0044167F">
        <w:t>entities</w:t>
      </w:r>
      <w:r>
        <w:rPr>
          <w:rFonts w:eastAsia="Aptos"/>
        </w:rPr>
        <w:t xml:space="preserve"> with overlapping functions</w:t>
      </w:r>
    </w:p>
    <w:p w14:paraId="5157D73D" w14:textId="77777777" w:rsidR="0095201D" w:rsidRDefault="0095201D" w:rsidP="0095201D">
      <w:pPr>
        <w:rPr>
          <w:rFonts w:eastAsia="Aptos" w:cs="Aptos"/>
          <w:color w:val="000000" w:themeColor="text1"/>
        </w:rPr>
      </w:pPr>
      <w:r w:rsidRPr="00C04303">
        <w:rPr>
          <w:rFonts w:eastAsia="Aptos" w:cs="Aptos"/>
          <w:bCs/>
          <w:color w:val="000000" w:themeColor="text1"/>
        </w:rPr>
        <w:t>The</w:t>
      </w:r>
      <w:r>
        <w:rPr>
          <w:rFonts w:eastAsia="Aptos" w:cs="Aptos"/>
          <w:bCs/>
          <w:color w:val="000000" w:themeColor="text1"/>
        </w:rPr>
        <w:t xml:space="preserve"> Review has found</w:t>
      </w:r>
      <w:r w:rsidRPr="00C04303">
        <w:rPr>
          <w:rFonts w:eastAsia="Aptos" w:cs="Aptos"/>
          <w:color w:val="000000" w:themeColor="text1"/>
        </w:rPr>
        <w:t xml:space="preserve"> opportunities to </w:t>
      </w:r>
      <w:r w:rsidRPr="00A62499">
        <w:rPr>
          <w:rFonts w:eastAsia="Aptos" w:cs="Arial"/>
          <w:color w:val="000000" w:themeColor="text1"/>
        </w:rPr>
        <w:t>reduce the number of entities</w:t>
      </w:r>
      <w:r>
        <w:rPr>
          <w:rFonts w:eastAsia="Aptos" w:cs="Aptos"/>
          <w:color w:val="000000" w:themeColor="text1"/>
        </w:rPr>
        <w:t xml:space="preserve"> by merging those with duplicative, overlapping or similar functions. This will consolidate expertise and increase efficiency and effectiveness through economies of scale and shared corporate functions. </w:t>
      </w:r>
    </w:p>
    <w:p w14:paraId="31E90ECF" w14:textId="398F28ED" w:rsidR="0095201D" w:rsidRPr="00A51BA1" w:rsidRDefault="0095201D" w:rsidP="0095201D">
      <w:pPr>
        <w:rPr>
          <w:rFonts w:ascii="Aptos" w:eastAsia="Aptos" w:hAnsi="Aptos" w:cs="Aptos"/>
          <w:color w:val="000000" w:themeColor="text1"/>
        </w:rPr>
      </w:pPr>
      <w:r w:rsidRPr="0085031C">
        <w:rPr>
          <w:rFonts w:ascii="Aptos" w:eastAsia="Aptos" w:hAnsi="Aptos" w:cs="Aptos"/>
          <w:color w:val="000000" w:themeColor="text1"/>
          <w:lang w:val="en-US"/>
        </w:rPr>
        <w:t xml:space="preserve">The </w:t>
      </w:r>
      <w:r>
        <w:rPr>
          <w:rFonts w:ascii="Aptos" w:eastAsia="Aptos" w:hAnsi="Aptos" w:cs="Aptos"/>
          <w:color w:val="000000" w:themeColor="text1"/>
          <w:lang w:val="en-US"/>
        </w:rPr>
        <w:t>estimated</w:t>
      </w:r>
      <w:r w:rsidRPr="0085031C">
        <w:rPr>
          <w:rFonts w:ascii="Aptos" w:eastAsia="Aptos" w:hAnsi="Aptos" w:cs="Aptos"/>
          <w:color w:val="000000" w:themeColor="text1"/>
          <w:lang w:val="en-US"/>
        </w:rPr>
        <w:t xml:space="preserve"> net savings for government through these reforms is </w:t>
      </w:r>
      <w:r w:rsidRPr="00A51BA1">
        <w:rPr>
          <w:rFonts w:ascii="Aptos" w:eastAsia="Aptos" w:hAnsi="Aptos" w:cs="Aptos"/>
          <w:color w:val="000000" w:themeColor="text1"/>
          <w:lang w:val="en-US"/>
        </w:rPr>
        <w:t>$61 million</w:t>
      </w:r>
      <w:r w:rsidRPr="004F3EC0">
        <w:rPr>
          <w:rFonts w:ascii="Aptos" w:eastAsia="Aptos" w:hAnsi="Aptos" w:cs="Aptos"/>
          <w:color w:val="000000" w:themeColor="text1"/>
          <w:lang w:val="en-US"/>
        </w:rPr>
        <w:t xml:space="preserve"> over the forward estimates </w:t>
      </w:r>
      <w:r>
        <w:rPr>
          <w:rFonts w:ascii="Aptos" w:eastAsia="Aptos" w:hAnsi="Aptos" w:cs="Aptos"/>
          <w:color w:val="000000" w:themeColor="text1"/>
          <w:lang w:val="en-US"/>
        </w:rPr>
        <w:t>and</w:t>
      </w:r>
      <w:r w:rsidRPr="004F3EC0">
        <w:rPr>
          <w:rFonts w:ascii="Aptos" w:eastAsia="Aptos" w:hAnsi="Aptos" w:cs="Aptos"/>
          <w:color w:val="000000" w:themeColor="text1"/>
          <w:lang w:val="en-US"/>
        </w:rPr>
        <w:t xml:space="preserve"> </w:t>
      </w:r>
      <w:r w:rsidRPr="00A51BA1">
        <w:rPr>
          <w:rFonts w:ascii="Aptos" w:eastAsia="Aptos" w:hAnsi="Aptos" w:cs="Aptos"/>
          <w:color w:val="000000" w:themeColor="text1"/>
          <w:lang w:val="en-US"/>
        </w:rPr>
        <w:t>64 FTE.</w:t>
      </w:r>
    </w:p>
    <w:p w14:paraId="54E9F842" w14:textId="77777777" w:rsidR="0095201D" w:rsidRDefault="0095201D" w:rsidP="0095201D">
      <w:pPr>
        <w:rPr>
          <w:rFonts w:eastAsia="Aptos" w:cs="Aptos"/>
          <w:color w:val="000000" w:themeColor="text1"/>
        </w:rPr>
      </w:pPr>
      <w:r>
        <w:rPr>
          <w:rFonts w:eastAsia="Aptos" w:cs="Aptos"/>
          <w:color w:val="000000" w:themeColor="text1"/>
        </w:rPr>
        <w:t xml:space="preserve">Recommended reforms include: </w:t>
      </w:r>
    </w:p>
    <w:p w14:paraId="2EE5ECBF" w14:textId="7979BA6A" w:rsidR="0095201D" w:rsidRPr="00CA3373" w:rsidRDefault="0095201D" w:rsidP="00D207B3">
      <w:pPr>
        <w:pStyle w:val="ListParagraph"/>
        <w:numPr>
          <w:ilvl w:val="0"/>
          <w:numId w:val="32"/>
        </w:numPr>
        <w:tabs>
          <w:tab w:val="num" w:pos="720"/>
        </w:tabs>
        <w:ind w:left="714" w:hanging="357"/>
        <w:contextualSpacing w:val="0"/>
        <w:rPr>
          <w:rFonts w:eastAsia="Aptos" w:cs="Aptos"/>
          <w:color w:val="000000" w:themeColor="text1"/>
        </w:rPr>
      </w:pPr>
      <w:r w:rsidRPr="00CA3373">
        <w:rPr>
          <w:rFonts w:eastAsia="Aptos" w:cs="Aptos"/>
          <w:color w:val="000000" w:themeColor="text1"/>
        </w:rPr>
        <w:t xml:space="preserve">Human rights offices and commissioners should be merged within the </w:t>
      </w:r>
      <w:r w:rsidRPr="00CA3373">
        <w:rPr>
          <w:rFonts w:eastAsia="Aptos" w:cs="Aptos"/>
          <w:b/>
          <w:bCs/>
          <w:color w:val="000000" w:themeColor="text1"/>
        </w:rPr>
        <w:t xml:space="preserve">Victorian Equal Opportunity and Human Rights Commission </w:t>
      </w:r>
      <w:r w:rsidRPr="00CA3373">
        <w:rPr>
          <w:rFonts w:eastAsia="Aptos" w:cs="Aptos"/>
          <w:color w:val="000000" w:themeColor="text1"/>
        </w:rPr>
        <w:t xml:space="preserve">(VEOHRC). This </w:t>
      </w:r>
      <w:r>
        <w:rPr>
          <w:rFonts w:eastAsia="Aptos" w:cs="Aptos"/>
          <w:color w:val="000000" w:themeColor="text1"/>
        </w:rPr>
        <w:lastRenderedPageBreak/>
        <w:t>sh</w:t>
      </w:r>
      <w:r w:rsidRPr="00CA3373">
        <w:rPr>
          <w:rFonts w:eastAsia="Aptos" w:cs="Aptos"/>
          <w:color w:val="000000" w:themeColor="text1"/>
        </w:rPr>
        <w:t>ould be implemented in stages and include the Commission for Gender Equality in the Public Sector, the Commission for Children and Young People, the Commissioner for LGBTIQA+ Communities, the Victorian Multicultural Commission and the Office of the Public Advocate.</w:t>
      </w:r>
      <w:r>
        <w:rPr>
          <w:rStyle w:val="FootnoteReference"/>
          <w:rFonts w:eastAsia="Aptos" w:cs="Aptos"/>
          <w:color w:val="000000" w:themeColor="text1"/>
        </w:rPr>
        <w:footnoteReference w:id="21"/>
      </w:r>
      <w:r w:rsidRPr="00CA3373">
        <w:rPr>
          <w:rFonts w:eastAsia="Aptos" w:cs="Aptos"/>
          <w:color w:val="000000" w:themeColor="text1"/>
        </w:rPr>
        <w:t xml:space="preserve"> This reform maintains the independence of the respective roles while leveraging expertise and increasing administrative inefficiencies through the consolidation of corporate functions. It also creates a more cohesive approach for the Victorian community with </w:t>
      </w:r>
      <w:r w:rsidRPr="1B547056">
        <w:rPr>
          <w:rFonts w:eastAsia="Aptos" w:cs="Aptos"/>
          <w:color w:val="000000" w:themeColor="text1"/>
        </w:rPr>
        <w:t>VEOHRC</w:t>
      </w:r>
      <w:r w:rsidRPr="00CA3373">
        <w:rPr>
          <w:rFonts w:eastAsia="Aptos" w:cs="Aptos"/>
          <w:color w:val="000000" w:themeColor="text1"/>
        </w:rPr>
        <w:t xml:space="preserve"> to be a centre of excellence and provide a</w:t>
      </w:r>
      <w:r w:rsidR="000F728E">
        <w:rPr>
          <w:rFonts w:eastAsia="Aptos" w:cs="Aptos"/>
          <w:color w:val="000000" w:themeColor="text1"/>
        </w:rPr>
        <w:t> </w:t>
      </w:r>
      <w:r w:rsidRPr="00CA3373">
        <w:rPr>
          <w:rFonts w:eastAsia="Aptos" w:cs="Aptos"/>
          <w:color w:val="000000" w:themeColor="text1"/>
        </w:rPr>
        <w:t xml:space="preserve">one-door approach to human rights services. </w:t>
      </w:r>
    </w:p>
    <w:p w14:paraId="45B81D06" w14:textId="1B8E73D0" w:rsidR="0095201D" w:rsidRPr="00CA3373" w:rsidRDefault="0095201D" w:rsidP="00D207B3">
      <w:pPr>
        <w:pStyle w:val="ListParagraph"/>
        <w:numPr>
          <w:ilvl w:val="0"/>
          <w:numId w:val="32"/>
        </w:numPr>
        <w:ind w:left="714" w:hanging="357"/>
        <w:contextualSpacing w:val="0"/>
        <w:rPr>
          <w:rFonts w:eastAsia="Aptos" w:cs="Aptos"/>
          <w:color w:val="000000" w:themeColor="text1"/>
          <w:lang w:val="en-US"/>
        </w:rPr>
      </w:pPr>
      <w:r w:rsidRPr="00CA3373">
        <w:rPr>
          <w:rFonts w:eastAsia="Aptos" w:cs="Aptos"/>
          <w:b/>
          <w:bCs/>
          <w:color w:val="000000" w:themeColor="text1"/>
        </w:rPr>
        <w:t>Racing Victoria</w:t>
      </w:r>
      <w:r w:rsidRPr="00CA3373">
        <w:rPr>
          <w:rFonts w:eastAsia="Aptos" w:cs="Aptos"/>
          <w:color w:val="000000" w:themeColor="text1"/>
        </w:rPr>
        <w:t xml:space="preserve"> should be refocused as a commercial entity by merging the commercial functions of Racing Victoria, </w:t>
      </w:r>
      <w:r w:rsidRPr="00CA3373">
        <w:rPr>
          <w:rFonts w:eastAsia="Aptos" w:cs="Aptos"/>
          <w:b/>
          <w:bCs/>
          <w:color w:val="000000" w:themeColor="text1"/>
        </w:rPr>
        <w:t>Greyhound Racing Victoria</w:t>
      </w:r>
      <w:r w:rsidRPr="00CA3373">
        <w:rPr>
          <w:rFonts w:eastAsia="Aptos" w:cs="Aptos"/>
          <w:color w:val="000000" w:themeColor="text1"/>
        </w:rPr>
        <w:t xml:space="preserve"> and </w:t>
      </w:r>
      <w:r w:rsidRPr="00CA3373">
        <w:rPr>
          <w:rFonts w:eastAsia="Aptos" w:cs="Aptos"/>
          <w:b/>
          <w:bCs/>
          <w:color w:val="000000" w:themeColor="text1"/>
        </w:rPr>
        <w:t>Harness Racing Victoria</w:t>
      </w:r>
      <w:r w:rsidRPr="00CA3373">
        <w:rPr>
          <w:rFonts w:eastAsia="Aptos" w:cs="Aptos"/>
          <w:color w:val="000000" w:themeColor="text1"/>
        </w:rPr>
        <w:t xml:space="preserve"> under the one entity. This should be done in combination with the regulatory system reforms for a new racing integrity and animal welfare body. This reform will create operational and corporate function efficiencies and will separate the commercial and regulatory aspects of racing. This would ensure </w:t>
      </w:r>
      <w:r w:rsidRPr="00CA3373">
        <w:rPr>
          <w:rFonts w:eastAsia="Aptos" w:cs="Aptos"/>
          <w:color w:val="000000" w:themeColor="text1"/>
          <w:lang w:val="en-US"/>
        </w:rPr>
        <w:t>that regulators are focused only on regulatory activities rather than</w:t>
      </w:r>
      <w:r>
        <w:rPr>
          <w:rFonts w:eastAsia="Aptos" w:cs="Aptos"/>
          <w:color w:val="000000" w:themeColor="text1"/>
          <w:lang w:val="en-US"/>
        </w:rPr>
        <w:t xml:space="preserve"> also</w:t>
      </w:r>
      <w:r w:rsidRPr="00CA3373">
        <w:rPr>
          <w:rFonts w:eastAsia="Aptos" w:cs="Aptos"/>
          <w:color w:val="000000" w:themeColor="text1"/>
          <w:lang w:val="en-US"/>
        </w:rPr>
        <w:t xml:space="preserve"> providing commercial racing.</w:t>
      </w:r>
    </w:p>
    <w:p w14:paraId="433E4D84" w14:textId="77777777" w:rsidR="0095201D" w:rsidRPr="002B5B5F" w:rsidRDefault="0095201D" w:rsidP="0044167F">
      <w:pPr>
        <w:pStyle w:val="Heading3"/>
        <w:rPr>
          <w:rFonts w:ascii="Aptos" w:eastAsia="Aptos" w:hAnsi="Aptos" w:cs="Aptos"/>
          <w:b w:val="0"/>
          <w:color w:val="000000" w:themeColor="text1"/>
        </w:rPr>
      </w:pPr>
      <w:r w:rsidRPr="002B5B5F">
        <w:rPr>
          <w:rFonts w:eastAsia="Aptos"/>
        </w:rPr>
        <w:t xml:space="preserve">Different </w:t>
      </w:r>
      <w:r w:rsidRPr="0044167F">
        <w:t>approaches</w:t>
      </w:r>
      <w:r w:rsidRPr="002B5B5F">
        <w:rPr>
          <w:rFonts w:eastAsia="Aptos"/>
        </w:rPr>
        <w:t xml:space="preserve"> for advice and stakeholder engagement </w:t>
      </w:r>
    </w:p>
    <w:p w14:paraId="48308EBB" w14:textId="7014D8C6" w:rsidR="0095201D" w:rsidRDefault="0095201D" w:rsidP="0095201D">
      <w:pPr>
        <w:rPr>
          <w:rFonts w:ascii="Aptos" w:eastAsia="Aptos" w:hAnsi="Aptos" w:cs="Aptos"/>
          <w:color w:val="000000" w:themeColor="text1"/>
        </w:rPr>
      </w:pPr>
      <w:r>
        <w:rPr>
          <w:rFonts w:ascii="Aptos" w:eastAsia="Aptos" w:hAnsi="Aptos" w:cs="Aptos"/>
          <w:color w:val="000000" w:themeColor="text1"/>
        </w:rPr>
        <w:t>It is important for the government to have mechanisms to seek policy advice and engage with stakeholders</w:t>
      </w:r>
      <w:r w:rsidR="00342339">
        <w:rPr>
          <w:rFonts w:ascii="Aptos" w:eastAsia="Aptos" w:hAnsi="Aptos" w:cs="Aptos"/>
          <w:color w:val="000000" w:themeColor="text1"/>
        </w:rPr>
        <w:t>:</w:t>
      </w:r>
      <w:r>
        <w:rPr>
          <w:rFonts w:ascii="Aptos" w:eastAsia="Aptos" w:hAnsi="Aptos" w:cs="Aptos"/>
          <w:color w:val="000000" w:themeColor="text1"/>
        </w:rPr>
        <w:t xml:space="preserve"> government policy, programs and services benefit as a result. Over </w:t>
      </w:r>
      <w:proofErr w:type="gramStart"/>
      <w:r>
        <w:rPr>
          <w:rFonts w:ascii="Aptos" w:eastAsia="Aptos" w:hAnsi="Aptos" w:cs="Aptos"/>
          <w:color w:val="000000" w:themeColor="text1"/>
        </w:rPr>
        <w:t>a number of</w:t>
      </w:r>
      <w:proofErr w:type="gramEnd"/>
      <w:r>
        <w:rPr>
          <w:rFonts w:ascii="Aptos" w:eastAsia="Aptos" w:hAnsi="Aptos" w:cs="Aptos"/>
          <w:color w:val="000000" w:themeColor="text1"/>
        </w:rPr>
        <w:t xml:space="preserve"> years, establishing an advisory committee appears to have become the default mechanism for that advice and engagement.</w:t>
      </w:r>
    </w:p>
    <w:p w14:paraId="09E0643E" w14:textId="1733D8D7" w:rsidR="0095201D" w:rsidRDefault="0095201D" w:rsidP="0095201D">
      <w:pPr>
        <w:rPr>
          <w:rFonts w:ascii="Aptos" w:eastAsia="Aptos" w:hAnsi="Aptos" w:cs="Aptos"/>
          <w:color w:val="000000" w:themeColor="text1"/>
        </w:rPr>
      </w:pPr>
      <w:r>
        <w:rPr>
          <w:rFonts w:ascii="Aptos" w:eastAsia="Aptos" w:hAnsi="Aptos" w:cs="Aptos"/>
          <w:color w:val="000000" w:themeColor="text1"/>
        </w:rPr>
        <w:t xml:space="preserve">The Review has identified 90 Victorian Government advisory committees. They vary in establishment formality (statutory and non-statutory), size, membership, tenure and operations. </w:t>
      </w:r>
      <w:r w:rsidR="00DC7E4F" w:rsidRPr="00CA1ECC">
        <w:rPr>
          <w:rFonts w:ascii="Aptos" w:eastAsia="Aptos" w:hAnsi="Aptos" w:cs="Aptos"/>
          <w:color w:val="000000" w:themeColor="text1"/>
        </w:rPr>
        <w:t>A list of the advisory committees is at Appendix C.</w:t>
      </w:r>
    </w:p>
    <w:p w14:paraId="00725CDE" w14:textId="77777777" w:rsidR="0095201D" w:rsidRPr="00556717" w:rsidRDefault="0095201D" w:rsidP="0095201D">
      <w:pPr>
        <w:rPr>
          <w:rFonts w:eastAsia="Aptos" w:cs="Arial"/>
          <w:color w:val="000000" w:themeColor="text1"/>
        </w:rPr>
      </w:pPr>
      <w:r w:rsidRPr="00901808">
        <w:rPr>
          <w:rFonts w:eastAsia="Aptos" w:cs="Arial"/>
          <w:color w:val="000000" w:themeColor="text1"/>
          <w:lang w:val="en-US"/>
        </w:rPr>
        <w:t xml:space="preserve">In </w:t>
      </w:r>
      <w:proofErr w:type="gramStart"/>
      <w:r>
        <w:rPr>
          <w:rFonts w:eastAsia="Aptos" w:cs="Arial"/>
          <w:color w:val="000000" w:themeColor="text1"/>
          <w:lang w:val="en-US"/>
        </w:rPr>
        <w:t>a number of</w:t>
      </w:r>
      <w:proofErr w:type="gramEnd"/>
      <w:r w:rsidRPr="00901808">
        <w:rPr>
          <w:rFonts w:eastAsia="Aptos" w:cs="Arial"/>
          <w:color w:val="000000" w:themeColor="text1"/>
          <w:lang w:val="en-US"/>
        </w:rPr>
        <w:t xml:space="preserve"> cases, </w:t>
      </w:r>
      <w:r>
        <w:rPr>
          <w:rFonts w:eastAsia="Aptos" w:cs="Arial"/>
          <w:color w:val="000000" w:themeColor="text1"/>
          <w:lang w:val="en-US"/>
        </w:rPr>
        <w:t>advisory</w:t>
      </w:r>
      <w:r w:rsidRPr="00901808">
        <w:rPr>
          <w:rFonts w:eastAsia="Aptos" w:cs="Arial"/>
          <w:color w:val="000000" w:themeColor="text1"/>
          <w:lang w:val="en-US"/>
        </w:rPr>
        <w:t xml:space="preserve"> committees are in place for historical reasons, or because they are fixed in legislation, rather than because they represent the most appropriate</w:t>
      </w:r>
      <w:r>
        <w:rPr>
          <w:rFonts w:eastAsia="Aptos" w:cs="Arial"/>
          <w:color w:val="000000" w:themeColor="text1"/>
          <w:lang w:val="en-US"/>
        </w:rPr>
        <w:t xml:space="preserve"> or contemporary</w:t>
      </w:r>
      <w:r w:rsidRPr="00901808">
        <w:rPr>
          <w:rFonts w:eastAsia="Aptos" w:cs="Arial"/>
          <w:color w:val="000000" w:themeColor="text1"/>
          <w:lang w:val="en-US"/>
        </w:rPr>
        <w:t xml:space="preserve"> option for advice or engagement.</w:t>
      </w:r>
    </w:p>
    <w:p w14:paraId="3E6168EC" w14:textId="739ACD7A" w:rsidR="0095201D" w:rsidRPr="00237751" w:rsidRDefault="0095201D" w:rsidP="0095201D">
      <w:pPr>
        <w:rPr>
          <w:rFonts w:eastAsia="Aptos" w:cs="Aptos"/>
          <w:color w:val="000000" w:themeColor="text1"/>
        </w:rPr>
      </w:pPr>
      <w:r w:rsidRPr="00237751">
        <w:rPr>
          <w:rFonts w:ascii="Aptos" w:eastAsia="Aptos" w:hAnsi="Aptos" w:cs="Aptos"/>
          <w:color w:val="000000" w:themeColor="text1"/>
        </w:rPr>
        <w:t xml:space="preserve">More </w:t>
      </w:r>
      <w:r>
        <w:rPr>
          <w:rFonts w:ascii="Aptos" w:eastAsia="Aptos" w:hAnsi="Aptos" w:cs="Aptos"/>
          <w:color w:val="000000" w:themeColor="text1"/>
        </w:rPr>
        <w:t xml:space="preserve">modern, </w:t>
      </w:r>
      <w:r w:rsidRPr="00237751">
        <w:rPr>
          <w:rFonts w:ascii="Aptos" w:eastAsia="Aptos" w:hAnsi="Aptos" w:cs="Aptos"/>
          <w:color w:val="000000" w:themeColor="text1"/>
        </w:rPr>
        <w:t xml:space="preserve">efficient and </w:t>
      </w:r>
      <w:r>
        <w:rPr>
          <w:rFonts w:ascii="Aptos" w:eastAsia="Aptos" w:hAnsi="Aptos" w:cs="Aptos"/>
          <w:color w:val="000000" w:themeColor="text1"/>
        </w:rPr>
        <w:t>flexible</w:t>
      </w:r>
      <w:r w:rsidRPr="00237751">
        <w:rPr>
          <w:rFonts w:ascii="Aptos" w:eastAsia="Aptos" w:hAnsi="Aptos" w:cs="Aptos"/>
          <w:color w:val="000000" w:themeColor="text1"/>
        </w:rPr>
        <w:t xml:space="preserve"> methods for seeking policy advice are available to </w:t>
      </w:r>
      <w:r w:rsidR="00D140A1">
        <w:rPr>
          <w:rFonts w:ascii="Aptos" w:eastAsia="Aptos" w:hAnsi="Aptos" w:cs="Aptos"/>
          <w:color w:val="000000" w:themeColor="text1"/>
        </w:rPr>
        <w:t>m</w:t>
      </w:r>
      <w:r w:rsidRPr="00237751">
        <w:rPr>
          <w:rFonts w:ascii="Aptos" w:eastAsia="Aptos" w:hAnsi="Aptos" w:cs="Aptos"/>
          <w:color w:val="000000" w:themeColor="text1"/>
        </w:rPr>
        <w:t xml:space="preserve">inisters and departments. When specialist advice or stakeholder perspectives are needed, departments </w:t>
      </w:r>
      <w:r>
        <w:rPr>
          <w:rFonts w:ascii="Aptos" w:eastAsia="Aptos" w:hAnsi="Aptos" w:cs="Aptos"/>
          <w:color w:val="000000" w:themeColor="text1"/>
        </w:rPr>
        <w:t>can</w:t>
      </w:r>
      <w:r w:rsidRPr="00237751">
        <w:rPr>
          <w:rFonts w:ascii="Aptos" w:eastAsia="Aptos" w:hAnsi="Aptos" w:cs="Aptos"/>
          <w:color w:val="000000" w:themeColor="text1"/>
        </w:rPr>
        <w:t xml:space="preserve"> seek information on an as-needed basis</w:t>
      </w:r>
      <w:r>
        <w:rPr>
          <w:rFonts w:ascii="Aptos" w:eastAsia="Aptos" w:hAnsi="Aptos" w:cs="Aptos"/>
          <w:color w:val="000000" w:themeColor="text1"/>
        </w:rPr>
        <w:t xml:space="preserve"> (such as a round table meeting or forum)</w:t>
      </w:r>
      <w:r w:rsidRPr="00237751">
        <w:rPr>
          <w:rFonts w:ascii="Aptos" w:eastAsia="Aptos" w:hAnsi="Aptos" w:cs="Aptos"/>
          <w:color w:val="000000" w:themeColor="text1"/>
        </w:rPr>
        <w:t xml:space="preserve"> and fund it through their </w:t>
      </w:r>
      <w:r w:rsidRPr="00237751">
        <w:rPr>
          <w:rFonts w:eastAsia="Aptos" w:cs="Aptos"/>
          <w:color w:val="000000" w:themeColor="text1"/>
        </w:rPr>
        <w:t>policy functions. General advice and advocacy are not core necessities, and industr</w:t>
      </w:r>
      <w:r>
        <w:rPr>
          <w:rFonts w:eastAsia="Aptos" w:cs="Aptos"/>
          <w:color w:val="000000" w:themeColor="text1"/>
        </w:rPr>
        <w:t>ies</w:t>
      </w:r>
      <w:r w:rsidRPr="00237751">
        <w:rPr>
          <w:rFonts w:eastAsia="Aptos" w:cs="Aptos"/>
          <w:color w:val="000000" w:themeColor="text1"/>
        </w:rPr>
        <w:t xml:space="preserve"> can assume this role where appropriate. Other tools, such as online platforms</w:t>
      </w:r>
      <w:r>
        <w:rPr>
          <w:rFonts w:eastAsia="Aptos" w:cs="Aptos"/>
          <w:color w:val="000000" w:themeColor="text1"/>
        </w:rPr>
        <w:t xml:space="preserve"> (i.e. Engage Victoria)</w:t>
      </w:r>
      <w:r w:rsidRPr="00237751">
        <w:rPr>
          <w:rFonts w:eastAsia="Aptos" w:cs="Aptos"/>
          <w:color w:val="000000" w:themeColor="text1"/>
        </w:rPr>
        <w:t xml:space="preserve"> and data analysis, can obtain </w:t>
      </w:r>
      <w:r>
        <w:rPr>
          <w:rFonts w:eastAsia="Aptos" w:cs="Aptos"/>
          <w:color w:val="000000" w:themeColor="text1"/>
        </w:rPr>
        <w:t xml:space="preserve">stakeholder and community </w:t>
      </w:r>
      <w:r w:rsidRPr="00237751">
        <w:rPr>
          <w:rFonts w:eastAsia="Aptos" w:cs="Aptos"/>
          <w:color w:val="000000" w:themeColor="text1"/>
        </w:rPr>
        <w:t>input into the policy process.</w:t>
      </w:r>
      <w:r>
        <w:rPr>
          <w:rFonts w:eastAsia="Aptos" w:cs="Aptos"/>
          <w:color w:val="000000" w:themeColor="text1"/>
        </w:rPr>
        <w:t xml:space="preserve"> </w:t>
      </w:r>
      <w:r w:rsidR="00CA5ED2">
        <w:rPr>
          <w:rFonts w:eastAsia="Aptos" w:cs="Aptos"/>
          <w:color w:val="000000" w:themeColor="text1"/>
        </w:rPr>
        <w:br w:type="column"/>
      </w:r>
      <w:r>
        <w:rPr>
          <w:rFonts w:eastAsia="Aptos" w:cs="Aptos"/>
          <w:color w:val="000000" w:themeColor="text1"/>
        </w:rPr>
        <w:lastRenderedPageBreak/>
        <w:t>This also has the benefit of allowing for a larger number and more diverse range of voices to be heard.</w:t>
      </w:r>
    </w:p>
    <w:p w14:paraId="3A02E906" w14:textId="3B126B4D" w:rsidR="0095201D" w:rsidRDefault="0095201D" w:rsidP="0095201D">
      <w:pPr>
        <w:rPr>
          <w:rFonts w:eastAsia="Aptos" w:cs="Arial"/>
          <w:color w:val="000000" w:themeColor="text1"/>
        </w:rPr>
      </w:pPr>
      <w:r>
        <w:rPr>
          <w:rFonts w:eastAsia="Aptos" w:cs="Arial"/>
          <w:color w:val="000000" w:themeColor="text1"/>
        </w:rPr>
        <w:t xml:space="preserve">The Review recommends the government </w:t>
      </w:r>
      <w:r w:rsidRPr="00901808">
        <w:rPr>
          <w:rFonts w:eastAsia="Aptos" w:cs="Arial"/>
          <w:color w:val="000000" w:themeColor="text1"/>
        </w:rPr>
        <w:t xml:space="preserve">confirm the need for the </w:t>
      </w:r>
      <w:r>
        <w:rPr>
          <w:rFonts w:eastAsia="Aptos" w:cs="Arial"/>
          <w:color w:val="000000" w:themeColor="text1"/>
        </w:rPr>
        <w:t>90</w:t>
      </w:r>
      <w:r w:rsidRPr="00901808">
        <w:rPr>
          <w:rFonts w:eastAsia="Aptos" w:cs="Arial"/>
          <w:color w:val="000000" w:themeColor="text1"/>
        </w:rPr>
        <w:t xml:space="preserve"> advisory committees</w:t>
      </w:r>
      <w:r>
        <w:rPr>
          <w:rFonts w:eastAsia="Aptos" w:cs="Arial"/>
          <w:color w:val="000000" w:themeColor="text1"/>
        </w:rPr>
        <w:t xml:space="preserve"> and remove </w:t>
      </w:r>
      <w:proofErr w:type="gramStart"/>
      <w:r>
        <w:rPr>
          <w:rFonts w:eastAsia="Aptos" w:cs="Arial"/>
          <w:color w:val="000000" w:themeColor="text1"/>
        </w:rPr>
        <w:t>the vast majority of</w:t>
      </w:r>
      <w:proofErr w:type="gramEnd"/>
      <w:r>
        <w:rPr>
          <w:rFonts w:eastAsia="Aptos" w:cs="Arial"/>
          <w:color w:val="000000" w:themeColor="text1"/>
        </w:rPr>
        <w:t xml:space="preserve"> them. </w:t>
      </w:r>
      <w:r w:rsidRPr="00901808">
        <w:rPr>
          <w:rFonts w:eastAsia="Aptos" w:cs="Arial"/>
          <w:color w:val="000000" w:themeColor="text1"/>
          <w:lang w:val="en-US"/>
        </w:rPr>
        <w:t>This reform would streamline governance and reduce the administrative burden associated with supporting legacy structures that are no longer fit-for-purpose.</w:t>
      </w:r>
    </w:p>
    <w:p w14:paraId="1CB24E78" w14:textId="5744272A" w:rsidR="0095201D" w:rsidRDefault="0095201D" w:rsidP="0095201D">
      <w:pPr>
        <w:rPr>
          <w:rFonts w:eastAsia="Aptos" w:cs="Arial"/>
          <w:color w:val="000000" w:themeColor="text1"/>
        </w:rPr>
      </w:pPr>
      <w:r w:rsidRPr="00556717">
        <w:rPr>
          <w:rFonts w:eastAsia="Aptos" w:cs="Arial"/>
          <w:color w:val="000000" w:themeColor="text1"/>
          <w:lang w:val="en-US"/>
        </w:rPr>
        <w:t>DPC should lead a rapid process in 2025 to confirm the continued need for</w:t>
      </w:r>
      <w:r>
        <w:rPr>
          <w:rFonts w:eastAsia="Aptos" w:cs="Arial"/>
          <w:color w:val="000000" w:themeColor="text1"/>
          <w:lang w:val="en-US"/>
        </w:rPr>
        <w:t xml:space="preserve"> advisory</w:t>
      </w:r>
      <w:r w:rsidRPr="00556717">
        <w:rPr>
          <w:rFonts w:eastAsia="Aptos" w:cs="Arial"/>
          <w:color w:val="000000" w:themeColor="text1"/>
          <w:lang w:val="en-US"/>
        </w:rPr>
        <w:t xml:space="preserve"> </w:t>
      </w:r>
      <w:r w:rsidRPr="00556717">
        <w:rPr>
          <w:rFonts w:eastAsia="Aptos" w:cs="Arial"/>
          <w:color w:val="000000" w:themeColor="text1"/>
          <w:lang w:val="en-US"/>
        </w:rPr>
        <w:t xml:space="preserve">committees. </w:t>
      </w:r>
      <w:r w:rsidRPr="00556717">
        <w:rPr>
          <w:rFonts w:eastAsia="Aptos" w:cs="Arial"/>
          <w:color w:val="000000" w:themeColor="text1"/>
        </w:rPr>
        <w:t>There should be a high threshold for retaining</w:t>
      </w:r>
      <w:r>
        <w:rPr>
          <w:rFonts w:eastAsia="Aptos" w:cs="Arial"/>
          <w:color w:val="000000" w:themeColor="text1"/>
        </w:rPr>
        <w:t xml:space="preserve"> them</w:t>
      </w:r>
      <w:r w:rsidRPr="00556717">
        <w:rPr>
          <w:rFonts w:eastAsia="Aptos" w:cs="Arial"/>
          <w:color w:val="000000" w:themeColor="text1"/>
        </w:rPr>
        <w:t xml:space="preserve"> </w:t>
      </w:r>
      <w:r>
        <w:rPr>
          <w:rFonts w:eastAsia="Aptos" w:cs="Arial"/>
          <w:color w:val="000000" w:themeColor="text1"/>
        </w:rPr>
        <w:t>(</w:t>
      </w:r>
      <w:r w:rsidRPr="00556717">
        <w:rPr>
          <w:rFonts w:eastAsia="Aptos" w:cs="Arial"/>
          <w:color w:val="000000" w:themeColor="text1"/>
        </w:rPr>
        <w:t>statutory and non-statutory</w:t>
      </w:r>
      <w:r>
        <w:rPr>
          <w:rFonts w:eastAsia="Aptos" w:cs="Arial"/>
          <w:color w:val="000000" w:themeColor="text1"/>
        </w:rPr>
        <w:t xml:space="preserve">), with the </w:t>
      </w:r>
      <w:r>
        <w:rPr>
          <w:rFonts w:eastAsia="Aptos" w:cs="Arial"/>
          <w:color w:val="000000" w:themeColor="text1"/>
          <w:lang w:val="en-US"/>
        </w:rPr>
        <w:t>assumption</w:t>
      </w:r>
      <w:r w:rsidRPr="00556717">
        <w:rPr>
          <w:rFonts w:eastAsia="Aptos" w:cs="Arial"/>
          <w:color w:val="000000" w:themeColor="text1"/>
          <w:lang w:val="en-US"/>
        </w:rPr>
        <w:t xml:space="preserve"> </w:t>
      </w:r>
      <w:r>
        <w:rPr>
          <w:rFonts w:eastAsia="Aptos" w:cs="Arial"/>
          <w:color w:val="000000" w:themeColor="text1"/>
          <w:lang w:val="en-US"/>
        </w:rPr>
        <w:t>that 90</w:t>
      </w:r>
      <w:r w:rsidR="00912761">
        <w:rPr>
          <w:rFonts w:eastAsia="Aptos" w:cs="Arial"/>
          <w:color w:val="000000" w:themeColor="text1"/>
          <w:lang w:val="en-US"/>
        </w:rPr>
        <w:t> </w:t>
      </w:r>
      <w:r>
        <w:rPr>
          <w:rFonts w:eastAsia="Aptos" w:cs="Arial"/>
          <w:color w:val="000000" w:themeColor="text1"/>
          <w:lang w:val="en-US"/>
        </w:rPr>
        <w:t>per cent will</w:t>
      </w:r>
      <w:r w:rsidRPr="00556717">
        <w:rPr>
          <w:rFonts w:eastAsia="Aptos" w:cs="Arial"/>
          <w:color w:val="000000" w:themeColor="text1"/>
          <w:lang w:val="en-US"/>
        </w:rPr>
        <w:t xml:space="preserve"> be abolished and other mechanisms </w:t>
      </w:r>
      <w:proofErr w:type="spellStart"/>
      <w:r w:rsidRPr="00556717">
        <w:rPr>
          <w:rFonts w:eastAsia="Aptos" w:cs="Arial"/>
          <w:color w:val="000000" w:themeColor="text1"/>
          <w:lang w:val="en-US"/>
        </w:rPr>
        <w:t>utilised</w:t>
      </w:r>
      <w:proofErr w:type="spellEnd"/>
      <w:r w:rsidRPr="00556717">
        <w:rPr>
          <w:rFonts w:eastAsia="Aptos" w:cs="Arial"/>
          <w:color w:val="000000" w:themeColor="text1"/>
          <w:lang w:val="en-US"/>
        </w:rPr>
        <w:t xml:space="preserve"> should a</w:t>
      </w:r>
      <w:r w:rsidR="009042FB">
        <w:rPr>
          <w:rFonts w:eastAsia="Aptos" w:cs="Arial"/>
          <w:color w:val="000000" w:themeColor="text1"/>
          <w:lang w:val="en-US"/>
        </w:rPr>
        <w:t xml:space="preserve"> continued</w:t>
      </w:r>
      <w:r w:rsidRPr="00556717">
        <w:rPr>
          <w:rFonts w:eastAsia="Aptos" w:cs="Arial"/>
          <w:color w:val="000000" w:themeColor="text1"/>
          <w:lang w:val="en-US"/>
        </w:rPr>
        <w:t xml:space="preserve"> need for external advice exist.</w:t>
      </w:r>
      <w:r w:rsidRPr="002F6580">
        <w:rPr>
          <w:rFonts w:eastAsia="Aptos" w:cs="Arial"/>
          <w:color w:val="000000" w:themeColor="text1"/>
          <w:lang w:val="en-US"/>
        </w:rPr>
        <w:t xml:space="preserve"> </w:t>
      </w:r>
    </w:p>
    <w:p w14:paraId="7F790969" w14:textId="6B135BDE" w:rsidR="0095201D" w:rsidRPr="000A502C" w:rsidRDefault="0095201D" w:rsidP="0095201D">
      <w:pPr>
        <w:rPr>
          <w:rFonts w:eastAsia="Aptos" w:cs="Aptos"/>
          <w:color w:val="000000" w:themeColor="text1"/>
        </w:rPr>
      </w:pPr>
      <w:r w:rsidRPr="000A502C">
        <w:rPr>
          <w:rFonts w:eastAsia="Aptos" w:cs="Aptos"/>
          <w:color w:val="000000" w:themeColor="text1"/>
          <w:lang w:val="en-US"/>
        </w:rPr>
        <w:t xml:space="preserve">The estimated net savings for government through these reforms is </w:t>
      </w:r>
      <w:r w:rsidRPr="00A51BA1">
        <w:rPr>
          <w:rFonts w:eastAsia="Aptos" w:cs="Aptos"/>
          <w:color w:val="000000" w:themeColor="text1"/>
          <w:lang w:val="en-US"/>
        </w:rPr>
        <w:t>$24 million</w:t>
      </w:r>
      <w:r w:rsidRPr="000A502C">
        <w:rPr>
          <w:rFonts w:eastAsia="Aptos" w:cs="Aptos"/>
          <w:color w:val="000000" w:themeColor="text1"/>
          <w:lang w:val="en-US"/>
        </w:rPr>
        <w:t xml:space="preserve"> over the forward estimates.</w:t>
      </w:r>
      <w:r w:rsidRPr="000A502C">
        <w:rPr>
          <w:rFonts w:eastAsia="Aptos" w:cs="Arial"/>
          <w:color w:val="000000" w:themeColor="text1"/>
        </w:rPr>
        <w:t xml:space="preserve"> This does not include </w:t>
      </w:r>
      <w:r w:rsidRPr="000A502C">
        <w:rPr>
          <w:rFonts w:eastAsia="Aptos" w:cs="Aptos"/>
          <w:color w:val="000000" w:themeColor="text1"/>
        </w:rPr>
        <w:t>indirect</w:t>
      </w:r>
      <w:r>
        <w:rPr>
          <w:rFonts w:eastAsia="Aptos" w:cs="Aptos"/>
          <w:color w:val="000000" w:themeColor="text1"/>
        </w:rPr>
        <w:t xml:space="preserve"> savings as executive and officer time is freed up from managing these</w:t>
      </w:r>
      <w:r w:rsidR="0034292F">
        <w:rPr>
          <w:rFonts w:eastAsia="Aptos" w:cs="Aptos"/>
          <w:color w:val="000000" w:themeColor="text1"/>
        </w:rPr>
        <w:t> </w:t>
      </w:r>
      <w:r>
        <w:rPr>
          <w:rFonts w:eastAsia="Aptos" w:cs="Aptos"/>
          <w:color w:val="000000" w:themeColor="text1"/>
        </w:rPr>
        <w:t>groups</w:t>
      </w:r>
      <w:r w:rsidRPr="00237751">
        <w:rPr>
          <w:rFonts w:eastAsia="Aptos" w:cs="Aptos"/>
          <w:color w:val="000000" w:themeColor="text1"/>
        </w:rPr>
        <w:t xml:space="preserve">. </w:t>
      </w:r>
    </w:p>
    <w:p w14:paraId="1C669D71" w14:textId="77777777" w:rsidR="00E103D1" w:rsidRDefault="00E103D1" w:rsidP="006A49AE">
      <w:pPr>
        <w:pStyle w:val="Heading2"/>
        <w:sectPr w:rsidR="00E103D1" w:rsidSect="00E103D1">
          <w:type w:val="continuous"/>
          <w:pgSz w:w="11906" w:h="16838"/>
          <w:pgMar w:top="1440" w:right="1440" w:bottom="1440" w:left="1440" w:header="708" w:footer="708" w:gutter="0"/>
          <w:cols w:num="2" w:space="708"/>
          <w:docGrid w:linePitch="360"/>
          <w15:footnoteColumns w:val="1"/>
        </w:sectPr>
      </w:pPr>
      <w:bookmarkStart w:id="84" w:name="_Toc202523992"/>
    </w:p>
    <w:p w14:paraId="7690C58A" w14:textId="77777777" w:rsidR="006A49AE" w:rsidRDefault="00A503B1" w:rsidP="006A49AE">
      <w:pPr>
        <w:pStyle w:val="Heading2"/>
      </w:pPr>
      <w:bookmarkStart w:id="85" w:name="_Toc214912012"/>
      <w:r>
        <w:t xml:space="preserve">6.4   </w:t>
      </w:r>
      <w:r w:rsidR="0095201D">
        <w:t xml:space="preserve">Ongoing </w:t>
      </w:r>
      <w:r w:rsidR="0095201D" w:rsidRPr="002B5B5F">
        <w:t xml:space="preserve">administration </w:t>
      </w:r>
      <w:r w:rsidR="0095201D" w:rsidRPr="006153AB">
        <w:t>and oversight of public entities</w:t>
      </w:r>
      <w:bookmarkEnd w:id="84"/>
      <w:bookmarkEnd w:id="85"/>
      <w:r w:rsidR="0095201D" w:rsidRPr="006153AB">
        <w:t xml:space="preserve"> </w:t>
      </w:r>
    </w:p>
    <w:p w14:paraId="27B2ACCD" w14:textId="77777777" w:rsidR="00E103D1" w:rsidRDefault="00E103D1" w:rsidP="0025706B">
      <w:pPr>
        <w:sectPr w:rsidR="00E103D1" w:rsidSect="00AE6104">
          <w:type w:val="continuous"/>
          <w:pgSz w:w="11906" w:h="16838"/>
          <w:pgMar w:top="1440" w:right="1440" w:bottom="1440" w:left="1440" w:header="708" w:footer="708" w:gutter="0"/>
          <w:cols w:space="708"/>
          <w:docGrid w:linePitch="360"/>
          <w15:footnoteColumns w:val="1"/>
        </w:sectPr>
      </w:pPr>
    </w:p>
    <w:p w14:paraId="13FB536D" w14:textId="59DC6162" w:rsidR="0095201D" w:rsidRPr="0025706B" w:rsidRDefault="0095201D" w:rsidP="0025706B">
      <w:r w:rsidRPr="0025706B">
        <w:t xml:space="preserve">The need to reduce the number of entities currently operating in Victoria has been driven in part by the lack of a current framework and a disciplined approach to establishing, monitoring and sunsetting entities over </w:t>
      </w:r>
      <w:proofErr w:type="gramStart"/>
      <w:r w:rsidRPr="0025706B">
        <w:t>a number of</w:t>
      </w:r>
      <w:proofErr w:type="gramEnd"/>
      <w:r w:rsidRPr="0025706B">
        <w:t xml:space="preserve"> years. While some guidance on entity formation does exist, it is not always followed. </w:t>
      </w:r>
    </w:p>
    <w:p w14:paraId="2BBC3505" w14:textId="1BFD4816" w:rsidR="0095201D" w:rsidRDefault="0095201D" w:rsidP="0095201D">
      <w:pPr>
        <w:rPr>
          <w:color w:val="000000" w:themeColor="text1"/>
        </w:rPr>
      </w:pPr>
      <w:r w:rsidRPr="00A8092D">
        <w:rPr>
          <w:color w:val="000000" w:themeColor="text1"/>
        </w:rPr>
        <w:t>The Review</w:t>
      </w:r>
      <w:r>
        <w:rPr>
          <w:color w:val="000000" w:themeColor="text1"/>
        </w:rPr>
        <w:t xml:space="preserve"> recommends stronger guidelines for entity establishment and improved entity governance. This includes </w:t>
      </w:r>
      <w:r w:rsidRPr="0051772B">
        <w:rPr>
          <w:color w:val="000000" w:themeColor="text1"/>
        </w:rPr>
        <w:t>best practice governance structures, enhanc</w:t>
      </w:r>
      <w:r>
        <w:rPr>
          <w:color w:val="000000" w:themeColor="text1"/>
        </w:rPr>
        <w:t>ing</w:t>
      </w:r>
      <w:r w:rsidRPr="0051772B">
        <w:rPr>
          <w:color w:val="000000" w:themeColor="text1"/>
        </w:rPr>
        <w:t xml:space="preserve"> visibility and monitoring through data</w:t>
      </w:r>
      <w:r>
        <w:rPr>
          <w:color w:val="000000" w:themeColor="text1"/>
        </w:rPr>
        <w:t xml:space="preserve"> collection</w:t>
      </w:r>
      <w:r w:rsidRPr="0051772B">
        <w:rPr>
          <w:color w:val="000000" w:themeColor="text1"/>
        </w:rPr>
        <w:t>,</w:t>
      </w:r>
      <w:r>
        <w:rPr>
          <w:color w:val="000000" w:themeColor="text1"/>
        </w:rPr>
        <w:t xml:space="preserve"> </w:t>
      </w:r>
      <w:r w:rsidRPr="0051772B">
        <w:rPr>
          <w:color w:val="000000" w:themeColor="text1"/>
        </w:rPr>
        <w:t>first-principles reviews, and sunsetting entities by default once their purpose is fulfilled.</w:t>
      </w:r>
    </w:p>
    <w:p w14:paraId="6E4AD209" w14:textId="0220FD80" w:rsidR="0095201D" w:rsidRPr="001E3B19" w:rsidRDefault="0095201D" w:rsidP="0095201D">
      <w:pPr>
        <w:rPr>
          <w:rFonts w:eastAsia="Aptos" w:cs="Aptos"/>
          <w:color w:val="000000" w:themeColor="text1"/>
        </w:rPr>
      </w:pPr>
      <w:r w:rsidRPr="001E3B19">
        <w:rPr>
          <w:rFonts w:eastAsia="Aptos" w:cs="Aptos"/>
          <w:color w:val="000000" w:themeColor="text1"/>
        </w:rPr>
        <w:t xml:space="preserve">Recommended reforms are outlined below (with more detail at Appendix </w:t>
      </w:r>
      <w:r w:rsidR="00D140A1">
        <w:rPr>
          <w:rFonts w:eastAsia="Aptos" w:cs="Aptos"/>
          <w:color w:val="000000" w:themeColor="text1"/>
        </w:rPr>
        <w:t>C</w:t>
      </w:r>
      <w:r w:rsidRPr="001E3B19">
        <w:rPr>
          <w:rFonts w:eastAsia="Aptos" w:cs="Aptos"/>
          <w:color w:val="000000" w:themeColor="text1"/>
        </w:rPr>
        <w:t>). Reforms</w:t>
      </w:r>
      <w:r w:rsidR="00CF68FC">
        <w:rPr>
          <w:rFonts w:eastAsia="Aptos" w:cs="Aptos"/>
          <w:color w:val="000000" w:themeColor="text1"/>
        </w:rPr>
        <w:t> </w:t>
      </w:r>
      <w:r w:rsidRPr="001E3B19">
        <w:rPr>
          <w:rFonts w:eastAsia="Aptos" w:cs="Aptos"/>
          <w:color w:val="000000" w:themeColor="text1"/>
        </w:rPr>
        <w:t xml:space="preserve">include: </w:t>
      </w:r>
    </w:p>
    <w:p w14:paraId="47689F93" w14:textId="42B6311B" w:rsidR="0095201D" w:rsidRPr="001E3B19" w:rsidRDefault="0095201D" w:rsidP="00D207B3">
      <w:pPr>
        <w:pStyle w:val="ListParagraph"/>
        <w:numPr>
          <w:ilvl w:val="0"/>
          <w:numId w:val="37"/>
        </w:numPr>
        <w:ind w:left="714" w:hanging="357"/>
        <w:contextualSpacing w:val="0"/>
        <w:rPr>
          <w:color w:val="000000" w:themeColor="text1"/>
        </w:rPr>
      </w:pPr>
      <w:r w:rsidRPr="001E3B19">
        <w:rPr>
          <w:b/>
          <w:color w:val="000000" w:themeColor="text1"/>
        </w:rPr>
        <w:t>Refresh guidelines for entity establishment</w:t>
      </w:r>
      <w:r w:rsidRPr="001E3B19">
        <w:rPr>
          <w:color w:val="000000" w:themeColor="text1"/>
        </w:rPr>
        <w:t xml:space="preserve">. The government should update and publish guidance for assessing the need to establish </w:t>
      </w:r>
      <w:r w:rsidR="00074441">
        <w:rPr>
          <w:color w:val="000000" w:themeColor="text1"/>
        </w:rPr>
        <w:br w:type="column"/>
      </w:r>
      <w:r w:rsidRPr="001E3B19">
        <w:rPr>
          <w:color w:val="000000" w:themeColor="text1"/>
        </w:rPr>
        <w:t>new entities and ensure they are fit-for-purpose. Clear guidelines, well implemented and adhered to, will help prevent unnecessary proliferation and reduce costs. Assessments should start from the</w:t>
      </w:r>
      <w:r w:rsidR="00CF68FC">
        <w:rPr>
          <w:color w:val="000000" w:themeColor="text1"/>
        </w:rPr>
        <w:t> </w:t>
      </w:r>
      <w:r w:rsidRPr="001E3B19">
        <w:rPr>
          <w:color w:val="000000" w:themeColor="text1"/>
        </w:rPr>
        <w:t>position that an entity is not</w:t>
      </w:r>
      <w:r w:rsidR="00CF68FC">
        <w:rPr>
          <w:color w:val="000000" w:themeColor="text1"/>
        </w:rPr>
        <w:t> </w:t>
      </w:r>
      <w:r w:rsidRPr="001E3B19">
        <w:rPr>
          <w:color w:val="000000" w:themeColor="text1"/>
        </w:rPr>
        <w:t>necessary.</w:t>
      </w:r>
    </w:p>
    <w:p w14:paraId="13BEB16F" w14:textId="1C4CE6CE" w:rsidR="0095201D" w:rsidRPr="00BD0929" w:rsidRDefault="0095201D" w:rsidP="00D207B3">
      <w:pPr>
        <w:pStyle w:val="ListParagraph"/>
        <w:numPr>
          <w:ilvl w:val="0"/>
          <w:numId w:val="37"/>
        </w:numPr>
        <w:ind w:left="714" w:hanging="357"/>
        <w:contextualSpacing w:val="0"/>
        <w:rPr>
          <w:color w:val="000000" w:themeColor="text1"/>
        </w:rPr>
      </w:pPr>
      <w:r w:rsidRPr="001E3B19">
        <w:rPr>
          <w:b/>
          <w:szCs w:val="22"/>
        </w:rPr>
        <w:t>D</w:t>
      </w:r>
      <w:r w:rsidRPr="001E3B19">
        <w:rPr>
          <w:b/>
          <w:color w:val="000000" w:themeColor="text1"/>
          <w:szCs w:val="22"/>
        </w:rPr>
        <w:t>efault to a single executive governance model, and where boards are needed, streamline them over time</w:t>
      </w:r>
      <w:r w:rsidRPr="001E3B19">
        <w:rPr>
          <w:color w:val="000000" w:themeColor="text1"/>
        </w:rPr>
        <w:t>.</w:t>
      </w:r>
      <w:r w:rsidRPr="001E3B19">
        <w:rPr>
          <w:b/>
          <w:color w:val="000000" w:themeColor="text1"/>
        </w:rPr>
        <w:t xml:space="preserve"> </w:t>
      </w:r>
      <w:r w:rsidRPr="001E3B19">
        <w:rPr>
          <w:color w:val="000000" w:themeColor="text1"/>
        </w:rPr>
        <w:t>Boards in the general government sector are frequently adopted as the default governance structure without sufficient consideration of their appropriateness or effectiveness. </w:t>
      </w:r>
      <w:r w:rsidRPr="001E3B19">
        <w:rPr>
          <w:rFonts w:ascii="Arial" w:hAnsi="Arial" w:cs="Arial"/>
          <w:color w:val="000000" w:themeColor="text1"/>
          <w:lang w:val="en-US"/>
        </w:rPr>
        <w:t>​</w:t>
      </w:r>
      <w:r w:rsidRPr="001E3B19">
        <w:rPr>
          <w:color w:val="000000" w:themeColor="text1"/>
        </w:rPr>
        <w:t>When established, entity boards typically consist of 8</w:t>
      </w:r>
      <w:r w:rsidR="004B014E">
        <w:rPr>
          <w:color w:val="000000" w:themeColor="text1"/>
        </w:rPr>
        <w:t> </w:t>
      </w:r>
      <w:r w:rsidRPr="001E3B19">
        <w:rPr>
          <w:color w:val="000000" w:themeColor="text1"/>
        </w:rPr>
        <w:t>or more members. Best practice guidance recommends 6</w:t>
      </w:r>
      <w:r w:rsidR="00F71523">
        <w:rPr>
          <w:color w:val="000000" w:themeColor="text1"/>
        </w:rPr>
        <w:t>–</w:t>
      </w:r>
      <w:r w:rsidRPr="001E3B19">
        <w:rPr>
          <w:color w:val="000000" w:themeColor="text1"/>
        </w:rPr>
        <w:t>12 members for public sector boards.</w:t>
      </w:r>
      <w:r w:rsidRPr="001E3B19">
        <w:rPr>
          <w:rStyle w:val="FootnoteReference"/>
          <w:color w:val="000000" w:themeColor="text1"/>
        </w:rPr>
        <w:footnoteReference w:id="22"/>
      </w:r>
      <w:r w:rsidRPr="001E3B19">
        <w:rPr>
          <w:rFonts w:ascii="Arial" w:hAnsi="Arial" w:cs="Arial"/>
          <w:color w:val="000000" w:themeColor="text1"/>
        </w:rPr>
        <w:t>​</w:t>
      </w:r>
      <w:r w:rsidRPr="001E3B19">
        <w:rPr>
          <w:rFonts w:cs="Arial"/>
          <w:color w:val="000000" w:themeColor="text1"/>
        </w:rPr>
        <w:t xml:space="preserve"> </w:t>
      </w:r>
      <w:r w:rsidRPr="00BD0929">
        <w:rPr>
          <w:rFonts w:cs="Arial"/>
          <w:color w:val="000000" w:themeColor="text1"/>
        </w:rPr>
        <w:t>The Review’s preference is for a maximum of 8</w:t>
      </w:r>
      <w:r w:rsidR="0044659F">
        <w:rPr>
          <w:rFonts w:cs="Arial"/>
          <w:color w:val="000000" w:themeColor="text1"/>
        </w:rPr>
        <w:t> </w:t>
      </w:r>
      <w:r w:rsidRPr="00BD0929">
        <w:rPr>
          <w:rFonts w:cs="Arial"/>
          <w:color w:val="000000" w:themeColor="text1"/>
        </w:rPr>
        <w:t>members.</w:t>
      </w:r>
    </w:p>
    <w:p w14:paraId="15A99970" w14:textId="68A7BBDD" w:rsidR="0095201D" w:rsidRPr="001E3B19" w:rsidRDefault="0095201D" w:rsidP="0095201D">
      <w:pPr>
        <w:pStyle w:val="ListParagraph"/>
        <w:ind w:left="714"/>
        <w:contextualSpacing w:val="0"/>
        <w:rPr>
          <w:rFonts w:ascii="Arial" w:hAnsi="Arial" w:cs="Arial"/>
          <w:color w:val="000000" w:themeColor="text1"/>
          <w:lang w:val="en-US"/>
        </w:rPr>
      </w:pPr>
      <w:r w:rsidRPr="001E3B19">
        <w:rPr>
          <w:color w:val="000000" w:themeColor="text1"/>
        </w:rPr>
        <w:lastRenderedPageBreak/>
        <w:t>The government should default to a</w:t>
      </w:r>
      <w:r w:rsidR="00D94AEF">
        <w:rPr>
          <w:color w:val="000000" w:themeColor="text1"/>
        </w:rPr>
        <w:t> </w:t>
      </w:r>
      <w:r w:rsidRPr="001E3B19">
        <w:rPr>
          <w:color w:val="000000" w:themeColor="text1"/>
        </w:rPr>
        <w:t xml:space="preserve">single executive governance model for entities for efficient decision-making, except where accountability and integrity </w:t>
      </w:r>
      <w:proofErr w:type="gramStart"/>
      <w:r w:rsidRPr="001E3B19">
        <w:rPr>
          <w:color w:val="000000" w:themeColor="text1"/>
        </w:rPr>
        <w:t>needs</w:t>
      </w:r>
      <w:proofErr w:type="gramEnd"/>
      <w:r w:rsidRPr="001E3B19">
        <w:rPr>
          <w:color w:val="000000" w:themeColor="text1"/>
        </w:rPr>
        <w:t xml:space="preserve"> demand collective oversight. When boards are necessary, Victoria should move towards smaller, fit-for-purpose boards, sized according to operational complexity. Current board sizes could be reduced progressively as member tenures expire, and boards are</w:t>
      </w:r>
      <w:r w:rsidR="00294F44">
        <w:rPr>
          <w:color w:val="000000" w:themeColor="text1"/>
        </w:rPr>
        <w:t> </w:t>
      </w:r>
      <w:r w:rsidRPr="001E3B19">
        <w:rPr>
          <w:color w:val="000000" w:themeColor="text1"/>
        </w:rPr>
        <w:t>refreshed.</w:t>
      </w:r>
    </w:p>
    <w:p w14:paraId="26701450" w14:textId="6A2CBB57" w:rsidR="0095201D" w:rsidRPr="001E3B19" w:rsidRDefault="0095201D" w:rsidP="00D207B3">
      <w:pPr>
        <w:pStyle w:val="ListParagraph"/>
        <w:numPr>
          <w:ilvl w:val="0"/>
          <w:numId w:val="37"/>
        </w:numPr>
        <w:ind w:left="714" w:hanging="357"/>
        <w:contextualSpacing w:val="0"/>
        <w:rPr>
          <w:color w:val="000000" w:themeColor="text1"/>
        </w:rPr>
      </w:pPr>
      <w:r w:rsidRPr="001E3B19">
        <w:rPr>
          <w:b/>
          <w:color w:val="000000" w:themeColor="text1"/>
        </w:rPr>
        <w:t>Improve entity data collection and reporting</w:t>
      </w:r>
      <w:r w:rsidRPr="001E3B19">
        <w:rPr>
          <w:color w:val="000000" w:themeColor="text1"/>
        </w:rPr>
        <w:t>.</w:t>
      </w:r>
      <w:r w:rsidRPr="001E3B19">
        <w:rPr>
          <w:b/>
          <w:color w:val="000000" w:themeColor="text1"/>
        </w:rPr>
        <w:t xml:space="preserve"> </w:t>
      </w:r>
      <w:r w:rsidRPr="001E3B19">
        <w:rPr>
          <w:color w:val="000000" w:themeColor="text1"/>
        </w:rPr>
        <w:t>Victoria lacks a comprehensive database of all government entities with operational and financial information. This makes monitoring and informed decisions about the efficacy of entities challenging.</w:t>
      </w:r>
      <w:r w:rsidRPr="001E3B19">
        <w:rPr>
          <w:rFonts w:ascii="Arial" w:hAnsi="Arial" w:cs="Arial"/>
          <w:color w:val="000000" w:themeColor="text1"/>
          <w:lang w:val="en-US"/>
        </w:rPr>
        <w:t xml:space="preserve"> </w:t>
      </w:r>
      <w:r w:rsidRPr="001E3B19">
        <w:rPr>
          <w:color w:val="000000" w:themeColor="text1"/>
        </w:rPr>
        <w:t>Despite mandatory reporting for most (if not all) entities, reports are often not consolidated and do not provide the data required to assess the relevance or necessity of the</w:t>
      </w:r>
      <w:r w:rsidR="002E11D7">
        <w:rPr>
          <w:color w:val="000000" w:themeColor="text1"/>
        </w:rPr>
        <w:t> </w:t>
      </w:r>
      <w:r w:rsidRPr="001E3B19">
        <w:rPr>
          <w:color w:val="000000" w:themeColor="text1"/>
        </w:rPr>
        <w:t xml:space="preserve">entity. </w:t>
      </w:r>
    </w:p>
    <w:p w14:paraId="34C80480" w14:textId="72D5108B" w:rsidR="0095201D" w:rsidRPr="001E3B19" w:rsidRDefault="0095201D" w:rsidP="0095201D">
      <w:pPr>
        <w:pStyle w:val="ListParagraph"/>
        <w:ind w:left="714"/>
        <w:contextualSpacing w:val="0"/>
        <w:rPr>
          <w:color w:val="000000" w:themeColor="text1"/>
        </w:rPr>
      </w:pPr>
      <w:r w:rsidRPr="001E3B19">
        <w:rPr>
          <w:color w:val="000000" w:themeColor="text1"/>
        </w:rPr>
        <w:t>The government should improve data collection</w:t>
      </w:r>
      <w:r w:rsidRPr="001E3B19">
        <w:rPr>
          <w:b/>
          <w:color w:val="000000" w:themeColor="text1"/>
        </w:rPr>
        <w:t> </w:t>
      </w:r>
      <w:r w:rsidRPr="001E3B19">
        <w:rPr>
          <w:color w:val="000000" w:themeColor="text1"/>
        </w:rPr>
        <w:t xml:space="preserve">to have an accurate picture of all its entities. Reporting requirements should be reformed to make them fit-for-purpose for entities </w:t>
      </w:r>
      <w:r w:rsidR="00DB00F9">
        <w:rPr>
          <w:color w:val="000000" w:themeColor="text1"/>
        </w:rPr>
        <w:t>of</w:t>
      </w:r>
      <w:r w:rsidRPr="001E3B19">
        <w:rPr>
          <w:color w:val="000000" w:themeColor="text1"/>
        </w:rPr>
        <w:t xml:space="preserve"> different sizes and complexities. This will reduce their disproportionate administrative burden and redirect resources to service delivery for citizens, business and government.</w:t>
      </w:r>
    </w:p>
    <w:p w14:paraId="78616841" w14:textId="05DEEF12" w:rsidR="0095201D" w:rsidRPr="001E3B19" w:rsidRDefault="0095201D" w:rsidP="00D207B3">
      <w:pPr>
        <w:pStyle w:val="ListParagraph"/>
        <w:numPr>
          <w:ilvl w:val="0"/>
          <w:numId w:val="37"/>
        </w:numPr>
        <w:ind w:left="714" w:hanging="357"/>
        <w:contextualSpacing w:val="0"/>
        <w:rPr>
          <w:color w:val="000000" w:themeColor="text1"/>
        </w:rPr>
      </w:pPr>
      <w:r w:rsidRPr="001E3B19">
        <w:rPr>
          <w:b/>
          <w:color w:val="000000" w:themeColor="text1"/>
          <w:lang w:val="en-US"/>
        </w:rPr>
        <w:t>Enforce entity review and sunset by default</w:t>
      </w:r>
      <w:r w:rsidRPr="001E3B19">
        <w:rPr>
          <w:color w:val="000000" w:themeColor="text1"/>
          <w:lang w:val="en-US"/>
        </w:rPr>
        <w:t>.</w:t>
      </w:r>
      <w:r w:rsidRPr="001E3B19">
        <w:rPr>
          <w:b/>
          <w:color w:val="000000" w:themeColor="text1"/>
          <w:lang w:val="en-US"/>
        </w:rPr>
        <w:t xml:space="preserve"> </w:t>
      </w:r>
      <w:r w:rsidRPr="001E3B19">
        <w:rPr>
          <w:color w:val="000000" w:themeColor="text1"/>
        </w:rPr>
        <w:t xml:space="preserve">Regular reviews of entities are not undertaken to ensure entities remain relevant and necessary. Entity sunset dates are rarely set and adhered to, resulting in </w:t>
      </w:r>
      <w:proofErr w:type="gramStart"/>
      <w:r w:rsidRPr="001E3B19">
        <w:rPr>
          <w:color w:val="000000" w:themeColor="text1"/>
        </w:rPr>
        <w:t>a large number of</w:t>
      </w:r>
      <w:proofErr w:type="gramEnd"/>
      <w:r w:rsidRPr="001E3B19">
        <w:rPr>
          <w:color w:val="000000" w:themeColor="text1"/>
        </w:rPr>
        <w:t xml:space="preserve"> entities, not necessarily aligned with current government priorities.</w:t>
      </w:r>
      <w:r w:rsidRPr="001E3B19">
        <w:rPr>
          <w:rFonts w:ascii="Arial" w:hAnsi="Arial" w:cs="Arial"/>
          <w:color w:val="000000" w:themeColor="text1"/>
          <w:lang w:val="en-US"/>
        </w:rPr>
        <w:t xml:space="preserve"> </w:t>
      </w:r>
    </w:p>
    <w:p w14:paraId="4BE989F0" w14:textId="42B4EAF4" w:rsidR="0095201D" w:rsidRPr="001E3B19" w:rsidRDefault="0095201D" w:rsidP="0095201D">
      <w:pPr>
        <w:pStyle w:val="ListParagraph"/>
        <w:ind w:left="714"/>
        <w:contextualSpacing w:val="0"/>
        <w:rPr>
          <w:rFonts w:ascii="Arial" w:hAnsi="Arial" w:cs="Arial"/>
          <w:color w:val="000000" w:themeColor="text1"/>
          <w:lang w:val="en-US"/>
        </w:rPr>
      </w:pPr>
      <w:r w:rsidRPr="001E3B19">
        <w:rPr>
          <w:color w:val="000000" w:themeColor="text1"/>
        </w:rPr>
        <w:t>The government should set default sunset dates for entities of no more than 5 years following establishment. Entities should wind up upon their sunset date unless there is a clear demonstration of continued relevance and effectiveness in fulfilling its mandate.</w:t>
      </w:r>
      <w:r w:rsidRPr="001E3B19">
        <w:rPr>
          <w:rFonts w:ascii="Arial" w:hAnsi="Arial" w:cs="Arial"/>
          <w:color w:val="000000" w:themeColor="text1"/>
          <w:lang w:val="en-US"/>
        </w:rPr>
        <w:t xml:space="preserve"> </w:t>
      </w:r>
      <w:r w:rsidRPr="001E3B19">
        <w:rPr>
          <w:color w:val="000000" w:themeColor="text1"/>
        </w:rPr>
        <w:t>A first-principles review of an entity should be undertaken in advance of the 5-year sunset date if it is considered necessary to re</w:t>
      </w:r>
      <w:r w:rsidR="007D20C6">
        <w:rPr>
          <w:color w:val="000000" w:themeColor="text1"/>
        </w:rPr>
        <w:t>tain it</w:t>
      </w:r>
      <w:r w:rsidRPr="001E3B19">
        <w:rPr>
          <w:color w:val="000000" w:themeColor="text1"/>
        </w:rPr>
        <w:t>.</w:t>
      </w:r>
      <w:r w:rsidRPr="001E3B19">
        <w:rPr>
          <w:rFonts w:ascii="Arial" w:hAnsi="Arial" w:cs="Arial"/>
          <w:color w:val="000000" w:themeColor="text1"/>
          <w:lang w:val="en-US"/>
        </w:rPr>
        <w:t xml:space="preserve"> </w:t>
      </w:r>
      <w:r w:rsidRPr="001E3B19">
        <w:rPr>
          <w:color w:val="000000" w:themeColor="text1"/>
        </w:rPr>
        <w:t xml:space="preserve">This will help </w:t>
      </w:r>
      <w:r w:rsidR="007D20C6">
        <w:rPr>
          <w:color w:val="000000" w:themeColor="text1"/>
        </w:rPr>
        <w:t>mean</w:t>
      </w:r>
      <w:r w:rsidRPr="001E3B19">
        <w:rPr>
          <w:color w:val="000000" w:themeColor="text1"/>
        </w:rPr>
        <w:t xml:space="preserve"> entities are aligned with current government priorities, and support resource allocation to high priority areas.</w:t>
      </w:r>
    </w:p>
    <w:p w14:paraId="595D8DA2" w14:textId="4C42DD84" w:rsidR="0095201D" w:rsidRDefault="0095201D" w:rsidP="00D207B3">
      <w:pPr>
        <w:pStyle w:val="ListParagraph"/>
        <w:numPr>
          <w:ilvl w:val="0"/>
          <w:numId w:val="37"/>
        </w:numPr>
        <w:ind w:left="714" w:hanging="357"/>
        <w:contextualSpacing w:val="0"/>
        <w:rPr>
          <w:rFonts w:ascii="Arial" w:hAnsi="Arial" w:cs="Arial"/>
          <w:color w:val="000000" w:themeColor="text1"/>
          <w:lang w:val="en-US"/>
        </w:rPr>
      </w:pPr>
      <w:r w:rsidRPr="001E3B19">
        <w:rPr>
          <w:b/>
          <w:color w:val="000000" w:themeColor="text1"/>
        </w:rPr>
        <w:t>Extend reviews to other forms of public sector entities</w:t>
      </w:r>
      <w:r w:rsidRPr="001E3B19">
        <w:rPr>
          <w:color w:val="000000" w:themeColor="text1"/>
        </w:rPr>
        <w:t>.</w:t>
      </w:r>
      <w:r w:rsidRPr="001E3B19">
        <w:rPr>
          <w:b/>
          <w:color w:val="000000" w:themeColor="text1"/>
        </w:rPr>
        <w:t xml:space="preserve"> </w:t>
      </w:r>
      <w:r w:rsidRPr="001E3B19">
        <w:rPr>
          <w:color w:val="000000" w:themeColor="text1"/>
        </w:rPr>
        <w:t>Certain types of entities – such as statutory roles and branded divisions within departments – do not fit neatly into existing VPSC categories and may be overlooked when considering the broader shape and size of the public entity landscape. The government should extend reviews of continued relevance and necessity to other forms of public entities to reduce the risk of continued proliferation.</w:t>
      </w:r>
    </w:p>
    <w:p w14:paraId="0C9C0985" w14:textId="77777777" w:rsidR="00E103D1" w:rsidRDefault="00E103D1" w:rsidP="00932C5F">
      <w:pPr>
        <w:pStyle w:val="Heading2"/>
        <w:sectPr w:rsidR="00E103D1" w:rsidSect="00E103D1">
          <w:type w:val="continuous"/>
          <w:pgSz w:w="11906" w:h="16838"/>
          <w:pgMar w:top="1440" w:right="1440" w:bottom="1440" w:left="1440" w:header="708" w:footer="708" w:gutter="0"/>
          <w:cols w:num="2" w:space="708"/>
          <w:docGrid w:linePitch="360"/>
          <w15:footnoteColumns w:val="1"/>
        </w:sectPr>
      </w:pPr>
      <w:bookmarkStart w:id="86" w:name="_Toc202523993"/>
    </w:p>
    <w:p w14:paraId="7394473E" w14:textId="77777777" w:rsidR="0044659F" w:rsidRDefault="0044659F" w:rsidP="00CA5ED2">
      <w:r>
        <w:br w:type="page"/>
      </w:r>
    </w:p>
    <w:p w14:paraId="12D831D5" w14:textId="0D50E600" w:rsidR="00932C5F" w:rsidRPr="002B5B5F" w:rsidRDefault="00932C5F" w:rsidP="00932C5F">
      <w:pPr>
        <w:pStyle w:val="Heading2"/>
      </w:pPr>
      <w:bookmarkStart w:id="87" w:name="_Toc214912013"/>
      <w:r>
        <w:lastRenderedPageBreak/>
        <w:t>6.5   I</w:t>
      </w:r>
      <w:r w:rsidRPr="002B5B5F">
        <w:t>mplementation</w:t>
      </w:r>
      <w:bookmarkEnd w:id="86"/>
      <w:bookmarkEnd w:id="87"/>
    </w:p>
    <w:p w14:paraId="29210D6F" w14:textId="77777777" w:rsidR="00331A03" w:rsidRDefault="00331A03" w:rsidP="00932C5F">
      <w:pPr>
        <w:shd w:val="clear" w:color="auto" w:fill="FFFFFF" w:themeFill="background1"/>
        <w:sectPr w:rsidR="00331A03" w:rsidSect="00AE6104">
          <w:type w:val="continuous"/>
          <w:pgSz w:w="11906" w:h="16838"/>
          <w:pgMar w:top="1440" w:right="1440" w:bottom="1440" w:left="1440" w:header="708" w:footer="708" w:gutter="0"/>
          <w:cols w:space="708"/>
          <w:docGrid w:linePitch="360"/>
          <w15:footnoteColumns w:val="1"/>
        </w:sectPr>
      </w:pPr>
    </w:p>
    <w:p w14:paraId="0AFC6424" w14:textId="177E86CA" w:rsidR="00932C5F" w:rsidRDefault="00932C5F" w:rsidP="00932C5F">
      <w:pPr>
        <w:shd w:val="clear" w:color="auto" w:fill="FFFFFF" w:themeFill="background1"/>
      </w:pPr>
      <w:r>
        <w:t xml:space="preserve">The need for </w:t>
      </w:r>
      <w:r w:rsidR="003C5965">
        <w:t>entity</w:t>
      </w:r>
      <w:r>
        <w:t xml:space="preserve"> reform is </w:t>
      </w:r>
      <w:proofErr w:type="gramStart"/>
      <w:r>
        <w:t>significant</w:t>
      </w:r>
      <w:proofErr w:type="gramEnd"/>
      <w:r>
        <w:t xml:space="preserve"> and the Review considers the government should take immediate action in this area. The Review also acknowledges that implementing entity reform will be complex. Stakeholder concerns, legislative amendments and administrative changes, along with industrial considerations, all require sensitive management. </w:t>
      </w:r>
    </w:p>
    <w:p w14:paraId="0F9A6F8E" w14:textId="77777777" w:rsidR="00932C5F" w:rsidRDefault="00932C5F" w:rsidP="00932C5F">
      <w:pPr>
        <w:shd w:val="clear" w:color="auto" w:fill="FFFFFF" w:themeFill="background1"/>
      </w:pPr>
      <w:r>
        <w:t xml:space="preserve">The Review has identified efficient and pragmatic pathways to implement entity reform, including the use of legislative and administrative mechanisms. There is a legal basis to move with speed and pragmatism, and approach entity change in a way that delivers efficiencies and minimises disruption to service delivery. </w:t>
      </w:r>
    </w:p>
    <w:p w14:paraId="32B65016" w14:textId="77777777" w:rsidR="00932C5F" w:rsidRDefault="00932C5F" w:rsidP="00932C5F">
      <w:pPr>
        <w:rPr>
          <w:b/>
          <w:bCs/>
          <w:szCs w:val="22"/>
        </w:rPr>
      </w:pPr>
      <w:r w:rsidRPr="00BD0929">
        <w:rPr>
          <w:szCs w:val="22"/>
        </w:rPr>
        <w:t xml:space="preserve">The government has three broad pathways to implement the Review’s recommended entity changes as quickly and as efficiently as possible, including implementing entity change without reference to legislation, </w:t>
      </w:r>
      <w:r w:rsidRPr="00BD0929">
        <w:rPr>
          <w:szCs w:val="22"/>
        </w:rPr>
        <w:t xml:space="preserve">commencing entity change with executive actions, and implementing entity change through legislation. Necessary legislative change </w:t>
      </w:r>
      <w:r w:rsidRPr="00BD0929">
        <w:t>could be undertaken through an omnibus bill.</w:t>
      </w:r>
      <w:r w:rsidRPr="00302604">
        <w:t xml:space="preserve"> </w:t>
      </w:r>
    </w:p>
    <w:p w14:paraId="172B29FF" w14:textId="39930515" w:rsidR="00932C5F" w:rsidRDefault="00932C5F" w:rsidP="00932C5F">
      <w:r w:rsidRPr="00BD0929">
        <w:t xml:space="preserve">While the drafting and passing of legislation can take time, some of the </w:t>
      </w:r>
      <w:r w:rsidR="003C5965" w:rsidRPr="00AF6A97">
        <w:t>reform and</w:t>
      </w:r>
      <w:r w:rsidRPr="00AF6A97">
        <w:t xml:space="preserve"> </w:t>
      </w:r>
      <w:r w:rsidRPr="00BD0929">
        <w:t xml:space="preserve">savings proposed </w:t>
      </w:r>
      <w:r w:rsidR="003C5965" w:rsidRPr="00AF6A97">
        <w:t>sh</w:t>
      </w:r>
      <w:r w:rsidRPr="00BD0929">
        <w:t>ould be materialised prior to enactment of that legislation, for example, combining office space or consolidating back-office functions of entities to be merged.</w:t>
      </w:r>
      <w:r>
        <w:t xml:space="preserve"> </w:t>
      </w:r>
      <w:r w:rsidRPr="00BD0929">
        <w:t>Further detail about the pathways for implementation is at Appendix C.</w:t>
      </w:r>
      <w:r w:rsidR="00147B86">
        <w:t xml:space="preserve"> Th</w:t>
      </w:r>
      <w:r w:rsidR="005B33A3">
        <w:t>ese</w:t>
      </w:r>
      <w:r w:rsidR="00147B86">
        <w:t xml:space="preserve"> early action</w:t>
      </w:r>
      <w:r w:rsidR="005B33A3">
        <w:t>s</w:t>
      </w:r>
      <w:r w:rsidR="00147B86">
        <w:t xml:space="preserve"> will help</w:t>
      </w:r>
      <w:r w:rsidR="005B33A3">
        <w:t xml:space="preserve"> maintain momentum and opportunities for entity reform.</w:t>
      </w:r>
      <w:r w:rsidR="00147B86">
        <w:t xml:space="preserve"> </w:t>
      </w:r>
    </w:p>
    <w:p w14:paraId="6DF6D27B" w14:textId="6BC829F7" w:rsidR="00932C5F" w:rsidRDefault="00932C5F" w:rsidP="00932C5F">
      <w:pPr>
        <w:shd w:val="clear" w:color="auto" w:fill="FFFFFF" w:themeFill="background1"/>
      </w:pPr>
      <w:r>
        <w:t xml:space="preserve">As part of implementing entity structural changes, the Review considers a best practice spans of control and layers approach </w:t>
      </w:r>
      <w:r w:rsidR="0095444F">
        <w:t xml:space="preserve">should </w:t>
      </w:r>
      <w:r>
        <w:t xml:space="preserve">be applied to maximise efficiency and effectiveness (see model in Chapter </w:t>
      </w:r>
      <w:r w:rsidRPr="00BD0929">
        <w:t>5)</w:t>
      </w:r>
      <w:r>
        <w:t xml:space="preserve">. </w:t>
      </w:r>
    </w:p>
    <w:p w14:paraId="740D274C" w14:textId="77777777" w:rsidR="00331A03" w:rsidRDefault="00331A03">
      <w:pPr>
        <w:sectPr w:rsidR="00331A03" w:rsidSect="00331A03">
          <w:type w:val="continuous"/>
          <w:pgSz w:w="11906" w:h="16838"/>
          <w:pgMar w:top="1440" w:right="1440" w:bottom="1440" w:left="1440" w:header="708" w:footer="708" w:gutter="0"/>
          <w:cols w:num="2" w:space="708"/>
          <w:docGrid w:linePitch="360"/>
          <w15:footnoteColumns w:val="1"/>
        </w:sectPr>
      </w:pPr>
      <w:bookmarkStart w:id="88" w:name="_Toc202523994"/>
    </w:p>
    <w:p w14:paraId="17644DBF" w14:textId="77777777" w:rsidR="00556EBB" w:rsidRDefault="00556EBB">
      <w:pPr>
        <w:rPr>
          <w:rFonts w:asciiTheme="majorHAnsi" w:eastAsiaTheme="majorEastAsia" w:hAnsiTheme="majorHAnsi" w:cstheme="majorBidi"/>
          <w:b/>
          <w:color w:val="0F4761" w:themeColor="accent1" w:themeShade="BF"/>
          <w:sz w:val="32"/>
          <w:szCs w:val="32"/>
        </w:rPr>
      </w:pPr>
      <w:r>
        <w:br w:type="page"/>
      </w:r>
    </w:p>
    <w:p w14:paraId="750F6AB2" w14:textId="4E6F1ACF" w:rsidR="0095201D" w:rsidRPr="00AF281F" w:rsidRDefault="005B6F38" w:rsidP="00F05BBF">
      <w:pPr>
        <w:pStyle w:val="Heading2"/>
        <w:numPr>
          <w:ilvl w:val="0"/>
          <w:numId w:val="0"/>
        </w:numPr>
      </w:pPr>
      <w:bookmarkStart w:id="89" w:name="_Toc214912014"/>
      <w:r>
        <w:lastRenderedPageBreak/>
        <w:t xml:space="preserve">6.6   </w:t>
      </w:r>
      <w:r w:rsidR="0095201D" w:rsidRPr="00AF281F">
        <w:t>Recommendations</w:t>
      </w:r>
      <w:bookmarkEnd w:id="88"/>
      <w:bookmarkEnd w:id="89"/>
    </w:p>
    <w:tbl>
      <w:tblPr>
        <w:tblStyle w:val="TableGrid"/>
        <w:tblW w:w="0" w:type="auto"/>
        <w:tblBorders>
          <w:top w:val="single" w:sz="4" w:space="0" w:color="156082" w:themeColor="accent1"/>
          <w:left w:val="single" w:sz="4" w:space="0" w:color="156082" w:themeColor="accent1"/>
          <w:bottom w:val="single" w:sz="4" w:space="0" w:color="156082" w:themeColor="accent1"/>
          <w:right w:val="single" w:sz="4" w:space="0" w:color="156082" w:themeColor="accent1"/>
          <w:insideH w:val="none" w:sz="0" w:space="0" w:color="auto"/>
          <w:insideV w:val="none" w:sz="0" w:space="0" w:color="auto"/>
        </w:tblBorders>
        <w:tblLook w:val="04A0" w:firstRow="1" w:lastRow="0" w:firstColumn="1" w:lastColumn="0" w:noHBand="0" w:noVBand="1"/>
      </w:tblPr>
      <w:tblGrid>
        <w:gridCol w:w="9016"/>
      </w:tblGrid>
      <w:tr w:rsidR="0095201D" w14:paraId="0E43F51A" w14:textId="77777777" w:rsidTr="00352512">
        <w:tc>
          <w:tcPr>
            <w:tcW w:w="9182" w:type="dxa"/>
          </w:tcPr>
          <w:p w14:paraId="6B7D2F9D" w14:textId="08CB1749" w:rsidR="0095201D" w:rsidRDefault="0095201D" w:rsidP="00787C43">
            <w:pPr>
              <w:pStyle w:val="ListParagraph"/>
              <w:numPr>
                <w:ilvl w:val="1"/>
                <w:numId w:val="31"/>
              </w:numPr>
              <w:spacing w:after="160" w:line="278" w:lineRule="auto"/>
              <w:ind w:left="567" w:hanging="567"/>
              <w:contextualSpacing w:val="0"/>
              <w:rPr>
                <w:color w:val="000000" w:themeColor="text1"/>
              </w:rPr>
            </w:pPr>
            <w:r w:rsidRPr="00325160">
              <w:rPr>
                <w:color w:val="000000" w:themeColor="text1"/>
              </w:rPr>
              <w:t xml:space="preserve">Reduce the number of public sector entities by </w:t>
            </w:r>
            <w:r w:rsidR="003869B7">
              <w:rPr>
                <w:color w:val="000000" w:themeColor="text1"/>
              </w:rPr>
              <w:t>78</w:t>
            </w:r>
            <w:r w:rsidRPr="00325160">
              <w:rPr>
                <w:color w:val="000000" w:themeColor="text1"/>
              </w:rPr>
              <w:t xml:space="preserve"> through a process of consolidation and removal</w:t>
            </w:r>
            <w:r w:rsidR="007B473E" w:rsidRPr="007B473E">
              <w:rPr>
                <w:color w:val="000000" w:themeColor="text1"/>
              </w:rPr>
              <w:t>, including:</w:t>
            </w:r>
            <w:r>
              <w:rPr>
                <w:color w:val="000000" w:themeColor="text1"/>
              </w:rPr>
              <w:t xml:space="preserve"> </w:t>
            </w:r>
          </w:p>
          <w:p w14:paraId="295D8057" w14:textId="77777777" w:rsidR="00787C43" w:rsidRPr="00787C43" w:rsidRDefault="00787C43" w:rsidP="00787C43">
            <w:pPr>
              <w:pStyle w:val="ListParagraph"/>
              <w:numPr>
                <w:ilvl w:val="0"/>
                <w:numId w:val="97"/>
              </w:numPr>
              <w:spacing w:after="160" w:line="278" w:lineRule="auto"/>
              <w:ind w:left="1014" w:hanging="425"/>
              <w:contextualSpacing w:val="0"/>
              <w:rPr>
                <w:color w:val="000000" w:themeColor="text1"/>
              </w:rPr>
            </w:pPr>
            <w:r w:rsidRPr="00A00265">
              <w:rPr>
                <w:szCs w:val="22"/>
              </w:rPr>
              <w:t>Regulatory system refor</w:t>
            </w:r>
            <w:r>
              <w:rPr>
                <w:szCs w:val="22"/>
              </w:rPr>
              <w:t>m</w:t>
            </w:r>
          </w:p>
          <w:p w14:paraId="14794CAE" w14:textId="77777777" w:rsidR="00787C43" w:rsidRPr="00787C43" w:rsidRDefault="00787C43" w:rsidP="00787C43">
            <w:pPr>
              <w:pStyle w:val="ListParagraph"/>
              <w:numPr>
                <w:ilvl w:val="0"/>
                <w:numId w:val="97"/>
              </w:numPr>
              <w:spacing w:after="160" w:line="278" w:lineRule="auto"/>
              <w:ind w:left="1014" w:hanging="425"/>
              <w:contextualSpacing w:val="0"/>
              <w:rPr>
                <w:color w:val="000000" w:themeColor="text1"/>
              </w:rPr>
            </w:pPr>
            <w:r w:rsidRPr="00A00265">
              <w:rPr>
                <w:szCs w:val="22"/>
              </w:rPr>
              <w:t>Water and land management reform</w:t>
            </w:r>
          </w:p>
          <w:p w14:paraId="1126ACB8" w14:textId="77777777" w:rsidR="00787C43" w:rsidRPr="00787C43" w:rsidRDefault="00787C43" w:rsidP="00787C43">
            <w:pPr>
              <w:pStyle w:val="ListParagraph"/>
              <w:numPr>
                <w:ilvl w:val="0"/>
                <w:numId w:val="97"/>
              </w:numPr>
              <w:spacing w:after="160" w:line="278" w:lineRule="auto"/>
              <w:ind w:left="1014" w:hanging="425"/>
              <w:contextualSpacing w:val="0"/>
              <w:rPr>
                <w:color w:val="000000" w:themeColor="text1"/>
              </w:rPr>
            </w:pPr>
            <w:r w:rsidRPr="00A00265">
              <w:rPr>
                <w:szCs w:val="22"/>
              </w:rPr>
              <w:t>Policy advice and research</w:t>
            </w:r>
          </w:p>
          <w:p w14:paraId="3A0FE490" w14:textId="77777777" w:rsidR="00787C43" w:rsidRPr="00787C43" w:rsidRDefault="00787C43" w:rsidP="00787C43">
            <w:pPr>
              <w:pStyle w:val="ListParagraph"/>
              <w:numPr>
                <w:ilvl w:val="0"/>
                <w:numId w:val="97"/>
              </w:numPr>
              <w:spacing w:after="160" w:line="278" w:lineRule="auto"/>
              <w:ind w:left="1014" w:hanging="425"/>
              <w:contextualSpacing w:val="0"/>
              <w:rPr>
                <w:color w:val="000000" w:themeColor="text1"/>
              </w:rPr>
            </w:pPr>
            <w:r w:rsidRPr="00A00265">
              <w:rPr>
                <w:szCs w:val="22"/>
              </w:rPr>
              <w:t>Funds and investment management</w:t>
            </w:r>
          </w:p>
          <w:p w14:paraId="18C24F47" w14:textId="77777777" w:rsidR="00787C43" w:rsidRPr="00787C43" w:rsidRDefault="00787C43" w:rsidP="00787C43">
            <w:pPr>
              <w:pStyle w:val="ListParagraph"/>
              <w:numPr>
                <w:ilvl w:val="0"/>
                <w:numId w:val="97"/>
              </w:numPr>
              <w:spacing w:after="160" w:line="278" w:lineRule="auto"/>
              <w:ind w:left="1014" w:hanging="425"/>
              <w:contextualSpacing w:val="0"/>
              <w:rPr>
                <w:color w:val="000000" w:themeColor="text1"/>
              </w:rPr>
            </w:pPr>
            <w:r w:rsidRPr="00A00265">
              <w:rPr>
                <w:szCs w:val="22"/>
              </w:rPr>
              <w:t>Abolishing some entities and ceasing their functions</w:t>
            </w:r>
          </w:p>
          <w:p w14:paraId="61D5251E" w14:textId="77777777" w:rsidR="00787C43" w:rsidRPr="00787C43" w:rsidRDefault="00787C43" w:rsidP="00787C43">
            <w:pPr>
              <w:pStyle w:val="ListParagraph"/>
              <w:numPr>
                <w:ilvl w:val="0"/>
                <w:numId w:val="97"/>
              </w:numPr>
              <w:spacing w:after="160" w:line="278" w:lineRule="auto"/>
              <w:ind w:left="1014" w:hanging="425"/>
              <w:contextualSpacing w:val="0"/>
              <w:rPr>
                <w:color w:val="000000" w:themeColor="text1"/>
              </w:rPr>
            </w:pPr>
            <w:r w:rsidRPr="00A00265">
              <w:rPr>
                <w:szCs w:val="22"/>
              </w:rPr>
              <w:t>Absorbing the functions of entities into departments or other bodies</w:t>
            </w:r>
          </w:p>
          <w:p w14:paraId="3A3BA0B1" w14:textId="29670CF3" w:rsidR="00787C43" w:rsidRPr="00A00265" w:rsidRDefault="00787C43" w:rsidP="00787C43">
            <w:pPr>
              <w:pStyle w:val="ListParagraph"/>
              <w:numPr>
                <w:ilvl w:val="0"/>
                <w:numId w:val="97"/>
              </w:numPr>
              <w:spacing w:after="160" w:line="278" w:lineRule="auto"/>
              <w:ind w:left="1014" w:hanging="425"/>
              <w:contextualSpacing w:val="0"/>
              <w:rPr>
                <w:color w:val="000000" w:themeColor="text1"/>
              </w:rPr>
            </w:pPr>
            <w:r w:rsidRPr="00A00265">
              <w:rPr>
                <w:szCs w:val="22"/>
              </w:rPr>
              <w:t>Merging entities with overlapping functions.</w:t>
            </w:r>
          </w:p>
          <w:p w14:paraId="52301A79" w14:textId="24E4A5A6" w:rsidR="00787C43" w:rsidRPr="00787C43" w:rsidRDefault="0095201D" w:rsidP="00787C43">
            <w:pPr>
              <w:pStyle w:val="ListParagraph"/>
              <w:numPr>
                <w:ilvl w:val="1"/>
                <w:numId w:val="31"/>
              </w:numPr>
              <w:spacing w:after="160" w:line="278" w:lineRule="auto"/>
              <w:ind w:left="567" w:hanging="567"/>
              <w:contextualSpacing w:val="0"/>
              <w:rPr>
                <w:color w:val="000000" w:themeColor="text1"/>
              </w:rPr>
            </w:pPr>
            <w:r w:rsidRPr="3BEC9064">
              <w:rPr>
                <w:color w:val="000000" w:themeColor="text1"/>
              </w:rPr>
              <w:t xml:space="preserve">Confirm the need for 90 advisory committees, with the assumption that 90 per cent will cease and </w:t>
            </w:r>
            <w:r w:rsidRPr="3BEC9064">
              <w:rPr>
                <w:rFonts w:eastAsia="Aptos" w:cs="Arial"/>
                <w:color w:val="000000" w:themeColor="text1"/>
              </w:rPr>
              <w:t xml:space="preserve">other mechanisms </w:t>
            </w:r>
            <w:r w:rsidR="007573C9" w:rsidRPr="007573C9">
              <w:rPr>
                <w:szCs w:val="22"/>
              </w:rPr>
              <w:t xml:space="preserve">could </w:t>
            </w:r>
            <w:r w:rsidR="00020806" w:rsidRPr="007573C9">
              <w:rPr>
                <w:szCs w:val="22"/>
              </w:rPr>
              <w:t xml:space="preserve">be </w:t>
            </w:r>
            <w:proofErr w:type="spellStart"/>
            <w:r w:rsidRPr="007573C9">
              <w:rPr>
                <w:szCs w:val="22"/>
              </w:rPr>
              <w:t>utilised</w:t>
            </w:r>
            <w:proofErr w:type="spellEnd"/>
            <w:r w:rsidRPr="007573C9">
              <w:rPr>
                <w:szCs w:val="22"/>
              </w:rPr>
              <w:t xml:space="preserve"> </w:t>
            </w:r>
            <w:r w:rsidR="007573C9" w:rsidRPr="007573C9">
              <w:rPr>
                <w:szCs w:val="22"/>
              </w:rPr>
              <w:t>if</w:t>
            </w:r>
            <w:r w:rsidRPr="007573C9">
              <w:rPr>
                <w:szCs w:val="22"/>
              </w:rPr>
              <w:t xml:space="preserve"> </w:t>
            </w:r>
            <w:r w:rsidRPr="3BEC9064">
              <w:rPr>
                <w:rFonts w:eastAsia="Aptos" w:cs="Arial"/>
                <w:color w:val="000000" w:themeColor="text1"/>
              </w:rPr>
              <w:t>a need for external advice exist</w:t>
            </w:r>
            <w:r w:rsidR="007573C9">
              <w:rPr>
                <w:rFonts w:eastAsia="Aptos" w:cs="Arial"/>
                <w:color w:val="000000" w:themeColor="text1"/>
              </w:rPr>
              <w:t>s</w:t>
            </w:r>
            <w:r w:rsidRPr="3BEC9064">
              <w:rPr>
                <w:rFonts w:eastAsia="Aptos" w:cs="Arial"/>
                <w:color w:val="000000" w:themeColor="text1"/>
              </w:rPr>
              <w:t>.</w:t>
            </w:r>
          </w:p>
          <w:p w14:paraId="3C988B1A" w14:textId="58CAFF8E" w:rsidR="0095201D" w:rsidRPr="0010133F" w:rsidRDefault="00961847" w:rsidP="00D207B3">
            <w:pPr>
              <w:pStyle w:val="ListParagraph"/>
              <w:numPr>
                <w:ilvl w:val="1"/>
                <w:numId w:val="31"/>
              </w:numPr>
              <w:spacing w:after="160" w:line="278" w:lineRule="auto"/>
              <w:ind w:left="567" w:hanging="567"/>
              <w:contextualSpacing w:val="0"/>
              <w:rPr>
                <w:color w:val="000000" w:themeColor="text1"/>
              </w:rPr>
            </w:pPr>
            <w:r>
              <w:rPr>
                <w:rFonts w:eastAsia="Aptos" w:cs="Arial"/>
                <w:color w:val="000000" w:themeColor="text1"/>
              </w:rPr>
              <w:t xml:space="preserve">Pursue </w:t>
            </w:r>
            <w:r w:rsidR="000C176C">
              <w:rPr>
                <w:rFonts w:eastAsia="Aptos" w:cs="Arial"/>
                <w:color w:val="000000" w:themeColor="text1"/>
              </w:rPr>
              <w:t>a pragmatic approach to entity changes by taking early administrative actions</w:t>
            </w:r>
            <w:r w:rsidR="0095201D" w:rsidRPr="3BEC9064">
              <w:rPr>
                <w:rFonts w:eastAsia="Aptos" w:cs="Arial"/>
                <w:color w:val="000000" w:themeColor="text1"/>
              </w:rPr>
              <w:t xml:space="preserve"> </w:t>
            </w:r>
            <w:r w:rsidR="00FF74A4">
              <w:rPr>
                <w:rFonts w:eastAsia="Aptos" w:cs="Arial"/>
                <w:color w:val="000000" w:themeColor="text1"/>
              </w:rPr>
              <w:t xml:space="preserve">to start </w:t>
            </w:r>
            <w:proofErr w:type="spellStart"/>
            <w:r w:rsidR="00FF74A4">
              <w:rPr>
                <w:rFonts w:eastAsia="Aptos" w:cs="Arial"/>
                <w:color w:val="000000" w:themeColor="text1"/>
              </w:rPr>
              <w:t>realising</w:t>
            </w:r>
            <w:proofErr w:type="spellEnd"/>
            <w:r w:rsidR="00FF74A4">
              <w:rPr>
                <w:rFonts w:eastAsia="Aptos" w:cs="Arial"/>
                <w:color w:val="000000" w:themeColor="text1"/>
              </w:rPr>
              <w:t xml:space="preserve"> reform and savings</w:t>
            </w:r>
            <w:r w:rsidR="0095201D" w:rsidRPr="3BEC9064">
              <w:rPr>
                <w:rFonts w:eastAsia="Aptos" w:cs="Arial"/>
                <w:color w:val="000000" w:themeColor="text1"/>
              </w:rPr>
              <w:t xml:space="preserve"> </w:t>
            </w:r>
            <w:r w:rsidR="00956918">
              <w:rPr>
                <w:rFonts w:eastAsia="Aptos" w:cs="Arial"/>
                <w:color w:val="000000" w:themeColor="text1"/>
              </w:rPr>
              <w:t xml:space="preserve">while developing </w:t>
            </w:r>
            <w:r w:rsidR="008E7E05">
              <w:rPr>
                <w:rFonts w:eastAsia="Aptos" w:cs="Arial"/>
                <w:color w:val="000000" w:themeColor="text1"/>
              </w:rPr>
              <w:t>appropriate executive actions and legislative change.</w:t>
            </w:r>
            <w:r w:rsidR="0095201D" w:rsidRPr="3BEC9064">
              <w:rPr>
                <w:rFonts w:eastAsia="Aptos" w:cs="Arial"/>
                <w:color w:val="000000" w:themeColor="text1"/>
              </w:rPr>
              <w:t xml:space="preserve"> </w:t>
            </w:r>
          </w:p>
          <w:p w14:paraId="431D4208" w14:textId="5576BA53" w:rsidR="0095201D" w:rsidRPr="005523E0" w:rsidRDefault="0095201D" w:rsidP="00D207B3">
            <w:pPr>
              <w:pStyle w:val="ListParagraph"/>
              <w:numPr>
                <w:ilvl w:val="1"/>
                <w:numId w:val="31"/>
              </w:numPr>
              <w:spacing w:after="160" w:line="278" w:lineRule="auto"/>
              <w:ind w:left="567" w:hanging="567"/>
              <w:contextualSpacing w:val="0"/>
              <w:rPr>
                <w:color w:val="000000" w:themeColor="text1"/>
              </w:rPr>
            </w:pPr>
            <w:r w:rsidRPr="005523E0">
              <w:rPr>
                <w:color w:val="000000" w:themeColor="text1"/>
              </w:rPr>
              <w:t>Improve</w:t>
            </w:r>
            <w:r>
              <w:rPr>
                <w:color w:val="000000" w:themeColor="text1"/>
              </w:rPr>
              <w:t xml:space="preserve"> the ongoing</w:t>
            </w:r>
            <w:r w:rsidRPr="005523E0">
              <w:rPr>
                <w:color w:val="000000" w:themeColor="text1"/>
              </w:rPr>
              <w:t xml:space="preserve"> oversight and administration of </w:t>
            </w:r>
            <w:r>
              <w:rPr>
                <w:color w:val="000000" w:themeColor="text1"/>
              </w:rPr>
              <w:t xml:space="preserve">public </w:t>
            </w:r>
            <w:r w:rsidRPr="005523E0">
              <w:rPr>
                <w:color w:val="000000" w:themeColor="text1"/>
              </w:rPr>
              <w:t>entities</w:t>
            </w:r>
            <w:r>
              <w:rPr>
                <w:color w:val="000000" w:themeColor="text1"/>
              </w:rPr>
              <w:t xml:space="preserve">, </w:t>
            </w:r>
            <w:r w:rsidRPr="00BD0929">
              <w:rPr>
                <w:color w:val="000000" w:themeColor="text1"/>
              </w:rPr>
              <w:t>and embed best practice gover</w:t>
            </w:r>
            <w:r w:rsidR="00880458" w:rsidRPr="00BD0929">
              <w:rPr>
                <w:color w:val="000000" w:themeColor="text1"/>
              </w:rPr>
              <w:t>n</w:t>
            </w:r>
            <w:r w:rsidRPr="00BD0929">
              <w:rPr>
                <w:color w:val="000000" w:themeColor="text1"/>
              </w:rPr>
              <w:t>ance</w:t>
            </w:r>
            <w:r>
              <w:rPr>
                <w:color w:val="000000" w:themeColor="text1"/>
              </w:rPr>
              <w:t>,</w:t>
            </w:r>
            <w:r w:rsidRPr="005523E0">
              <w:rPr>
                <w:color w:val="000000" w:themeColor="text1"/>
              </w:rPr>
              <w:t xml:space="preserve"> by:</w:t>
            </w:r>
          </w:p>
          <w:p w14:paraId="547B01B9" w14:textId="77777777" w:rsidR="0095201D" w:rsidRDefault="0095201D" w:rsidP="00D207B3">
            <w:pPr>
              <w:pStyle w:val="ListParagraph"/>
              <w:numPr>
                <w:ilvl w:val="1"/>
                <w:numId w:val="38"/>
              </w:numPr>
              <w:spacing w:after="160" w:line="278" w:lineRule="auto"/>
              <w:ind w:left="1015" w:hanging="425"/>
              <w:contextualSpacing w:val="0"/>
              <w:rPr>
                <w:color w:val="000000" w:themeColor="text1"/>
              </w:rPr>
            </w:pPr>
            <w:r>
              <w:rPr>
                <w:color w:val="000000" w:themeColor="text1"/>
              </w:rPr>
              <w:t>Strengthening and publishing refreshed guidelines for the establishment of public sector entities to prevent further unnecessary proliferation</w:t>
            </w:r>
          </w:p>
          <w:p w14:paraId="0DFE07BA" w14:textId="53CA78E9" w:rsidR="0095201D" w:rsidRPr="002E0A6C" w:rsidRDefault="0095201D" w:rsidP="00D207B3">
            <w:pPr>
              <w:pStyle w:val="ListParagraph"/>
              <w:numPr>
                <w:ilvl w:val="1"/>
                <w:numId w:val="38"/>
              </w:numPr>
              <w:spacing w:after="160" w:line="278" w:lineRule="auto"/>
              <w:ind w:left="1015" w:hanging="425"/>
              <w:contextualSpacing w:val="0"/>
              <w:rPr>
                <w:color w:val="000000" w:themeColor="text1"/>
              </w:rPr>
            </w:pPr>
            <w:r>
              <w:rPr>
                <w:color w:val="000000" w:themeColor="text1"/>
              </w:rPr>
              <w:t>Defaulting to a single executive governance model, and where boards are needed, s</w:t>
            </w:r>
            <w:r w:rsidRPr="00B22CA7">
              <w:rPr>
                <w:color w:val="000000" w:themeColor="text1"/>
              </w:rPr>
              <w:t>treamlin</w:t>
            </w:r>
            <w:r>
              <w:rPr>
                <w:color w:val="000000" w:themeColor="text1"/>
              </w:rPr>
              <w:t>e them over time</w:t>
            </w:r>
            <w:r w:rsidRPr="00B22CA7">
              <w:rPr>
                <w:color w:val="000000" w:themeColor="text1"/>
              </w:rPr>
              <w:t xml:space="preserve"> to </w:t>
            </w:r>
            <w:r>
              <w:rPr>
                <w:color w:val="000000" w:themeColor="text1"/>
              </w:rPr>
              <w:t xml:space="preserve">a </w:t>
            </w:r>
            <w:r w:rsidRPr="00B22CA7">
              <w:rPr>
                <w:color w:val="000000" w:themeColor="text1"/>
              </w:rPr>
              <w:t>smaller number of members </w:t>
            </w:r>
          </w:p>
          <w:p w14:paraId="657B252A" w14:textId="75B5C893" w:rsidR="0095201D" w:rsidRPr="002E0A6C" w:rsidRDefault="0095201D" w:rsidP="00D207B3">
            <w:pPr>
              <w:pStyle w:val="ListParagraph"/>
              <w:numPr>
                <w:ilvl w:val="1"/>
                <w:numId w:val="38"/>
              </w:numPr>
              <w:spacing w:after="160" w:line="278" w:lineRule="auto"/>
              <w:ind w:left="1015" w:hanging="425"/>
              <w:contextualSpacing w:val="0"/>
              <w:rPr>
                <w:color w:val="000000" w:themeColor="text1"/>
              </w:rPr>
            </w:pPr>
            <w:r>
              <w:rPr>
                <w:color w:val="000000" w:themeColor="text1"/>
              </w:rPr>
              <w:t>I</w:t>
            </w:r>
            <w:r w:rsidRPr="008B73DC">
              <w:rPr>
                <w:color w:val="000000" w:themeColor="text1"/>
              </w:rPr>
              <w:t>mprov</w:t>
            </w:r>
            <w:r>
              <w:rPr>
                <w:color w:val="000000" w:themeColor="text1"/>
              </w:rPr>
              <w:t>ing</w:t>
            </w:r>
            <w:r w:rsidRPr="002E0A6C">
              <w:rPr>
                <w:color w:val="000000" w:themeColor="text1"/>
              </w:rPr>
              <w:t xml:space="preserve"> entity data collection and reporting</w:t>
            </w:r>
            <w:r>
              <w:rPr>
                <w:color w:val="000000" w:themeColor="text1"/>
              </w:rPr>
              <w:t>, e</w:t>
            </w:r>
            <w:r w:rsidRPr="002E0A6C">
              <w:rPr>
                <w:color w:val="000000" w:themeColor="text1"/>
              </w:rPr>
              <w:t>nsur</w:t>
            </w:r>
            <w:r>
              <w:rPr>
                <w:color w:val="000000" w:themeColor="text1"/>
              </w:rPr>
              <w:t>ing</w:t>
            </w:r>
            <w:r w:rsidRPr="002E0A6C">
              <w:rPr>
                <w:color w:val="000000" w:themeColor="text1"/>
              </w:rPr>
              <w:t xml:space="preserve"> consistent data</w:t>
            </w:r>
            <w:r>
              <w:rPr>
                <w:color w:val="000000" w:themeColor="text1"/>
              </w:rPr>
              <w:t xml:space="preserve"> </w:t>
            </w:r>
            <w:r w:rsidRPr="002E0A6C">
              <w:rPr>
                <w:color w:val="000000" w:themeColor="text1"/>
              </w:rPr>
              <w:t>capture across all entities</w:t>
            </w:r>
            <w:r>
              <w:rPr>
                <w:color w:val="000000" w:themeColor="text1"/>
              </w:rPr>
              <w:t>, and</w:t>
            </w:r>
            <w:r w:rsidRPr="002E0A6C">
              <w:rPr>
                <w:color w:val="000000" w:themeColor="text1"/>
              </w:rPr>
              <w:t xml:space="preserve"> fit-for-purpose reporting requirement</w:t>
            </w:r>
            <w:r>
              <w:rPr>
                <w:color w:val="000000" w:themeColor="text1"/>
              </w:rPr>
              <w:t>s</w:t>
            </w:r>
          </w:p>
          <w:p w14:paraId="404D97BF" w14:textId="198D61BB" w:rsidR="0095201D" w:rsidRPr="00046E8E" w:rsidRDefault="0095201D" w:rsidP="00D207B3">
            <w:pPr>
              <w:pStyle w:val="ListParagraph"/>
              <w:numPr>
                <w:ilvl w:val="1"/>
                <w:numId w:val="38"/>
              </w:numPr>
              <w:spacing w:after="160" w:line="278" w:lineRule="auto"/>
              <w:ind w:left="1015" w:hanging="425"/>
              <w:contextualSpacing w:val="0"/>
              <w:rPr>
                <w:color w:val="000000" w:themeColor="text1"/>
              </w:rPr>
            </w:pPr>
            <w:r>
              <w:rPr>
                <w:color w:val="000000" w:themeColor="text1"/>
              </w:rPr>
              <w:t xml:space="preserve">Enforcing </w:t>
            </w:r>
            <w:r w:rsidRPr="002E0A6C">
              <w:rPr>
                <w:color w:val="000000" w:themeColor="text1"/>
              </w:rPr>
              <w:t>public sector entity review and sunset by default after 5 years</w:t>
            </w:r>
          </w:p>
          <w:p w14:paraId="7BC34BE8" w14:textId="5FEB09AA" w:rsidR="0095201D" w:rsidRPr="00046E8E" w:rsidRDefault="0095201D" w:rsidP="00D207B3">
            <w:pPr>
              <w:pStyle w:val="ListParagraph"/>
              <w:numPr>
                <w:ilvl w:val="1"/>
                <w:numId w:val="38"/>
              </w:numPr>
              <w:spacing w:after="160" w:line="278" w:lineRule="auto"/>
              <w:ind w:left="1015" w:hanging="425"/>
              <w:contextualSpacing w:val="0"/>
              <w:rPr>
                <w:color w:val="000000" w:themeColor="text1"/>
              </w:rPr>
            </w:pPr>
            <w:r>
              <w:rPr>
                <w:color w:val="000000" w:themeColor="text1"/>
              </w:rPr>
              <w:t>E</w:t>
            </w:r>
            <w:r w:rsidRPr="00046E8E">
              <w:rPr>
                <w:color w:val="000000" w:themeColor="text1"/>
              </w:rPr>
              <w:t>xtending reviews to other forms of public sector entit</w:t>
            </w:r>
            <w:r>
              <w:rPr>
                <w:color w:val="000000" w:themeColor="text1"/>
              </w:rPr>
              <w:t>ies</w:t>
            </w:r>
            <w:r w:rsidRPr="00046E8E">
              <w:rPr>
                <w:color w:val="000000" w:themeColor="text1"/>
              </w:rPr>
              <w:t xml:space="preserve"> (including branded divisions within departments</w:t>
            </w:r>
            <w:r>
              <w:rPr>
                <w:color w:val="000000" w:themeColor="text1"/>
              </w:rPr>
              <w:t xml:space="preserve"> and </w:t>
            </w:r>
            <w:r w:rsidRPr="00046E8E">
              <w:rPr>
                <w:color w:val="000000" w:themeColor="text1"/>
              </w:rPr>
              <w:t>statutory roles).</w:t>
            </w:r>
          </w:p>
        </w:tc>
      </w:tr>
    </w:tbl>
    <w:p w14:paraId="177A5C2E" w14:textId="77777777" w:rsidR="009D2292" w:rsidRDefault="009D2292" w:rsidP="006A49AE">
      <w:bookmarkStart w:id="90" w:name="_Toc202523995"/>
    </w:p>
    <w:p w14:paraId="43C32B78" w14:textId="77777777" w:rsidR="009D2292" w:rsidRDefault="009D2292" w:rsidP="006A49AE">
      <w:r>
        <w:br w:type="page"/>
      </w:r>
    </w:p>
    <w:p w14:paraId="32293224" w14:textId="4C2F0AEE" w:rsidR="00B30CDD" w:rsidRPr="00663031" w:rsidRDefault="0068471A" w:rsidP="00B30CDD">
      <w:pPr>
        <w:pStyle w:val="Heading1"/>
      </w:pPr>
      <w:bookmarkStart w:id="91" w:name="_Toc214912015"/>
      <w:r>
        <w:lastRenderedPageBreak/>
        <w:t xml:space="preserve">Chapter 7:  </w:t>
      </w:r>
      <w:r w:rsidR="00B30CDD" w:rsidRPr="00663031">
        <w:t xml:space="preserve">Accelerating </w:t>
      </w:r>
      <w:r w:rsidR="000558BB">
        <w:t>d</w:t>
      </w:r>
      <w:r w:rsidR="00B30CDD" w:rsidRPr="00663031">
        <w:t xml:space="preserve">igital </w:t>
      </w:r>
      <w:r w:rsidR="000558BB">
        <w:t>c</w:t>
      </w:r>
      <w:r w:rsidR="00B30CDD" w:rsidRPr="00663031">
        <w:t>apability</w:t>
      </w:r>
      <w:bookmarkEnd w:id="90"/>
      <w:bookmarkEnd w:id="91"/>
    </w:p>
    <w:p w14:paraId="717550A3" w14:textId="77777777" w:rsidR="00B30CDD" w:rsidRPr="001740BC" w:rsidRDefault="00B30CDD" w:rsidP="001740BC">
      <w:pPr>
        <w:spacing w:before="160" w:after="80"/>
        <w:rPr>
          <w:rFonts w:asciiTheme="majorHAnsi" w:hAnsiTheme="majorHAnsi"/>
          <w:b/>
          <w:color w:val="0F4761" w:themeColor="accent1" w:themeShade="BF"/>
          <w:sz w:val="32"/>
          <w:szCs w:val="32"/>
        </w:rPr>
      </w:pPr>
      <w:r w:rsidRPr="001740BC">
        <w:rPr>
          <w:rFonts w:asciiTheme="majorHAnsi" w:hAnsiTheme="majorHAnsi"/>
          <w:b/>
          <w:color w:val="0F4761" w:themeColor="accent1" w:themeShade="BF"/>
          <w:sz w:val="32"/>
          <w:szCs w:val="32"/>
        </w:rPr>
        <w:t>Key points</w:t>
      </w:r>
    </w:p>
    <w:p w14:paraId="3CA37AF2" w14:textId="116A9B8D" w:rsidR="00B30CDD" w:rsidRDefault="00D72B13" w:rsidP="00862DBD">
      <w:pPr>
        <w:pStyle w:val="ShadedBoxBullet"/>
      </w:pPr>
      <w:r>
        <w:t xml:space="preserve">Victorians interact with </w:t>
      </w:r>
      <w:r w:rsidR="008365DD">
        <w:t xml:space="preserve">state </w:t>
      </w:r>
      <w:r>
        <w:t>government</w:t>
      </w:r>
      <w:r w:rsidR="00067123">
        <w:t xml:space="preserve"> services and systems</w:t>
      </w:r>
      <w:r w:rsidR="00582028">
        <w:t xml:space="preserve"> mil</w:t>
      </w:r>
      <w:r w:rsidR="00111252">
        <w:t>l</w:t>
      </w:r>
      <w:r w:rsidR="00582028">
        <w:t>ions</w:t>
      </w:r>
      <w:r w:rsidR="00111252">
        <w:t xml:space="preserve"> of</w:t>
      </w:r>
      <w:r w:rsidR="00582028">
        <w:t xml:space="preserve"> times every year.</w:t>
      </w:r>
      <w:r w:rsidR="00111252">
        <w:t xml:space="preserve"> </w:t>
      </w:r>
      <w:r w:rsidR="00B43C32">
        <w:t>The</w:t>
      </w:r>
      <w:r w:rsidR="00067123">
        <w:t xml:space="preserve"> c</w:t>
      </w:r>
      <w:r w:rsidR="00111252" w:rsidRPr="00F37932">
        <w:t>ore</w:t>
      </w:r>
      <w:r w:rsidR="00B30CDD" w:rsidRPr="00F37932">
        <w:t xml:space="preserve"> systems are fragmented and ageing</w:t>
      </w:r>
      <w:r w:rsidR="00067123">
        <w:t>, which is</w:t>
      </w:r>
      <w:r w:rsidR="00B30CDD">
        <w:t xml:space="preserve"> </w:t>
      </w:r>
      <w:r w:rsidR="00B30CDD" w:rsidRPr="00F37932">
        <w:t>driving up cost, risk</w:t>
      </w:r>
      <w:r w:rsidR="00C4065D">
        <w:t> </w:t>
      </w:r>
      <w:r w:rsidR="00B30CDD" w:rsidRPr="00F37932">
        <w:t>and inefficiency.</w:t>
      </w:r>
      <w:r w:rsidR="00B30CDD">
        <w:t xml:space="preserve"> </w:t>
      </w:r>
      <w:r w:rsidR="00B30CDD" w:rsidRPr="00EB74DE">
        <w:t xml:space="preserve"> </w:t>
      </w:r>
    </w:p>
    <w:p w14:paraId="66B067F5" w14:textId="4434896A" w:rsidR="00B30CDD" w:rsidRPr="003F6FCF" w:rsidRDefault="00B30CDD" w:rsidP="00862DBD">
      <w:pPr>
        <w:pStyle w:val="ShadedBoxBullet"/>
      </w:pPr>
      <w:r w:rsidRPr="003F6FCF">
        <w:t>The</w:t>
      </w:r>
      <w:r w:rsidR="009843AD">
        <w:t xml:space="preserve">re is a </w:t>
      </w:r>
      <w:r w:rsidR="009C3583">
        <w:t>major opportunity</w:t>
      </w:r>
      <w:r w:rsidRPr="003F6FCF">
        <w:t xml:space="preserve"> </w:t>
      </w:r>
      <w:r w:rsidR="00715ACE">
        <w:t>for the government to modernise its delivery of services th</w:t>
      </w:r>
      <w:r w:rsidR="00B42C9E">
        <w:t>rough digitisation.</w:t>
      </w:r>
      <w:r w:rsidR="00715ACE">
        <w:t xml:space="preserve"> </w:t>
      </w:r>
      <w:r w:rsidR="00822255">
        <w:t xml:space="preserve">The </w:t>
      </w:r>
      <w:r w:rsidRPr="003F6FCF">
        <w:t xml:space="preserve">Review recommends a staged, platform-enabled shared service reform model to digitise repeatable transactional services across customer services, regulatory functions, corporate services and enabling infrastructure. </w:t>
      </w:r>
    </w:p>
    <w:p w14:paraId="18911E3D" w14:textId="49B4E22A" w:rsidR="00B30CDD" w:rsidRPr="003F6FCF" w:rsidRDefault="00B30CDD" w:rsidP="00862DBD">
      <w:pPr>
        <w:pStyle w:val="ShadedBoxBullet"/>
      </w:pPr>
      <w:r w:rsidRPr="003F6FCF">
        <w:t>DGS should lead platform rollout and manage repeatable transactional services, while departments and regulators retain accountability for judgment-based decisions and enforcement actions, core service delivery and outcomes.</w:t>
      </w:r>
    </w:p>
    <w:p w14:paraId="1241C3C8" w14:textId="674A2744" w:rsidR="00B30CDD" w:rsidRDefault="00B30CDD" w:rsidP="00862DBD">
      <w:pPr>
        <w:pStyle w:val="ShadedBoxBullet"/>
      </w:pPr>
      <w:r>
        <w:t xml:space="preserve">AI has the potential to further improve services and </w:t>
      </w:r>
      <w:r w:rsidR="009773F5">
        <w:t>re</w:t>
      </w:r>
      <w:r w:rsidR="00DF7C2E">
        <w:t>d</w:t>
      </w:r>
      <w:r w:rsidR="009773F5">
        <w:t>uce</w:t>
      </w:r>
      <w:r>
        <w:t xml:space="preserve"> costs, if implemented safely and effectively.</w:t>
      </w:r>
    </w:p>
    <w:p w14:paraId="00009D49" w14:textId="77777777" w:rsidR="00B30CDD" w:rsidRDefault="00B30CDD" w:rsidP="00862DBD">
      <w:pPr>
        <w:pStyle w:val="ShadedBoxBullet"/>
      </w:pPr>
      <w:r>
        <w:t xml:space="preserve">Digitisation </w:t>
      </w:r>
      <w:r w:rsidRPr="00240D73">
        <w:t>will result in savings of $</w:t>
      </w:r>
      <w:r>
        <w:t>94</w:t>
      </w:r>
      <w:r w:rsidRPr="00240D73">
        <w:t xml:space="preserve"> million over the </w:t>
      </w:r>
      <w:r w:rsidRPr="3A0969E9">
        <w:t xml:space="preserve">forward </w:t>
      </w:r>
      <w:r w:rsidRPr="00240D73">
        <w:t xml:space="preserve">estimates and VPS reductions of 197 FTE, with benefits increasing to around $800 million by year </w:t>
      </w:r>
      <w:r>
        <w:t>10</w:t>
      </w:r>
      <w:r w:rsidRPr="00240D73">
        <w:t xml:space="preserve">. </w:t>
      </w:r>
    </w:p>
    <w:p w14:paraId="329EB3E4" w14:textId="2346B38B" w:rsidR="00B30CDD" w:rsidRPr="00BE0399" w:rsidRDefault="001740BC" w:rsidP="00074441">
      <w:pPr>
        <w:pStyle w:val="Heading2"/>
        <w:spacing w:before="360"/>
        <w:rPr>
          <w:rFonts w:ascii="Aptos" w:hAnsi="Aptos"/>
        </w:rPr>
      </w:pPr>
      <w:bookmarkStart w:id="92" w:name="_Toc202523996"/>
      <w:bookmarkStart w:id="93" w:name="_Toc214912016"/>
      <w:r>
        <w:rPr>
          <w:rFonts w:ascii="Aptos" w:hAnsi="Aptos"/>
        </w:rPr>
        <w:t xml:space="preserve">7.1   </w:t>
      </w:r>
      <w:r w:rsidR="00B30CDD">
        <w:rPr>
          <w:rFonts w:ascii="Aptos" w:hAnsi="Aptos"/>
        </w:rPr>
        <w:t>Introduction</w:t>
      </w:r>
      <w:bookmarkEnd w:id="92"/>
      <w:bookmarkEnd w:id="93"/>
    </w:p>
    <w:p w14:paraId="37A995DB" w14:textId="77777777" w:rsidR="00331A03" w:rsidRDefault="00331A03" w:rsidP="007D2140">
      <w:pPr>
        <w:sectPr w:rsidR="00331A03" w:rsidSect="00AE6104">
          <w:type w:val="continuous"/>
          <w:pgSz w:w="11906" w:h="16838"/>
          <w:pgMar w:top="1440" w:right="1440" w:bottom="1440" w:left="1440" w:header="708" w:footer="708" w:gutter="0"/>
          <w:cols w:space="708"/>
          <w:docGrid w:linePitch="360"/>
          <w15:footnoteColumns w:val="1"/>
        </w:sectPr>
      </w:pPr>
    </w:p>
    <w:p w14:paraId="0D67F86A" w14:textId="00770DF0" w:rsidR="00B30CDD" w:rsidRPr="000A153E" w:rsidRDefault="00B30CDD" w:rsidP="007D2140">
      <w:r w:rsidRPr="000A153E">
        <w:t>Victorians expect government to be easy to deal with</w:t>
      </w:r>
      <w:r w:rsidR="00282591">
        <w:t xml:space="preserve"> – </w:t>
      </w:r>
      <w:r w:rsidRPr="000A153E">
        <w:t>fast, simple and</w:t>
      </w:r>
      <w:r>
        <w:t xml:space="preserve"> connected</w:t>
      </w:r>
      <w:r w:rsidR="009773F5">
        <w:t xml:space="preserve"> –</w:t>
      </w:r>
      <w:r w:rsidRPr="00BC3262">
        <w:t xml:space="preserve"> and </w:t>
      </w:r>
      <w:r w:rsidR="009773F5">
        <w:t>e</w:t>
      </w:r>
      <w:r w:rsidRPr="00BC3262">
        <w:t>xpectations continue to rise.</w:t>
      </w:r>
      <w:r>
        <w:t xml:space="preserve"> </w:t>
      </w:r>
      <w:r w:rsidRPr="000A153E">
        <w:t>Yet too often, people must repeat information, navigate complex systems or wait for manual approvals</w:t>
      </w:r>
      <w:r>
        <w:t>. In 2023, more than 10</w:t>
      </w:r>
      <w:r w:rsidR="00C4065D">
        <w:t> </w:t>
      </w:r>
      <w:r>
        <w:t xml:space="preserve">million rules-based transactions </w:t>
      </w:r>
      <w:r w:rsidR="002147AD">
        <w:t xml:space="preserve">with Victorians </w:t>
      </w:r>
      <w:r>
        <w:t xml:space="preserve">were handled differently across </w:t>
      </w:r>
      <w:r w:rsidR="00854C4F">
        <w:t>VPS</w:t>
      </w:r>
      <w:r>
        <w:t xml:space="preserve"> agencies. </w:t>
      </w:r>
      <w:r w:rsidRPr="00BC3262">
        <w:t>Public servants also lose time navigating more than 50 bespoke HR, finance and procurement platforms. Over 40 per cent of these core systems will reach end of life within 5 years.</w:t>
      </w:r>
      <w:r w:rsidRPr="000A153E">
        <w:t xml:space="preserve"> </w:t>
      </w:r>
    </w:p>
    <w:p w14:paraId="68B1BFD0" w14:textId="7222F160" w:rsidR="00B30CDD" w:rsidRDefault="00B30CDD" w:rsidP="007D2140">
      <w:r>
        <w:t>The g</w:t>
      </w:r>
      <w:r w:rsidRPr="000A153E">
        <w:t>overnment must modernise the delivery of simple, repeatable services to improve user experience and reduce cost.</w:t>
      </w:r>
      <w:r>
        <w:t xml:space="preserve"> Successful change will have a direct impact on the government’s current and future operati</w:t>
      </w:r>
      <w:r w:rsidR="005F5747">
        <w:t>ng</w:t>
      </w:r>
      <w:r>
        <w:t xml:space="preserve"> expenses.</w:t>
      </w:r>
    </w:p>
    <w:p w14:paraId="06188F71" w14:textId="31653566" w:rsidR="00B30CDD" w:rsidRDefault="00B30CDD" w:rsidP="007D2140">
      <w:r>
        <w:t xml:space="preserve">These changes will require the government and the </w:t>
      </w:r>
      <w:r w:rsidR="004960B7">
        <w:t>VPS</w:t>
      </w:r>
      <w:r>
        <w:t xml:space="preserve"> to embrace an innovation culture – adopting a mindset of collaboration, experimentation, new partnerships and ways of working, and a willingness to do things differently. The Review finds there is much scope for change here.</w:t>
      </w:r>
    </w:p>
    <w:p w14:paraId="7FE6C726" w14:textId="77777777" w:rsidR="00331A03" w:rsidRDefault="00331A03" w:rsidP="00B30CDD">
      <w:pPr>
        <w:pStyle w:val="Heading2"/>
        <w:sectPr w:rsidR="00331A03" w:rsidSect="00331A03">
          <w:type w:val="continuous"/>
          <w:pgSz w:w="11906" w:h="16838"/>
          <w:pgMar w:top="1440" w:right="1440" w:bottom="1440" w:left="1440" w:header="708" w:footer="708" w:gutter="0"/>
          <w:cols w:num="2" w:space="708"/>
          <w:docGrid w:linePitch="360"/>
          <w15:footnoteColumns w:val="1"/>
        </w:sectPr>
      </w:pPr>
      <w:bookmarkStart w:id="94" w:name="_Toc202523997"/>
    </w:p>
    <w:p w14:paraId="12FB65B0" w14:textId="77777777" w:rsidR="00992078" w:rsidRDefault="00992078" w:rsidP="00B30CDD">
      <w:pPr>
        <w:pStyle w:val="Heading2"/>
      </w:pPr>
      <w:r>
        <w:br w:type="page"/>
      </w:r>
    </w:p>
    <w:p w14:paraId="7743A5B5" w14:textId="2F2E017A" w:rsidR="00B30CDD" w:rsidRPr="00BC3262" w:rsidRDefault="001740BC" w:rsidP="00B30CDD">
      <w:pPr>
        <w:pStyle w:val="Heading2"/>
      </w:pPr>
      <w:bookmarkStart w:id="95" w:name="_Toc214912017"/>
      <w:r w:rsidRPr="00BC3262">
        <w:lastRenderedPageBreak/>
        <w:t xml:space="preserve">7.2   </w:t>
      </w:r>
      <w:r w:rsidR="00B30CDD" w:rsidRPr="00BC3262">
        <w:t>The role of the Department of Government Services</w:t>
      </w:r>
      <w:bookmarkEnd w:id="94"/>
      <w:bookmarkEnd w:id="95"/>
      <w:r w:rsidR="00B30CDD" w:rsidRPr="00BC3262">
        <w:t xml:space="preserve"> </w:t>
      </w:r>
    </w:p>
    <w:p w14:paraId="5372FFC7" w14:textId="77777777" w:rsidR="00331A03" w:rsidRDefault="00331A03" w:rsidP="007D2140">
      <w:pPr>
        <w:sectPr w:rsidR="00331A03" w:rsidSect="00AE6104">
          <w:type w:val="continuous"/>
          <w:pgSz w:w="11906" w:h="16838"/>
          <w:pgMar w:top="1440" w:right="1440" w:bottom="1440" w:left="1440" w:header="708" w:footer="708" w:gutter="0"/>
          <w:cols w:space="708"/>
          <w:docGrid w:linePitch="360"/>
          <w15:footnoteColumns w:val="1"/>
        </w:sectPr>
      </w:pPr>
    </w:p>
    <w:p w14:paraId="793911C7" w14:textId="2DD6E77E" w:rsidR="00B30CDD" w:rsidRPr="00BC3262" w:rsidRDefault="00B30CDD" w:rsidP="007D2140">
      <w:r w:rsidRPr="00BC3262">
        <w:t xml:space="preserve">DGS was formed in 2023. Its role is to improve the experience for people interacting with and within government by connecting and digitising government platforms and streamlining corporate and procurement services. DGS functions </w:t>
      </w:r>
      <w:r w:rsidR="00431202">
        <w:t>include</w:t>
      </w:r>
      <w:r w:rsidRPr="00BC3262">
        <w:t xml:space="preserve"> digital transformation, consumer affairs, local government and other miscellaneous functions. As part of its role, DGS sets cloud hosting standards and delivers shared platforms for identi</w:t>
      </w:r>
      <w:r w:rsidR="0098154C">
        <w:t>t</w:t>
      </w:r>
      <w:r w:rsidRPr="00BC3262">
        <w:t xml:space="preserve">y, contact centres and payments.  </w:t>
      </w:r>
    </w:p>
    <w:p w14:paraId="1D6BF768" w14:textId="2EE7772F" w:rsidR="00B30CDD" w:rsidRPr="00BC3262" w:rsidRDefault="00B30CDD" w:rsidP="007D2140">
      <w:r w:rsidRPr="00BC3262">
        <w:t xml:space="preserve">The Review has examined the delivery of shared services within government and provided to the community to date. It has found important lessons that inform its recommendations </w:t>
      </w:r>
      <w:r w:rsidR="00B54E90">
        <w:t>about</w:t>
      </w:r>
      <w:r w:rsidRPr="00BC3262">
        <w:t xml:space="preserve"> accelerating digital capability in government. Digitising</w:t>
      </w:r>
      <w:r w:rsidR="00BC08F7">
        <w:t> </w:t>
      </w:r>
      <w:r w:rsidRPr="00BC3262">
        <w:t>is</w:t>
      </w:r>
      <w:r w:rsidR="00D252DC">
        <w:t> </w:t>
      </w:r>
      <w:r w:rsidRPr="00BC3262">
        <w:t>essential and will result in significant savings</w:t>
      </w:r>
      <w:r w:rsidR="001D7961">
        <w:t xml:space="preserve"> and</w:t>
      </w:r>
      <w:r w:rsidRPr="00BC3262">
        <w:t xml:space="preserve"> better customer service delivery</w:t>
      </w:r>
      <w:r w:rsidR="001D7961">
        <w:t>,</w:t>
      </w:r>
      <w:r w:rsidRPr="00BC3262">
        <w:t xml:space="preserve"> and better position government to take advantage of future technology advances.  </w:t>
      </w:r>
    </w:p>
    <w:p w14:paraId="51FF0ADA" w14:textId="35206FCB" w:rsidR="00B30CDD" w:rsidRPr="00BC3262" w:rsidRDefault="00B30CDD" w:rsidP="007D2140">
      <w:r w:rsidRPr="00BC3262">
        <w:t>The Review recommends reshaping and strengthening DGS to focus on leading and</w:t>
      </w:r>
      <w:r w:rsidR="006D1994">
        <w:t xml:space="preserve"> </w:t>
      </w:r>
      <w:r w:rsidR="006D1994">
        <w:br w:type="column"/>
      </w:r>
      <w:r w:rsidRPr="00BC3262">
        <w:t xml:space="preserve">being accountable for shared services platform rollout, managing repeatable transactional services, and </w:t>
      </w:r>
      <w:r w:rsidR="00F94078">
        <w:t>driving</w:t>
      </w:r>
      <w:r w:rsidRPr="00BC3262">
        <w:t xml:space="preserve"> the appropriate adoption of AI across government. It should have a role in any ICT</w:t>
      </w:r>
      <w:r w:rsidR="002C685C">
        <w:noBreakHyphen/>
      </w:r>
      <w:r w:rsidR="00611922">
        <w:t>related</w:t>
      </w:r>
      <w:r w:rsidRPr="00BC3262">
        <w:t xml:space="preserve"> decisions for platforms or core system replacement. </w:t>
      </w:r>
      <w:proofErr w:type="spellStart"/>
      <w:r w:rsidRPr="00BC3262">
        <w:t>CenITex</w:t>
      </w:r>
      <w:proofErr w:type="spellEnd"/>
      <w:r w:rsidRPr="00BC3262">
        <w:t xml:space="preserve"> would remain</w:t>
      </w:r>
      <w:r w:rsidR="002C685C">
        <w:t> </w:t>
      </w:r>
      <w:r w:rsidRPr="00BC3262">
        <w:t xml:space="preserve">under DGS direction and deliver secure infrastructure.  </w:t>
      </w:r>
    </w:p>
    <w:p w14:paraId="40501E45" w14:textId="0F5FC8DD" w:rsidR="00B30CDD" w:rsidRPr="00BC3262" w:rsidRDefault="00B30CDD" w:rsidP="007D2140">
      <w:r w:rsidRPr="00BC3262">
        <w:t xml:space="preserve">Under this model, DGS would not be accountable for direct regulatory or service roles. This is consistent with entity reforms proposed in Chapter 6. </w:t>
      </w:r>
    </w:p>
    <w:p w14:paraId="5CA60512" w14:textId="76624096" w:rsidR="00B30CDD" w:rsidRPr="00BC3262" w:rsidRDefault="00B30CDD" w:rsidP="007D2140">
      <w:r w:rsidRPr="00BC3262">
        <w:t xml:space="preserve">It should be reinforced to departments and regulators that they remain accountable for their overall outcomes and any decisions requiring discretion or judgement, to build support for partnerships with DGS. This would allow DGS to expand its platforms across more simple rules-based transactions – consistent with the Victorian Government Digital Strategy.  </w:t>
      </w:r>
    </w:p>
    <w:p w14:paraId="7DCB629C" w14:textId="77777777" w:rsidR="00331A03" w:rsidRDefault="00331A03" w:rsidP="00B30CDD">
      <w:pPr>
        <w:pStyle w:val="Heading2"/>
        <w:sectPr w:rsidR="00331A03" w:rsidSect="00331A03">
          <w:type w:val="continuous"/>
          <w:pgSz w:w="11906" w:h="16838"/>
          <w:pgMar w:top="1440" w:right="1440" w:bottom="1440" w:left="1440" w:header="708" w:footer="708" w:gutter="0"/>
          <w:cols w:num="2" w:space="708"/>
          <w:docGrid w:linePitch="360"/>
          <w15:footnoteColumns w:val="1"/>
        </w:sectPr>
      </w:pPr>
      <w:bookmarkStart w:id="96" w:name="_Toc202523998"/>
    </w:p>
    <w:p w14:paraId="4CC75F0D" w14:textId="2BE40CA9" w:rsidR="00B30CDD" w:rsidRDefault="001740BC" w:rsidP="00B30CDD">
      <w:pPr>
        <w:pStyle w:val="Heading2"/>
      </w:pPr>
      <w:bookmarkStart w:id="97" w:name="_Toc214912018"/>
      <w:r>
        <w:t xml:space="preserve">7.3   </w:t>
      </w:r>
      <w:r w:rsidR="00B30CDD">
        <w:t>Conditions for successful reform</w:t>
      </w:r>
      <w:bookmarkEnd w:id="96"/>
      <w:bookmarkEnd w:id="97"/>
      <w:r w:rsidR="00B30CDD">
        <w:t xml:space="preserve"> </w:t>
      </w:r>
    </w:p>
    <w:p w14:paraId="7E92FB65" w14:textId="77777777" w:rsidR="00331A03" w:rsidRDefault="00331A03" w:rsidP="007D2140">
      <w:pPr>
        <w:sectPr w:rsidR="00331A03" w:rsidSect="00AE6104">
          <w:type w:val="continuous"/>
          <w:pgSz w:w="11906" w:h="16838"/>
          <w:pgMar w:top="1440" w:right="1440" w:bottom="1440" w:left="1440" w:header="708" w:footer="708" w:gutter="0"/>
          <w:cols w:space="708"/>
          <w:docGrid w:linePitch="360"/>
          <w15:footnoteColumns w:val="1"/>
        </w:sectPr>
      </w:pPr>
    </w:p>
    <w:p w14:paraId="17965DE0" w14:textId="30169010" w:rsidR="00B30CDD" w:rsidRDefault="00B30CDD" w:rsidP="007D2140">
      <w:r w:rsidRPr="001C2DDA">
        <w:t>Other jurisdictions confirm Victoria’s experience: reforms struggle when platforms are rolled out before processes are aligned.</w:t>
      </w:r>
      <w:r w:rsidR="00C738C8">
        <w:t xml:space="preserve"> Lessons learnt from Victoria and other </w:t>
      </w:r>
      <w:r w:rsidR="00B61419">
        <w:t>jurisdictions have shaped the Review’s proposed approach to digiti</w:t>
      </w:r>
      <w:r w:rsidR="00DC2EAE">
        <w:t xml:space="preserve">sing services and </w:t>
      </w:r>
      <w:r w:rsidR="00B61419">
        <w:t>shared services reform.</w:t>
      </w:r>
    </w:p>
    <w:p w14:paraId="405F102E" w14:textId="302A7414" w:rsidR="002240A9" w:rsidRDefault="002240A9" w:rsidP="007D2140">
      <w:r w:rsidRPr="00936AA5">
        <w:t xml:space="preserve">Reforms fail when centralisation comes before standardisation, when tools are bespoke, or when support is lacking. They also fail </w:t>
      </w:r>
      <w:r>
        <w:t xml:space="preserve">when savings are extracted too early – </w:t>
      </w:r>
      <w:r w:rsidRPr="00936AA5">
        <w:t>before processes are simplified and automated</w:t>
      </w:r>
      <w:r>
        <w:t xml:space="preserve">, </w:t>
      </w:r>
      <w:r w:rsidRPr="00925FD0">
        <w:t xml:space="preserve">and when governance and </w:t>
      </w:r>
      <w:r w:rsidRPr="00925FD0">
        <w:t>accountability are not clearly communicated and understood</w:t>
      </w:r>
      <w:r>
        <w:t>.</w:t>
      </w:r>
    </w:p>
    <w:p w14:paraId="2A9C4B21" w14:textId="5178C589" w:rsidR="00F01A9F" w:rsidRDefault="00B30CDD" w:rsidP="007D2140">
      <w:r w:rsidRPr="001C2DDA">
        <w:t>Earlier initiatives</w:t>
      </w:r>
      <w:r>
        <w:t xml:space="preserve"> led by DGS – </w:t>
      </w:r>
      <w:r w:rsidRPr="001C2DDA">
        <w:t>like the Common Corporate Platforms program</w:t>
      </w:r>
      <w:r>
        <w:t xml:space="preserve"> – </w:t>
      </w:r>
      <w:r w:rsidRPr="001C2DDA">
        <w:t xml:space="preserve">highlighted the risks of digitising </w:t>
      </w:r>
      <w:r w:rsidR="00E23223">
        <w:t xml:space="preserve">services </w:t>
      </w:r>
      <w:r w:rsidRPr="001C2DDA">
        <w:t>before simplifying</w:t>
      </w:r>
      <w:r w:rsidR="00E23223">
        <w:t xml:space="preserve"> them</w:t>
      </w:r>
      <w:r w:rsidRPr="001C2DDA">
        <w:t>.</w:t>
      </w:r>
      <w:r>
        <w:t xml:space="preserve"> </w:t>
      </w:r>
      <w:r w:rsidRPr="001C2DDA">
        <w:t>Systems were configured differently for every department to accommodate variations in how</w:t>
      </w:r>
      <w:r>
        <w:t xml:space="preserve"> </w:t>
      </w:r>
      <w:r w:rsidRPr="001C2DDA">
        <w:t xml:space="preserve">common tasks were </w:t>
      </w:r>
      <w:r w:rsidR="00C738C8">
        <w:t>undertaken</w:t>
      </w:r>
      <w:r w:rsidRPr="001C2DDA">
        <w:t>.</w:t>
      </w:r>
      <w:r>
        <w:t xml:space="preserve"> </w:t>
      </w:r>
      <w:r w:rsidRPr="001C2DDA">
        <w:t xml:space="preserve">This </w:t>
      </w:r>
      <w:r>
        <w:t>approach</w:t>
      </w:r>
      <w:r w:rsidRPr="001C2DDA">
        <w:t xml:space="preserve"> limited reuse, increased customisation and made improvements harder to scale.</w:t>
      </w:r>
      <w:r>
        <w:t xml:space="preserve"> </w:t>
      </w:r>
    </w:p>
    <w:p w14:paraId="416C6864" w14:textId="64C8BDA4" w:rsidR="00B30329" w:rsidRDefault="00B30CDD" w:rsidP="007D2140">
      <w:r>
        <w:lastRenderedPageBreak/>
        <w:t>Reform should</w:t>
      </w:r>
      <w:r w:rsidRPr="001C2DDA">
        <w:t xml:space="preserve"> start with generalisable tasks</w:t>
      </w:r>
      <w:r w:rsidR="00FF5AF9">
        <w:t xml:space="preserve">. In the case of VPS </w:t>
      </w:r>
      <w:r w:rsidR="009C27EE">
        <w:t xml:space="preserve">departments’ </w:t>
      </w:r>
      <w:r w:rsidR="00FF5AF9">
        <w:t>internal corpora</w:t>
      </w:r>
      <w:r w:rsidR="009C27EE">
        <w:t>t</w:t>
      </w:r>
      <w:r w:rsidR="00FF5AF9">
        <w:t>e</w:t>
      </w:r>
      <w:r w:rsidR="009C27EE">
        <w:t xml:space="preserve"> services</w:t>
      </w:r>
      <w:r w:rsidR="00275389">
        <w:t>,</w:t>
      </w:r>
      <w:r w:rsidR="00022086">
        <w:t xml:space="preserve"> reform should start with</w:t>
      </w:r>
      <w:r w:rsidR="00275389">
        <w:t xml:space="preserve"> tasks</w:t>
      </w:r>
      <w:r>
        <w:t xml:space="preserve"> </w:t>
      </w:r>
      <w:r w:rsidRPr="001C2DDA">
        <w:t xml:space="preserve">like </w:t>
      </w:r>
      <w:r w:rsidR="00022086">
        <w:t xml:space="preserve">staff </w:t>
      </w:r>
      <w:r w:rsidRPr="001C2DDA">
        <w:t>onboarding</w:t>
      </w:r>
      <w:r w:rsidR="00022086">
        <w:t xml:space="preserve"> and</w:t>
      </w:r>
      <w:r w:rsidRPr="001C2DDA">
        <w:t xml:space="preserve"> leave approvals</w:t>
      </w:r>
      <w:r>
        <w:t xml:space="preserve">, </w:t>
      </w:r>
      <w:r w:rsidRPr="001C2DDA">
        <w:t>where it</w:t>
      </w:r>
      <w:r>
        <w:t xml:space="preserve"> i</w:t>
      </w:r>
      <w:r w:rsidRPr="001C2DDA">
        <w:t xml:space="preserve">s hard to argue </w:t>
      </w:r>
      <w:r>
        <w:t xml:space="preserve">that </w:t>
      </w:r>
      <w:r w:rsidRPr="001C2DDA">
        <w:t>they should differ</w:t>
      </w:r>
      <w:r>
        <w:t xml:space="preserve"> across departments</w:t>
      </w:r>
      <w:r w:rsidRPr="001C2DDA">
        <w:t>.</w:t>
      </w:r>
      <w:r>
        <w:t xml:space="preserve"> </w:t>
      </w:r>
      <w:r w:rsidRPr="001C2DDA">
        <w:t>Platforms are modular, allowing progressive adoption and independent updates.</w:t>
      </w:r>
      <w:r>
        <w:t xml:space="preserve"> </w:t>
      </w:r>
      <w:r w:rsidRPr="001C2DDA">
        <w:t xml:space="preserve">Customisation </w:t>
      </w:r>
      <w:r>
        <w:t xml:space="preserve">should be </w:t>
      </w:r>
      <w:r w:rsidRPr="001C2DDA">
        <w:t xml:space="preserve">limited to </w:t>
      </w:r>
      <w:r w:rsidRPr="001C2DDA">
        <w:t>essential legal, operational or workforce needs</w:t>
      </w:r>
      <w:r>
        <w:t xml:space="preserve">, </w:t>
      </w:r>
      <w:r w:rsidRPr="001C2DDA">
        <w:t>not historic practices.</w:t>
      </w:r>
      <w:r>
        <w:t xml:space="preserve"> </w:t>
      </w:r>
      <w:r w:rsidRPr="001C2DDA">
        <w:t>More complex needs</w:t>
      </w:r>
      <w:r>
        <w:t>, such as</w:t>
      </w:r>
      <w:r w:rsidRPr="001C2DDA">
        <w:t xml:space="preserve"> shift rostering</w:t>
      </w:r>
      <w:r>
        <w:t xml:space="preserve">, should be </w:t>
      </w:r>
      <w:r w:rsidRPr="001C2DDA">
        <w:t>addressed later, once core systems are proven and stable.</w:t>
      </w:r>
      <w:r>
        <w:t xml:space="preserve"> </w:t>
      </w:r>
      <w:r w:rsidRPr="001C2DDA">
        <w:t>This sequencing builds trust, capability and early value</w:t>
      </w:r>
      <w:r>
        <w:t xml:space="preserve">, </w:t>
      </w:r>
      <w:r w:rsidRPr="001C2DDA">
        <w:t xml:space="preserve">while avoiding the trap of digitising fragmented </w:t>
      </w:r>
      <w:r w:rsidR="00773C35">
        <w:t xml:space="preserve">and bespoke </w:t>
      </w:r>
      <w:r w:rsidRPr="001C2DDA">
        <w:t>practices.</w:t>
      </w:r>
    </w:p>
    <w:p w14:paraId="67C3544A" w14:textId="77777777" w:rsidR="00331A03" w:rsidRDefault="00331A03" w:rsidP="00B30CDD">
      <w:pPr>
        <w:pStyle w:val="Heading2"/>
        <w:sectPr w:rsidR="00331A03" w:rsidSect="00331A03">
          <w:type w:val="continuous"/>
          <w:pgSz w:w="11906" w:h="16838"/>
          <w:pgMar w:top="1440" w:right="1440" w:bottom="1440" w:left="1440" w:header="708" w:footer="708" w:gutter="0"/>
          <w:cols w:num="2" w:space="708"/>
          <w:docGrid w:linePitch="360"/>
          <w15:footnoteColumns w:val="1"/>
        </w:sectPr>
      </w:pPr>
      <w:bookmarkStart w:id="98" w:name="_Toc202523999"/>
    </w:p>
    <w:p w14:paraId="04712AD0" w14:textId="0BF9D1A1" w:rsidR="00B30CDD" w:rsidRPr="00936AA5" w:rsidRDefault="001740BC" w:rsidP="00B30CDD">
      <w:pPr>
        <w:pStyle w:val="Heading2"/>
      </w:pPr>
      <w:bookmarkStart w:id="99" w:name="_Toc214912019"/>
      <w:r>
        <w:t xml:space="preserve">7.4   </w:t>
      </w:r>
      <w:r w:rsidR="00B30CDD">
        <w:t>Digital reform priorities</w:t>
      </w:r>
      <w:bookmarkEnd w:id="98"/>
      <w:bookmarkEnd w:id="99"/>
    </w:p>
    <w:p w14:paraId="6AC7683B" w14:textId="77777777" w:rsidR="00F06454" w:rsidRDefault="00F06454" w:rsidP="007D2140">
      <w:pPr>
        <w:sectPr w:rsidR="00F06454" w:rsidSect="00AE6104">
          <w:type w:val="continuous"/>
          <w:pgSz w:w="11906" w:h="16838"/>
          <w:pgMar w:top="1440" w:right="1440" w:bottom="1440" w:left="1440" w:header="708" w:footer="708" w:gutter="0"/>
          <w:cols w:space="708"/>
          <w:docGrid w:linePitch="360"/>
          <w15:footnoteColumns w:val="1"/>
        </w:sectPr>
      </w:pPr>
    </w:p>
    <w:p w14:paraId="04842889" w14:textId="77777777" w:rsidR="00B30CDD" w:rsidRDefault="00B30CDD" w:rsidP="007D2140">
      <w:r>
        <w:t>The Review considers the d</w:t>
      </w:r>
      <w:r w:rsidRPr="00EC6439">
        <w:t xml:space="preserve">igital reform </w:t>
      </w:r>
      <w:r>
        <w:t xml:space="preserve">priorities for </w:t>
      </w:r>
      <w:r w:rsidRPr="000F2ABF">
        <w:t>Victoria</w:t>
      </w:r>
      <w:r>
        <w:t xml:space="preserve"> are</w:t>
      </w:r>
      <w:r w:rsidRPr="000F2ABF">
        <w:t>:</w:t>
      </w:r>
    </w:p>
    <w:p w14:paraId="5D13C15F" w14:textId="77777777" w:rsidR="00B30CDD" w:rsidRDefault="00B30CDD" w:rsidP="00D207B3">
      <w:pPr>
        <w:pStyle w:val="ListParagraph"/>
        <w:numPr>
          <w:ilvl w:val="0"/>
          <w:numId w:val="45"/>
        </w:numPr>
        <w:contextualSpacing w:val="0"/>
      </w:pPr>
      <w:r w:rsidRPr="000F2ABF">
        <w:t>Regulatory and customer service platforms</w:t>
      </w:r>
    </w:p>
    <w:p w14:paraId="59EE3CCA" w14:textId="77777777" w:rsidR="00B30CDD" w:rsidRDefault="00B30CDD" w:rsidP="00D207B3">
      <w:pPr>
        <w:pStyle w:val="ListParagraph"/>
        <w:numPr>
          <w:ilvl w:val="0"/>
          <w:numId w:val="45"/>
        </w:numPr>
        <w:contextualSpacing w:val="0"/>
      </w:pPr>
      <w:r w:rsidRPr="000F2ABF">
        <w:t>Corporate services for the VPS</w:t>
      </w:r>
    </w:p>
    <w:p w14:paraId="239F0513" w14:textId="77777777" w:rsidR="00B30CDD" w:rsidRDefault="00B30CDD" w:rsidP="00D207B3">
      <w:pPr>
        <w:pStyle w:val="ListParagraph"/>
        <w:numPr>
          <w:ilvl w:val="0"/>
          <w:numId w:val="45"/>
        </w:numPr>
        <w:contextualSpacing w:val="0"/>
      </w:pPr>
      <w:r w:rsidRPr="000F2ABF">
        <w:t>Enabling digital infrastructure</w:t>
      </w:r>
    </w:p>
    <w:p w14:paraId="26926EC3" w14:textId="77777777" w:rsidR="00B30CDD" w:rsidRDefault="00B30CDD" w:rsidP="00D207B3">
      <w:pPr>
        <w:pStyle w:val="ListParagraph"/>
        <w:numPr>
          <w:ilvl w:val="0"/>
          <w:numId w:val="45"/>
        </w:numPr>
        <w:contextualSpacing w:val="0"/>
      </w:pPr>
      <w:r w:rsidRPr="000F2ABF">
        <w:t>Responsible and scalable use of AI across government</w:t>
      </w:r>
      <w:r>
        <w:t>.</w:t>
      </w:r>
    </w:p>
    <w:p w14:paraId="5AB005E8" w14:textId="4EF38288" w:rsidR="00B30CDD" w:rsidRDefault="00B30CDD" w:rsidP="007D2140">
      <w:r>
        <w:t>Each of these is discussed in more detail</w:t>
      </w:r>
      <w:r w:rsidR="005540D0">
        <w:t> </w:t>
      </w:r>
      <w:r>
        <w:t>below, including a description of how</w:t>
      </w:r>
      <w:r w:rsidR="005540D0">
        <w:t> </w:t>
      </w:r>
      <w:r>
        <w:t xml:space="preserve">they should be progressed if adopted by government.  </w:t>
      </w:r>
    </w:p>
    <w:p w14:paraId="2DDF71AB" w14:textId="77777777" w:rsidR="00B30CDD" w:rsidRPr="00FC21FE" w:rsidRDefault="00B30CDD" w:rsidP="00687E6B">
      <w:pPr>
        <w:pStyle w:val="Heading3"/>
        <w:rPr>
          <w:szCs w:val="26"/>
        </w:rPr>
      </w:pPr>
      <w:r w:rsidRPr="00FC21FE">
        <w:rPr>
          <w:szCs w:val="26"/>
        </w:rPr>
        <w:t xml:space="preserve">Regulatory and customer service platforms </w:t>
      </w:r>
    </w:p>
    <w:p w14:paraId="70188589" w14:textId="35254508" w:rsidR="00B30CDD" w:rsidRPr="00C07C48" w:rsidRDefault="00B30CDD" w:rsidP="007D2140">
      <w:r w:rsidRPr="00C07C48">
        <w:t xml:space="preserve">Victorians interact with government </w:t>
      </w:r>
      <w:r>
        <w:t>more than</w:t>
      </w:r>
      <w:r w:rsidRPr="00C07C48">
        <w:t xml:space="preserve"> 10 million times a year</w:t>
      </w:r>
      <w:r>
        <w:t xml:space="preserve">, </w:t>
      </w:r>
      <w:r w:rsidRPr="00C07C48">
        <w:t xml:space="preserve">applying for </w:t>
      </w:r>
      <w:r>
        <w:t>permits</w:t>
      </w:r>
      <w:r w:rsidRPr="00C07C48">
        <w:t>, registering businesses or seeking grants. Most of these follow repeatable rules and do</w:t>
      </w:r>
      <w:r>
        <w:t xml:space="preserve"> </w:t>
      </w:r>
      <w:r w:rsidRPr="00C07C48">
        <w:t>n</w:t>
      </w:r>
      <w:r>
        <w:t>o</w:t>
      </w:r>
      <w:r w:rsidRPr="00C07C48">
        <w:t>t require bespoke systems, yet agenc</w:t>
      </w:r>
      <w:r w:rsidR="00BF1D2C">
        <w:t>ies</w:t>
      </w:r>
      <w:r>
        <w:t xml:space="preserve"> </w:t>
      </w:r>
      <w:r w:rsidRPr="00C07C48">
        <w:t>deliver them separately</w:t>
      </w:r>
      <w:r w:rsidR="00485F2F">
        <w:t xml:space="preserve">, </w:t>
      </w:r>
      <w:r w:rsidRPr="00C07C48">
        <w:t>caus</w:t>
      </w:r>
      <w:r w:rsidR="00485F2F">
        <w:t>ing</w:t>
      </w:r>
      <w:r w:rsidRPr="00C07C48">
        <w:t xml:space="preserve"> duplication</w:t>
      </w:r>
      <w:r>
        <w:t xml:space="preserve"> and</w:t>
      </w:r>
      <w:r w:rsidRPr="00C07C48">
        <w:t xml:space="preserve"> delays</w:t>
      </w:r>
      <w:r>
        <w:t>.</w:t>
      </w:r>
    </w:p>
    <w:p w14:paraId="77C7BF7E" w14:textId="00DF0A32" w:rsidR="00B30CDD" w:rsidRPr="00C07C48" w:rsidRDefault="00B30CDD" w:rsidP="007D2140">
      <w:r w:rsidRPr="00C07C48">
        <w:t xml:space="preserve">Government </w:t>
      </w:r>
      <w:r>
        <w:t xml:space="preserve">can </w:t>
      </w:r>
      <w:r w:rsidRPr="00C07C48">
        <w:t xml:space="preserve">digitise these </w:t>
      </w:r>
      <w:r>
        <w:t xml:space="preserve">repeatable transactions </w:t>
      </w:r>
      <w:r w:rsidRPr="00C07C48">
        <w:t>by scaling DGS’s existing platforms</w:t>
      </w:r>
      <w:r>
        <w:t xml:space="preserve">, </w:t>
      </w:r>
      <w:r w:rsidRPr="00C07C48">
        <w:t xml:space="preserve">like identity verification, grants and contact centres. DGS already manages </w:t>
      </w:r>
      <w:r>
        <w:t>more than</w:t>
      </w:r>
      <w:r w:rsidRPr="00C07C48">
        <w:t xml:space="preserve"> 500,000 calls annually across multiple departments. These platforms should be integrated and expanded for </w:t>
      </w:r>
      <w:r w:rsidRPr="00C07C48">
        <w:t>whole-of-government use.</w:t>
      </w:r>
      <w:r>
        <w:t xml:space="preserve"> Departments and DGS need to work closely together to implement quickly and monitor solutions.</w:t>
      </w:r>
    </w:p>
    <w:p w14:paraId="1910FAE9" w14:textId="3035AD12" w:rsidR="00B30CDD" w:rsidRPr="00381116" w:rsidRDefault="00B30CDD" w:rsidP="007D2140">
      <w:r w:rsidRPr="00671EA5">
        <w:t xml:space="preserve">DGS should expand the </w:t>
      </w:r>
      <w:r w:rsidR="00BE3FCF">
        <w:t>existing</w:t>
      </w:r>
      <w:r w:rsidRPr="00671EA5">
        <w:t xml:space="preserve"> grants platform to cover application, assessment, payment, and reporting, while consolidating billing and data tools to reduce duplication and improve reliability.</w:t>
      </w:r>
    </w:p>
    <w:p w14:paraId="3B766E53" w14:textId="0939CCC1" w:rsidR="00B30CDD" w:rsidRPr="00381116" w:rsidRDefault="00B30CDD" w:rsidP="007D2140">
      <w:r w:rsidRPr="00381116">
        <w:t xml:space="preserve">Contact </w:t>
      </w:r>
      <w:r w:rsidR="00BF4B11">
        <w:t>centres</w:t>
      </w:r>
      <w:r w:rsidRPr="00381116">
        <w:t xml:space="preserve"> should be streamlined. A</w:t>
      </w:r>
      <w:r>
        <w:t xml:space="preserve">ccess to Victorian Government </w:t>
      </w:r>
      <w:r w:rsidR="00A354C2">
        <w:t xml:space="preserve">contact </w:t>
      </w:r>
      <w:r w:rsidR="0066570D">
        <w:t>centres</w:t>
      </w:r>
      <w:r>
        <w:t xml:space="preserve"> should be via a</w:t>
      </w:r>
      <w:r w:rsidRPr="00381116">
        <w:t xml:space="preserve"> single number and shared digital front door </w:t>
      </w:r>
      <w:r>
        <w:t>to</w:t>
      </w:r>
      <w:r w:rsidRPr="00381116">
        <w:t xml:space="preserve"> provide consistent access to routine queries. DGS</w:t>
      </w:r>
      <w:r w:rsidR="00E1071C">
        <w:t> </w:t>
      </w:r>
      <w:r w:rsidRPr="00381116">
        <w:t>should start with business-facing and regulatory contact centres, with departments retaining complex or sensitive cases.</w:t>
      </w:r>
      <w:r>
        <w:t xml:space="preserve"> DGS </w:t>
      </w:r>
      <w:r w:rsidR="00BC0194">
        <w:t>sh</w:t>
      </w:r>
      <w:r>
        <w:t>ould partner with relevant entities to develop the appropriate triage</w:t>
      </w:r>
      <w:r w:rsidR="0068590A">
        <w:t> </w:t>
      </w:r>
      <w:r>
        <w:t>model.</w:t>
      </w:r>
    </w:p>
    <w:p w14:paraId="49732A0A" w14:textId="275416A7" w:rsidR="00B30CDD" w:rsidRPr="00381116" w:rsidRDefault="00B30CDD" w:rsidP="007D2140">
      <w:r w:rsidRPr="00381116">
        <w:t>A central entry point</w:t>
      </w:r>
      <w:r w:rsidR="00CD5442">
        <w:t xml:space="preserve"> for </w:t>
      </w:r>
      <w:r w:rsidRPr="00381116">
        <w:t xml:space="preserve">complaints </w:t>
      </w:r>
      <w:r w:rsidR="00CD5442">
        <w:t>handling</w:t>
      </w:r>
      <w:r w:rsidRPr="00381116">
        <w:t xml:space="preserve"> should triage and resolve simple issues</w:t>
      </w:r>
      <w:r>
        <w:t xml:space="preserve">, </w:t>
      </w:r>
      <w:r w:rsidRPr="00381116">
        <w:t>such as updating contact details</w:t>
      </w:r>
      <w:r>
        <w:t xml:space="preserve">, </w:t>
      </w:r>
      <w:r w:rsidRPr="00381116">
        <w:t xml:space="preserve">while referring complex matters to the appropriate department or regulator. </w:t>
      </w:r>
      <w:r w:rsidR="007211B4">
        <w:t>Regular reports with t</w:t>
      </w:r>
      <w:r w:rsidRPr="00381116">
        <w:t xml:space="preserve">hemes synthesised </w:t>
      </w:r>
      <w:r w:rsidR="007211B4">
        <w:t xml:space="preserve">need to be provided to </w:t>
      </w:r>
      <w:r w:rsidR="001401E9">
        <w:t xml:space="preserve">the relevant agencies </w:t>
      </w:r>
      <w:r w:rsidRPr="00381116">
        <w:t>to inform service improvements.</w:t>
      </w:r>
    </w:p>
    <w:p w14:paraId="62208AD6" w14:textId="462F7223" w:rsidR="00B30CDD" w:rsidRPr="00381116" w:rsidRDefault="00B30CDD" w:rsidP="007D2140">
      <w:r w:rsidRPr="00381116">
        <w:t>DGS should manage regulatory transactions that involve no discretion</w:t>
      </w:r>
      <w:r>
        <w:t xml:space="preserve">, </w:t>
      </w:r>
      <w:r w:rsidRPr="00381116">
        <w:t>like</w:t>
      </w:r>
      <w:r w:rsidR="0068590A">
        <w:t> </w:t>
      </w:r>
      <w:r w:rsidRPr="00381116">
        <w:t xml:space="preserve">verifying identity or issuing digital </w:t>
      </w:r>
      <w:r w:rsidRPr="00381116">
        <w:lastRenderedPageBreak/>
        <w:t xml:space="preserve">credentials after a regulator registers a professional. </w:t>
      </w:r>
      <w:r>
        <w:t xml:space="preserve">Clear rules governing these transactions should be developed by the regulator and agreed with and implemented by DGS. </w:t>
      </w:r>
      <w:r w:rsidRPr="00381116">
        <w:t>Judgment-based decisions, such as licensing assessments</w:t>
      </w:r>
      <w:r>
        <w:t>, investigations</w:t>
      </w:r>
      <w:r w:rsidRPr="00381116">
        <w:t xml:space="preserve"> or enforcement actions, must remain with specialist regulators</w:t>
      </w:r>
      <w:r>
        <w:t>.</w:t>
      </w:r>
    </w:p>
    <w:p w14:paraId="157B1F58" w14:textId="77777777" w:rsidR="00B30CDD" w:rsidRPr="00381116" w:rsidRDefault="00B30CDD" w:rsidP="007D2140">
      <w:r w:rsidRPr="00381116">
        <w:t>DGS’</w:t>
      </w:r>
      <w:r>
        <w:t>s</w:t>
      </w:r>
      <w:r w:rsidRPr="00381116">
        <w:t xml:space="preserve"> role is to provide platforms and transactional support that enable regulators to focus on core responsibilities</w:t>
      </w:r>
      <w:r>
        <w:t xml:space="preserve">, </w:t>
      </w:r>
      <w:r w:rsidRPr="00381116">
        <w:t>while improving consistency, security,</w:t>
      </w:r>
      <w:r>
        <w:t xml:space="preserve"> reporting</w:t>
      </w:r>
      <w:r w:rsidRPr="00381116">
        <w:t xml:space="preserve"> and user experience.</w:t>
      </w:r>
    </w:p>
    <w:p w14:paraId="2F6E2027" w14:textId="3387BCF7" w:rsidR="00B30CDD" w:rsidRPr="00381116" w:rsidRDefault="00B30CDD" w:rsidP="007D2140">
      <w:r w:rsidRPr="00381116">
        <w:t xml:space="preserve">These reforms could consolidate </w:t>
      </w:r>
      <w:r>
        <w:t>more than</w:t>
      </w:r>
      <w:r w:rsidRPr="00381116">
        <w:t xml:space="preserve"> 50 services and avoid up to $250 million in annual costs by year </w:t>
      </w:r>
      <w:r>
        <w:t>10</w:t>
      </w:r>
      <w:r w:rsidRPr="00381116">
        <w:t>.</w:t>
      </w:r>
      <w:r>
        <w:t xml:space="preserve"> They would also improve the experience for businesses and </w:t>
      </w:r>
      <w:r w:rsidR="00DE6497">
        <w:t>citizens</w:t>
      </w:r>
      <w:r>
        <w:t xml:space="preserve"> when interacting with government. </w:t>
      </w:r>
    </w:p>
    <w:p w14:paraId="42514C6B" w14:textId="6D4447BF" w:rsidR="0018183C" w:rsidRDefault="0018183C" w:rsidP="0018183C">
      <w:r w:rsidRPr="00C07C48">
        <w:t>As capabilities grow, DGS should work with departments to close remaining gaps and deliver seamless, end-to-end digital journeys</w:t>
      </w:r>
      <w:r>
        <w:t xml:space="preserve"> (Figure 7.1)</w:t>
      </w:r>
      <w:r w:rsidRPr="00C07C48">
        <w:t>. These must combine platforms, business rules and user interfaces. DGS should also explore connections with Commonwealth systems</w:t>
      </w:r>
      <w:r>
        <w:t xml:space="preserve">, </w:t>
      </w:r>
      <w:r w:rsidRPr="00C07C48">
        <w:t>such as shared identity verification.</w:t>
      </w:r>
    </w:p>
    <w:p w14:paraId="7EF680D6" w14:textId="77777777" w:rsidR="00F06454" w:rsidRDefault="00F06454" w:rsidP="008A11DB">
      <w:pPr>
        <w:pStyle w:val="Figureheading"/>
        <w:sectPr w:rsidR="00F06454" w:rsidSect="00F06454">
          <w:type w:val="continuous"/>
          <w:pgSz w:w="11906" w:h="16838"/>
          <w:pgMar w:top="1440" w:right="1440" w:bottom="1440" w:left="1440" w:header="708" w:footer="708" w:gutter="0"/>
          <w:cols w:num="2" w:space="708"/>
          <w:docGrid w:linePitch="360"/>
          <w15:footnoteColumns w:val="1"/>
        </w:sectPr>
      </w:pPr>
    </w:p>
    <w:p w14:paraId="43ED79D7" w14:textId="2003BCF4" w:rsidR="0018183C" w:rsidRDefault="0018183C" w:rsidP="008A11DB">
      <w:pPr>
        <w:pStyle w:val="Figureheading"/>
      </w:pPr>
      <w:r w:rsidRPr="00B81FE8">
        <w:t xml:space="preserve">Figure </w:t>
      </w:r>
      <w:r>
        <w:t>7.</w:t>
      </w:r>
      <w:r w:rsidR="00F06164">
        <w:fldChar w:fldCharType="begin"/>
      </w:r>
      <w:r w:rsidR="00F06164">
        <w:instrText xml:space="preserve"> SEQ Figure \* ARABIC \s 1 </w:instrText>
      </w:r>
      <w:r w:rsidR="00F06164">
        <w:fldChar w:fldCharType="separate"/>
      </w:r>
      <w:r w:rsidR="009D1283">
        <w:rPr>
          <w:noProof/>
        </w:rPr>
        <w:t>1</w:t>
      </w:r>
      <w:r w:rsidR="00F06164">
        <w:rPr>
          <w:noProof/>
        </w:rPr>
        <w:fldChar w:fldCharType="end"/>
      </w:r>
      <w:r w:rsidRPr="00B81FE8">
        <w:t>:</w:t>
      </w:r>
      <w:r>
        <w:t xml:space="preserve"> </w:t>
      </w:r>
      <w:r w:rsidRPr="00B81FE8">
        <w:t xml:space="preserve">Customer journey case study </w:t>
      </w:r>
      <w:r w:rsidR="00961783">
        <w:t>–</w:t>
      </w:r>
      <w:r w:rsidRPr="00B81FE8">
        <w:t xml:space="preserve"> Parent &amp; child</w:t>
      </w:r>
    </w:p>
    <w:p w14:paraId="3F968C42" w14:textId="48EC9A6D" w:rsidR="0003211C" w:rsidRPr="00B81FE8" w:rsidRDefault="00D86573" w:rsidP="0003211C">
      <w:r>
        <w:rPr>
          <w:noProof/>
        </w:rPr>
        <w:drawing>
          <wp:inline distT="0" distB="0" distL="0" distR="0" wp14:anchorId="37ED282E" wp14:editId="43FC2D49">
            <wp:extent cx="6025202" cy="2706201"/>
            <wp:effectExtent l="0" t="0" r="0" b="0"/>
            <wp:docPr id="1467568475" name="Picture 4" descr="Displays a stylised case study of a customer journey of a parent and a child. The left panel illustrates the current state, which involves customers engaging with multiple parts of Government to access a range of services. The right panel displays an end state where end to end engagement is a digital experience with Service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68475" name="Picture 4" descr="Displays a stylised case study of a customer journey of a parent and a child. The left panel illustrates the current state, which involves customers engaging with multiple parts of Government to access a range of services. The right panel displays an end state where end to end engagement is a digital experience with Services Victoria."/>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31148" cy="2708871"/>
                    </a:xfrm>
                    <a:prstGeom prst="rect">
                      <a:avLst/>
                    </a:prstGeom>
                  </pic:spPr>
                </pic:pic>
              </a:graphicData>
            </a:graphic>
          </wp:inline>
        </w:drawing>
      </w:r>
    </w:p>
    <w:p w14:paraId="08680633" w14:textId="5A304FF4" w:rsidR="0018183C" w:rsidRPr="00296AB2" w:rsidRDefault="0018183C" w:rsidP="00A7336A">
      <w:pPr>
        <w:pStyle w:val="Caption"/>
        <w:spacing w:before="240"/>
      </w:pPr>
      <w:r w:rsidRPr="00F56D72">
        <w:t xml:space="preserve">Source: </w:t>
      </w:r>
      <w:r w:rsidRPr="008012DB">
        <w:t>Independent Review</w:t>
      </w:r>
      <w:r>
        <w:t xml:space="preserve"> of the VPS</w:t>
      </w:r>
      <w:r w:rsidR="00237CE2">
        <w:t>,</w:t>
      </w:r>
      <w:r>
        <w:t xml:space="preserve"> </w:t>
      </w:r>
      <w:r w:rsidRPr="008012DB">
        <w:t>2025</w:t>
      </w:r>
    </w:p>
    <w:p w14:paraId="51B9970A" w14:textId="77777777" w:rsidR="00F06454" w:rsidRDefault="00F06454" w:rsidP="00C865E3">
      <w:pPr>
        <w:pStyle w:val="Heading3"/>
        <w:spacing w:before="0"/>
        <w:rPr>
          <w:szCs w:val="26"/>
        </w:rPr>
        <w:sectPr w:rsidR="00F06454" w:rsidSect="00AE6104">
          <w:type w:val="continuous"/>
          <w:pgSz w:w="11906" w:h="16838"/>
          <w:pgMar w:top="1440" w:right="1440" w:bottom="1440" w:left="1440" w:header="708" w:footer="708" w:gutter="0"/>
          <w:cols w:space="708"/>
          <w:docGrid w:linePitch="360"/>
          <w15:footnoteColumns w:val="1"/>
        </w:sectPr>
      </w:pPr>
    </w:p>
    <w:p w14:paraId="2ED43FF3" w14:textId="3BE4DF52" w:rsidR="00B30CDD" w:rsidRPr="00D77B11" w:rsidRDefault="00B30CDD" w:rsidP="00C865E3">
      <w:pPr>
        <w:pStyle w:val="Heading3"/>
        <w:spacing w:before="0"/>
        <w:rPr>
          <w:szCs w:val="26"/>
        </w:rPr>
      </w:pPr>
      <w:r w:rsidRPr="00D77B11">
        <w:rPr>
          <w:szCs w:val="26"/>
        </w:rPr>
        <w:t xml:space="preserve">Corporate services </w:t>
      </w:r>
      <w:r w:rsidR="00113AE8">
        <w:rPr>
          <w:szCs w:val="26"/>
        </w:rPr>
        <w:t>for the VPS</w:t>
      </w:r>
      <w:r w:rsidRPr="00D77B11">
        <w:rPr>
          <w:szCs w:val="26"/>
        </w:rPr>
        <w:t xml:space="preserve"> </w:t>
      </w:r>
    </w:p>
    <w:p w14:paraId="1FA62791" w14:textId="1D01611B" w:rsidR="00B30CDD" w:rsidRDefault="00B30CDD" w:rsidP="007D2140">
      <w:r w:rsidRPr="004173F4">
        <w:t>The VPS uses more than 50 separate corporate systems</w:t>
      </w:r>
      <w:r>
        <w:t>.</w:t>
      </w:r>
      <w:r w:rsidRPr="004173F4">
        <w:t xml:space="preserve"> Transfers </w:t>
      </w:r>
      <w:r>
        <w:t xml:space="preserve">of staff </w:t>
      </w:r>
      <w:r w:rsidRPr="004173F4">
        <w:t xml:space="preserve">between departments can take up to </w:t>
      </w:r>
      <w:r w:rsidR="00553D2B" w:rsidRPr="003F366C">
        <w:t>4</w:t>
      </w:r>
      <w:r w:rsidR="00B16A44" w:rsidRPr="003F366C">
        <w:t>.5</w:t>
      </w:r>
      <w:r w:rsidR="00C865E3">
        <w:t> </w:t>
      </w:r>
      <w:r w:rsidR="0069594D" w:rsidRPr="003F366C">
        <w:t>months to complete</w:t>
      </w:r>
      <w:r>
        <w:t>,</w:t>
      </w:r>
      <w:r w:rsidRPr="004173F4">
        <w:t xml:space="preserve"> </w:t>
      </w:r>
      <w:r>
        <w:t>and r</w:t>
      </w:r>
      <w:r w:rsidRPr="004173F4">
        <w:t>outine processes are slow and inconsistent.</w:t>
      </w:r>
    </w:p>
    <w:p w14:paraId="4448BACB" w14:textId="0420343E" w:rsidR="00B30CDD" w:rsidRPr="004173F4" w:rsidRDefault="00C5738B" w:rsidP="007D2140">
      <w:r>
        <w:br w:type="column"/>
      </w:r>
      <w:r w:rsidR="00B30CDD">
        <w:t xml:space="preserve">In a more digitised state, considerable efficiencies are possible:  </w:t>
      </w:r>
    </w:p>
    <w:p w14:paraId="3532E4C6" w14:textId="15F4514C" w:rsidR="00B30CDD" w:rsidRDefault="00B30CDD" w:rsidP="00D207B3">
      <w:pPr>
        <w:pStyle w:val="ListParagraph"/>
        <w:numPr>
          <w:ilvl w:val="0"/>
          <w:numId w:val="47"/>
        </w:numPr>
        <w:contextualSpacing w:val="0"/>
      </w:pPr>
      <w:r w:rsidRPr="004173F4">
        <w:t xml:space="preserve">All </w:t>
      </w:r>
      <w:r w:rsidRPr="00F640D2">
        <w:t xml:space="preserve">VPS staff </w:t>
      </w:r>
      <w:r w:rsidR="008710DB">
        <w:t xml:space="preserve">would </w:t>
      </w:r>
      <w:r w:rsidRPr="00F640D2">
        <w:t xml:space="preserve">use a single </w:t>
      </w:r>
      <w:r>
        <w:t>employee number</w:t>
      </w:r>
      <w:r w:rsidRPr="00F640D2">
        <w:t xml:space="preserve"> and email so </w:t>
      </w:r>
      <w:r>
        <w:t xml:space="preserve">that </w:t>
      </w:r>
      <w:r w:rsidRPr="00F640D2">
        <w:t>access and credentials move with them</w:t>
      </w:r>
      <w:r w:rsidR="008710DB">
        <w:t xml:space="preserve"> between departments</w:t>
      </w:r>
      <w:r w:rsidR="00B36166">
        <w:t xml:space="preserve"> (Figure</w:t>
      </w:r>
      <w:r w:rsidR="00C865E3">
        <w:t> </w:t>
      </w:r>
      <w:r w:rsidR="00B36166">
        <w:t>7.2)</w:t>
      </w:r>
      <w:r w:rsidRPr="00F640D2">
        <w:t xml:space="preserve">. </w:t>
      </w:r>
    </w:p>
    <w:p w14:paraId="7C7F5066" w14:textId="0D75C4BE" w:rsidR="00B30CDD" w:rsidRDefault="00963218" w:rsidP="00D207B3">
      <w:pPr>
        <w:pStyle w:val="ListParagraph"/>
        <w:numPr>
          <w:ilvl w:val="0"/>
          <w:numId w:val="47"/>
        </w:numPr>
        <w:contextualSpacing w:val="0"/>
      </w:pPr>
      <w:r>
        <w:br w:type="column"/>
      </w:r>
      <w:r w:rsidR="00B30CDD">
        <w:lastRenderedPageBreak/>
        <w:t>R</w:t>
      </w:r>
      <w:r w:rsidR="00B30CDD" w:rsidRPr="00F76245">
        <w:t>epeatable corporate tasks</w:t>
      </w:r>
      <w:r w:rsidR="00B30CDD">
        <w:t xml:space="preserve"> </w:t>
      </w:r>
      <w:r w:rsidR="001D0379">
        <w:t>(</w:t>
      </w:r>
      <w:r w:rsidR="00B30CDD" w:rsidRPr="00F76245">
        <w:t>onboarding, leave approvals, correspondence, and basic finance and procurement</w:t>
      </w:r>
      <w:r w:rsidR="001D0379">
        <w:t>)</w:t>
      </w:r>
      <w:r w:rsidR="00B30CDD">
        <w:t xml:space="preserve"> </w:t>
      </w:r>
      <w:r w:rsidR="001D0379">
        <w:t>would be</w:t>
      </w:r>
      <w:r w:rsidR="00B30CDD">
        <w:t xml:space="preserve"> standardised </w:t>
      </w:r>
      <w:r w:rsidR="00B30CDD" w:rsidRPr="00F76245">
        <w:t>via shared platforms</w:t>
      </w:r>
      <w:r w:rsidR="00B30CDD">
        <w:t>.</w:t>
      </w:r>
    </w:p>
    <w:p w14:paraId="57E439DE" w14:textId="0B1EB364" w:rsidR="00F06454" w:rsidRDefault="00B30CDD" w:rsidP="00CC226A">
      <w:pPr>
        <w:pStyle w:val="ListParagraph"/>
        <w:numPr>
          <w:ilvl w:val="0"/>
          <w:numId w:val="47"/>
        </w:numPr>
        <w:contextualSpacing w:val="0"/>
        <w:sectPr w:rsidR="00F06454" w:rsidSect="00F06454">
          <w:type w:val="continuous"/>
          <w:pgSz w:w="11906" w:h="16838"/>
          <w:pgMar w:top="1440" w:right="1440" w:bottom="1440" w:left="1440" w:header="708" w:footer="708" w:gutter="0"/>
          <w:cols w:num="2" w:space="708"/>
          <w:docGrid w:linePitch="360"/>
          <w15:footnoteColumns w:val="1"/>
        </w:sectPr>
      </w:pPr>
      <w:r w:rsidRPr="00F640D2">
        <w:t>Agencies</w:t>
      </w:r>
      <w:r w:rsidR="001D0379">
        <w:t xml:space="preserve"> would</w:t>
      </w:r>
      <w:r w:rsidRPr="00F640D2">
        <w:t xml:space="preserve"> adopt a standard chart of accounts to support mobility, onboarding and reporting.</w:t>
      </w:r>
    </w:p>
    <w:p w14:paraId="15B1C54B" w14:textId="3F1ED707" w:rsidR="00B30CDD" w:rsidRPr="00936B3D" w:rsidRDefault="00B30CDD" w:rsidP="00CC226A">
      <w:pPr>
        <w:pStyle w:val="Figureheading"/>
      </w:pPr>
      <w:r w:rsidRPr="00936B3D">
        <w:t xml:space="preserve">Figure </w:t>
      </w:r>
      <w:r w:rsidR="00DE4064">
        <w:t>7</w:t>
      </w:r>
      <w:r>
        <w:t>.</w:t>
      </w:r>
      <w:r w:rsidR="009D5FCD">
        <w:fldChar w:fldCharType="begin"/>
      </w:r>
      <w:r w:rsidR="009D5FCD">
        <w:instrText xml:space="preserve"> SEQ Figure \* ARABIC \s 1 </w:instrText>
      </w:r>
      <w:r w:rsidR="009D5FCD">
        <w:fldChar w:fldCharType="separate"/>
      </w:r>
      <w:r w:rsidR="009D1283">
        <w:rPr>
          <w:noProof/>
        </w:rPr>
        <w:t>2</w:t>
      </w:r>
      <w:r w:rsidR="009D5FCD">
        <w:rPr>
          <w:noProof/>
        </w:rPr>
        <w:fldChar w:fldCharType="end"/>
      </w:r>
      <w:r w:rsidRPr="00936B3D">
        <w:t xml:space="preserve">: Case study </w:t>
      </w:r>
      <w:r w:rsidR="004C79C0">
        <w:t xml:space="preserve">– </w:t>
      </w:r>
      <w:r w:rsidRPr="00936B3D">
        <w:t>staff member moving between departments</w:t>
      </w:r>
    </w:p>
    <w:p w14:paraId="5FEA9AF9" w14:textId="72BEC951" w:rsidR="00B30CDD" w:rsidRDefault="003606B3" w:rsidP="00B30CDD">
      <w:r>
        <w:rPr>
          <w:noProof/>
        </w:rPr>
        <w:drawing>
          <wp:inline distT="0" distB="0" distL="0" distR="0" wp14:anchorId="1C3E2782" wp14:editId="7E98AEFC">
            <wp:extent cx="5950430" cy="2420782"/>
            <wp:effectExtent l="0" t="0" r="0" b="0"/>
            <wp:docPr id="24062560" name="Picture 5" descr="Displays a stylised case study of a staff member moving between departments. The left panel show the current state, where this move costs $54k per employee moved and takes 4.5 months to complete. The right panel shows a future state where this move costs is $19k per employee moved and takes 2 months to comple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2560" name="Picture 5" descr="Displays a stylised case study of a staff member moving between departments. The left panel show the current state, where this move costs $54k per employee moved and takes 4.5 months to complete. The right panel shows a future state where this move costs is $19k per employee moved and takes 2 months to complete. "/>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60595" cy="2424917"/>
                    </a:xfrm>
                    <a:prstGeom prst="rect">
                      <a:avLst/>
                    </a:prstGeom>
                  </pic:spPr>
                </pic:pic>
              </a:graphicData>
            </a:graphic>
          </wp:inline>
        </w:drawing>
      </w:r>
    </w:p>
    <w:p w14:paraId="7B456373" w14:textId="77777777" w:rsidR="00FA10D6" w:rsidRPr="00FA10D6" w:rsidRDefault="00FA10D6" w:rsidP="00DE7A1D">
      <w:pPr>
        <w:pStyle w:val="Caption"/>
        <w:spacing w:before="240"/>
      </w:pPr>
      <w:r w:rsidRPr="00EF1BEC">
        <w:t>Source: Independent Review of the VPS, 2025</w:t>
      </w:r>
    </w:p>
    <w:p w14:paraId="698CCE51" w14:textId="77777777" w:rsidR="00F06454" w:rsidRDefault="00F06454" w:rsidP="00DE22AA">
      <w:pPr>
        <w:spacing w:before="120"/>
        <w:sectPr w:rsidR="00F06454" w:rsidSect="00AE6104">
          <w:type w:val="continuous"/>
          <w:pgSz w:w="11906" w:h="16838"/>
          <w:pgMar w:top="1440" w:right="1440" w:bottom="1440" w:left="1440" w:header="708" w:footer="708" w:gutter="0"/>
          <w:cols w:space="708"/>
          <w:docGrid w:linePitch="360"/>
          <w15:footnoteColumns w:val="1"/>
        </w:sectPr>
      </w:pPr>
    </w:p>
    <w:p w14:paraId="57726148" w14:textId="59CD80E0" w:rsidR="00B30CDD" w:rsidRPr="00F76245" w:rsidRDefault="00B30CDD" w:rsidP="00DE22AA">
      <w:pPr>
        <w:spacing w:before="120"/>
      </w:pPr>
      <w:r>
        <w:t>The Review</w:t>
      </w:r>
      <w:r w:rsidR="00BB5AA4">
        <w:t xml:space="preserve"> heard</w:t>
      </w:r>
      <w:r>
        <w:t xml:space="preserve"> mixed customer </w:t>
      </w:r>
      <w:r w:rsidR="00BB5AA4">
        <w:t>views in</w:t>
      </w:r>
      <w:r w:rsidR="002B7121">
        <w:t> </w:t>
      </w:r>
      <w:r>
        <w:t>response to DGS’s implementation of Common Corporate Platforms. Some</w:t>
      </w:r>
      <w:r w:rsidR="002E1EF9">
        <w:t xml:space="preserve"> challenges</w:t>
      </w:r>
      <w:r>
        <w:t xml:space="preserve"> relate</w:t>
      </w:r>
      <w:r w:rsidR="002E1EF9">
        <w:t>d</w:t>
      </w:r>
      <w:r>
        <w:t xml:space="preserve"> to recognising savings</w:t>
      </w:r>
      <w:r w:rsidR="002B7121">
        <w:t> </w:t>
      </w:r>
      <w:r>
        <w:t xml:space="preserve">too early, </w:t>
      </w:r>
      <w:r w:rsidRPr="00925FD0">
        <w:t>too much customisation,</w:t>
      </w:r>
      <w:r>
        <w:t xml:space="preserve"> taking all functions</w:t>
      </w:r>
      <w:r w:rsidR="002E1EF9">
        <w:t xml:space="preserve"> into DGS</w:t>
      </w:r>
      <w:r>
        <w:t>, and lack of</w:t>
      </w:r>
      <w:r w:rsidR="002B7121">
        <w:t> </w:t>
      </w:r>
      <w:r>
        <w:t>genuine partnership between DGS and</w:t>
      </w:r>
      <w:r w:rsidR="002B7121">
        <w:t> </w:t>
      </w:r>
      <w:r w:rsidR="007305F1">
        <w:t>d</w:t>
      </w:r>
      <w:r>
        <w:t>epartments.</w:t>
      </w:r>
    </w:p>
    <w:p w14:paraId="49EAF787" w14:textId="3C7FE439" w:rsidR="00EC55C4" w:rsidRDefault="00B30CDD" w:rsidP="007D2140">
      <w:r w:rsidDel="00AE0C47">
        <w:t>As part of the next strategic step, d</w:t>
      </w:r>
      <w:r w:rsidRPr="00F76245" w:rsidDel="00AE0C47">
        <w:t>epartments</w:t>
      </w:r>
      <w:r w:rsidDel="00AE0C47">
        <w:t xml:space="preserve"> should</w:t>
      </w:r>
      <w:r w:rsidRPr="00F76245" w:rsidDel="00AE0C47">
        <w:t xml:space="preserve"> retain strategic corporate functions that support </w:t>
      </w:r>
      <w:r w:rsidR="00E15BC3" w:rsidDel="00AE0C47">
        <w:t>S</w:t>
      </w:r>
      <w:r w:rsidRPr="00F76245" w:rsidDel="00AE0C47">
        <w:t>ecretaries</w:t>
      </w:r>
      <w:r w:rsidR="001F5BE1" w:rsidDel="00AE0C47">
        <w:t xml:space="preserve"> to fulfil legislati</w:t>
      </w:r>
      <w:r w:rsidR="006840D4" w:rsidDel="00AE0C47">
        <w:t>ve</w:t>
      </w:r>
      <w:r w:rsidRPr="00F76245" w:rsidDel="00AE0C47">
        <w:t xml:space="preserve"> accountabilities (e.g. </w:t>
      </w:r>
      <w:r w:rsidDel="00AE0C47">
        <w:t xml:space="preserve">strategic HR, </w:t>
      </w:r>
      <w:r w:rsidRPr="00F76245" w:rsidDel="00AE0C47">
        <w:t>OH</w:t>
      </w:r>
      <w:r w:rsidR="002728F8" w:rsidDel="00AE0C47">
        <w:t>&amp;</w:t>
      </w:r>
      <w:r w:rsidRPr="00F76245" w:rsidDel="00AE0C47">
        <w:t>S</w:t>
      </w:r>
      <w:r w:rsidRPr="00F76245">
        <w:t>,</w:t>
      </w:r>
      <w:r w:rsidR="006520B3">
        <w:t> </w:t>
      </w:r>
      <w:r w:rsidRPr="00F76245">
        <w:t xml:space="preserve">financial administration). </w:t>
      </w:r>
      <w:r w:rsidR="006840D4">
        <w:t>In line with</w:t>
      </w:r>
      <w:r w:rsidR="006520B3">
        <w:t> </w:t>
      </w:r>
      <w:r w:rsidR="006840D4">
        <w:t xml:space="preserve">this approach, the Review considers that strategic corporate functions currently performed </w:t>
      </w:r>
      <w:r w:rsidR="006840D4" w:rsidRPr="006840D4">
        <w:t>by DGS</w:t>
      </w:r>
      <w:r w:rsidR="006840D4">
        <w:t xml:space="preserve"> </w:t>
      </w:r>
      <w:r w:rsidR="006840D4" w:rsidRPr="006840D4">
        <w:t>should be transferred back</w:t>
      </w:r>
      <w:r w:rsidR="000779A0">
        <w:t xml:space="preserve"> to DPC and DTF</w:t>
      </w:r>
      <w:r w:rsidR="006840D4" w:rsidRPr="006840D4">
        <w:t xml:space="preserve">.  </w:t>
      </w:r>
    </w:p>
    <w:p w14:paraId="6E552915" w14:textId="1D1E8AC9" w:rsidR="00B30CDD" w:rsidRPr="00F76245" w:rsidRDefault="00B30CDD" w:rsidP="007D2140">
      <w:r>
        <w:t>The Review considers d</w:t>
      </w:r>
      <w:r w:rsidRPr="00F76245">
        <w:t xml:space="preserve">epartments should transition to shared </w:t>
      </w:r>
      <w:r w:rsidR="002728F8">
        <w:t xml:space="preserve">corporate </w:t>
      </w:r>
      <w:r w:rsidRPr="00F76245">
        <w:t xml:space="preserve">systems over </w:t>
      </w:r>
      <w:r>
        <w:t>8</w:t>
      </w:r>
      <w:r w:rsidRPr="00F76245">
        <w:t xml:space="preserve"> years:</w:t>
      </w:r>
    </w:p>
    <w:p w14:paraId="5415FCBE" w14:textId="77777777" w:rsidR="00B30CDD" w:rsidRPr="00F76245" w:rsidRDefault="00B30CDD" w:rsidP="00240E1D">
      <w:pPr>
        <w:numPr>
          <w:ilvl w:val="0"/>
          <w:numId w:val="41"/>
        </w:numPr>
        <w:spacing w:after="120"/>
      </w:pPr>
      <w:r w:rsidRPr="00F76245">
        <w:t>Years 1–2: DGS, DTF, DPC</w:t>
      </w:r>
    </w:p>
    <w:p w14:paraId="6A8DF770" w14:textId="77777777" w:rsidR="00B30CDD" w:rsidRPr="00F76245" w:rsidRDefault="00B30CDD" w:rsidP="00240E1D">
      <w:pPr>
        <w:numPr>
          <w:ilvl w:val="0"/>
          <w:numId w:val="41"/>
        </w:numPr>
        <w:spacing w:after="120"/>
      </w:pPr>
      <w:r w:rsidRPr="00F76245">
        <w:t>Years 3–5: DJSIR, DTP, DEECA</w:t>
      </w:r>
    </w:p>
    <w:p w14:paraId="635A6B89" w14:textId="77777777" w:rsidR="00B30CDD" w:rsidRPr="00F76245" w:rsidRDefault="00B30CDD" w:rsidP="00240E1D">
      <w:pPr>
        <w:numPr>
          <w:ilvl w:val="0"/>
          <w:numId w:val="41"/>
        </w:numPr>
        <w:spacing w:after="120"/>
      </w:pPr>
      <w:r w:rsidRPr="00F76245">
        <w:t>Years 5–8: DJCS, DFFH, DE, DH</w:t>
      </w:r>
      <w:r>
        <w:t>.</w:t>
      </w:r>
    </w:p>
    <w:p w14:paraId="1EDC5D89" w14:textId="77777777" w:rsidR="00B30CDD" w:rsidRPr="00F76245" w:rsidRDefault="00B30CDD" w:rsidP="007D2140">
      <w:r w:rsidRPr="00F76245">
        <w:t xml:space="preserve">This phased rollout </w:t>
      </w:r>
      <w:r>
        <w:t xml:space="preserve">will </w:t>
      </w:r>
      <w:r w:rsidRPr="00F76245">
        <w:t xml:space="preserve">build capability, reduce risk, and deliver early value. Departments with large frontline </w:t>
      </w:r>
      <w:r>
        <w:t xml:space="preserve">workforce </w:t>
      </w:r>
      <w:r w:rsidRPr="00F76245">
        <w:t>networks (e.g. schools</w:t>
      </w:r>
      <w:r>
        <w:t xml:space="preserve"> and hospitals</w:t>
      </w:r>
      <w:r w:rsidRPr="00F76245">
        <w:t>) may retain internal delivery using shared tools. Others may transfer transactional services to DGS as platforms mature.</w:t>
      </w:r>
    </w:p>
    <w:p w14:paraId="4CD5A8DB" w14:textId="0D9CF5DF" w:rsidR="007A74D3" w:rsidRPr="009A519A" w:rsidRDefault="00B30CDD">
      <w:r w:rsidRPr="00F76245">
        <w:t>These reforms could avoid up to $150</w:t>
      </w:r>
      <w:r w:rsidR="00344641">
        <w:t> </w:t>
      </w:r>
      <w:r w:rsidRPr="00F76245">
        <w:t xml:space="preserve">million in annual costs by year </w:t>
      </w:r>
      <w:r>
        <w:t>10</w:t>
      </w:r>
      <w:r w:rsidRPr="00F76245">
        <w:t>.</w:t>
      </w:r>
    </w:p>
    <w:p w14:paraId="14E4F369" w14:textId="77777777" w:rsidR="00FA452E" w:rsidRDefault="00FA452E" w:rsidP="00B30CDD">
      <w:pPr>
        <w:pStyle w:val="Heading3"/>
        <w:rPr>
          <w:szCs w:val="26"/>
        </w:rPr>
      </w:pPr>
      <w:r>
        <w:rPr>
          <w:szCs w:val="26"/>
        </w:rPr>
        <w:br w:type="page"/>
      </w:r>
    </w:p>
    <w:p w14:paraId="33061D28" w14:textId="143D7602" w:rsidR="00B30CDD" w:rsidRPr="00D77B11" w:rsidRDefault="00B30CDD" w:rsidP="00B30CDD">
      <w:pPr>
        <w:pStyle w:val="Heading3"/>
        <w:rPr>
          <w:szCs w:val="26"/>
        </w:rPr>
      </w:pPr>
      <w:r w:rsidRPr="00D77B11">
        <w:rPr>
          <w:szCs w:val="26"/>
        </w:rPr>
        <w:lastRenderedPageBreak/>
        <w:t xml:space="preserve">Enabling digital infrastructure </w:t>
      </w:r>
    </w:p>
    <w:p w14:paraId="0C994CEB" w14:textId="09F9969F" w:rsidR="00B30CDD" w:rsidRDefault="00B30CDD" w:rsidP="007D2140">
      <w:r w:rsidRPr="004B681C">
        <w:t>Digital reform relies on modern infrastructure.</w:t>
      </w:r>
      <w:r w:rsidR="00597A26">
        <w:t xml:space="preserve"> VPS departments currently use </w:t>
      </w:r>
      <w:r w:rsidR="00597A26" w:rsidRPr="00BC3262">
        <w:t>more than 50 bespoke HR, finance and procurement platforms</w:t>
      </w:r>
      <w:r w:rsidR="0043037B">
        <w:t>, driving up cost, cyber risk and delivery delays.</w:t>
      </w:r>
    </w:p>
    <w:p w14:paraId="70288E7D" w14:textId="344F0EC2" w:rsidR="00B30CDD" w:rsidRPr="004B681C" w:rsidRDefault="00B30CDD" w:rsidP="007D2140">
      <w:r w:rsidRPr="000A153E">
        <w:t>Over 40</w:t>
      </w:r>
      <w:r>
        <w:t xml:space="preserve"> per cent </w:t>
      </w:r>
      <w:r w:rsidRPr="000A153E">
        <w:t>of these core systems will</w:t>
      </w:r>
      <w:r w:rsidR="00CE104F">
        <w:t> </w:t>
      </w:r>
      <w:r w:rsidRPr="000A153E">
        <w:t xml:space="preserve">reach end of life within </w:t>
      </w:r>
      <w:r>
        <w:t>5</w:t>
      </w:r>
      <w:r w:rsidRPr="000A153E">
        <w:t xml:space="preserve"> years</w:t>
      </w:r>
      <w:r>
        <w:t xml:space="preserve"> with a potential cost of up to $750 million to replace systems like for like</w:t>
      </w:r>
      <w:r w:rsidRPr="000A153E">
        <w:t>.</w:t>
      </w:r>
      <w:r>
        <w:t xml:space="preserve"> T</w:t>
      </w:r>
      <w:r w:rsidR="001122E8">
        <w:t>here</w:t>
      </w:r>
      <w:r>
        <w:t xml:space="preserve"> is an opportunity </w:t>
      </w:r>
      <w:r w:rsidR="00280BE4">
        <w:t>for</w:t>
      </w:r>
      <w:r>
        <w:t xml:space="preserve"> a more sophisticated and streamlined approach to invest in modern infrastructure. </w:t>
      </w:r>
    </w:p>
    <w:p w14:paraId="5EEF3750" w14:textId="2E5ABDF7" w:rsidR="00B30CDD" w:rsidRPr="004B681C" w:rsidRDefault="002E519E" w:rsidP="007D2140">
      <w:r>
        <w:t xml:space="preserve">The Review recommends </w:t>
      </w:r>
      <w:r w:rsidR="00220675">
        <w:t>the government i</w:t>
      </w:r>
      <w:r w:rsidR="00B30CDD">
        <w:t>nves</w:t>
      </w:r>
      <w:r w:rsidR="00220675">
        <w:t>t</w:t>
      </w:r>
      <w:r w:rsidR="00B30CDD">
        <w:t xml:space="preserve"> </w:t>
      </w:r>
      <w:r w:rsidR="00B30CDD" w:rsidRPr="004B681C">
        <w:t>in shared digital infrastructure</w:t>
      </w:r>
      <w:r w:rsidR="00220675">
        <w:t>.</w:t>
      </w:r>
      <w:r w:rsidR="00B30CDD" w:rsidRPr="004B681C">
        <w:t xml:space="preserve"> </w:t>
      </w:r>
      <w:r w:rsidR="00B30CDD">
        <w:t xml:space="preserve">Victoria needs </w:t>
      </w:r>
      <w:r w:rsidR="00B30CDD" w:rsidRPr="004B681C">
        <w:t>a whole-of-government identity framework, secure cloud hosting with reusable components, and standard data and API protocols. These will reduce duplication, improve cyber resilience, and accelerate service delivery</w:t>
      </w:r>
      <w:r w:rsidR="00B30CDD">
        <w:t xml:space="preserve"> (Figure 7.3)</w:t>
      </w:r>
      <w:r w:rsidR="00B30CDD" w:rsidRPr="004B681C">
        <w:t>.</w:t>
      </w:r>
      <w:r w:rsidR="00092AAE">
        <w:t xml:space="preserve"> </w:t>
      </w:r>
    </w:p>
    <w:p w14:paraId="3CECDA87" w14:textId="33095202" w:rsidR="00B30CDD" w:rsidRDefault="00B30CDD" w:rsidP="007D2140">
      <w:r>
        <w:t>Transitioning to an efficient, digitally enabled public service will require a targeted capability uplift – within DGS to</w:t>
      </w:r>
      <w:r w:rsidR="005E28F4">
        <w:t> </w:t>
      </w:r>
      <w:r>
        <w:t xml:space="preserve">govern and commission shared infrastructure, within </w:t>
      </w:r>
      <w:proofErr w:type="spellStart"/>
      <w:r>
        <w:t>CenITex</w:t>
      </w:r>
      <w:proofErr w:type="spellEnd"/>
      <w:r>
        <w:t xml:space="preserve"> to deliver and maintain it, and within departments to adopt and integrate it effectively.</w:t>
      </w:r>
    </w:p>
    <w:p w14:paraId="658851BF" w14:textId="3FD91923" w:rsidR="00391786" w:rsidRPr="00B25BD5" w:rsidRDefault="0089246E" w:rsidP="00391786">
      <w:r>
        <w:br w:type="column"/>
      </w:r>
      <w:r w:rsidR="00391786">
        <w:t xml:space="preserve">The Review proposes </w:t>
      </w:r>
      <w:r w:rsidR="00391786" w:rsidRPr="00B25BD5">
        <w:t>three horizons</w:t>
      </w:r>
      <w:r w:rsidR="00391786">
        <w:t xml:space="preserve"> for this transition</w:t>
      </w:r>
      <w:r w:rsidR="00391786" w:rsidRPr="00B25BD5">
        <w:t>:</w:t>
      </w:r>
    </w:p>
    <w:p w14:paraId="39B4EB06" w14:textId="303D5611" w:rsidR="00B30CDD" w:rsidRPr="00B25BD5" w:rsidRDefault="00B30CDD" w:rsidP="00D207B3">
      <w:pPr>
        <w:numPr>
          <w:ilvl w:val="0"/>
          <w:numId w:val="42"/>
        </w:numPr>
      </w:pPr>
      <w:r w:rsidRPr="00B25BD5">
        <w:rPr>
          <w:b/>
          <w:bCs/>
        </w:rPr>
        <w:t>Horizon 1 (Years 1–2):</w:t>
      </w:r>
      <w:r w:rsidRPr="00B25BD5">
        <w:t xml:space="preserve"> Consolidate ICT services (identity, cloud, cyber). Establish shared security standards</w:t>
      </w:r>
      <w:r w:rsidR="00410EFD">
        <w:t>.</w:t>
      </w:r>
    </w:p>
    <w:p w14:paraId="6CA90877" w14:textId="796F9361" w:rsidR="00B30CDD" w:rsidRPr="00B25BD5" w:rsidRDefault="00B30CDD" w:rsidP="00D207B3">
      <w:pPr>
        <w:numPr>
          <w:ilvl w:val="0"/>
          <w:numId w:val="42"/>
        </w:numPr>
      </w:pPr>
      <w:r w:rsidRPr="00B25BD5">
        <w:rPr>
          <w:b/>
          <w:bCs/>
        </w:rPr>
        <w:t>Horizon 2 (Years 3–5):</w:t>
      </w:r>
      <w:r w:rsidRPr="00B25BD5">
        <w:t xml:space="preserve"> Migrate to shared platforms, retire legacy systems, and adopt common data</w:t>
      </w:r>
      <w:r w:rsidR="00FD78F8">
        <w:t> </w:t>
      </w:r>
      <w:r w:rsidRPr="00B25BD5">
        <w:t>standards</w:t>
      </w:r>
      <w:r w:rsidR="00410EFD">
        <w:t>.</w:t>
      </w:r>
    </w:p>
    <w:p w14:paraId="5A45A58C" w14:textId="076DCD4C" w:rsidR="00B30CDD" w:rsidRDefault="00B30CDD" w:rsidP="00D207B3">
      <w:pPr>
        <w:numPr>
          <w:ilvl w:val="0"/>
          <w:numId w:val="42"/>
        </w:numPr>
      </w:pPr>
      <w:r w:rsidRPr="00B25BD5">
        <w:rPr>
          <w:b/>
          <w:bCs/>
        </w:rPr>
        <w:t>Horizon 3 (Years 6–10):</w:t>
      </w:r>
      <w:r w:rsidRPr="00B25BD5">
        <w:t xml:space="preserve"> Enable advanced digital capabilities</w:t>
      </w:r>
      <w:r>
        <w:t xml:space="preserve"> – </w:t>
      </w:r>
      <w:r w:rsidRPr="00B25BD5">
        <w:t>such as integration, automation and AI</w:t>
      </w:r>
      <w:r>
        <w:t xml:space="preserve"> – </w:t>
      </w:r>
      <w:r w:rsidRPr="00B25BD5">
        <w:t>on scalable, general-use platforms. Sector-specific systems (e.g.</w:t>
      </w:r>
      <w:r w:rsidR="00A016B4">
        <w:t> </w:t>
      </w:r>
      <w:r w:rsidRPr="00B25BD5">
        <w:t>schools, hospitals) should remain department-led but supported by shared infrastructure where appropriate.</w:t>
      </w:r>
    </w:p>
    <w:p w14:paraId="59D3DD01" w14:textId="77777777" w:rsidR="00F06454" w:rsidRDefault="00F06454" w:rsidP="00722D07">
      <w:pPr>
        <w:pStyle w:val="Figureheading"/>
        <w:sectPr w:rsidR="00F06454" w:rsidSect="00F06454">
          <w:type w:val="continuous"/>
          <w:pgSz w:w="11906" w:h="16838"/>
          <w:pgMar w:top="1440" w:right="1440" w:bottom="1440" w:left="1440" w:header="708" w:footer="708" w:gutter="0"/>
          <w:cols w:num="2" w:space="708"/>
          <w:docGrid w:linePitch="360"/>
          <w15:footnoteColumns w:val="1"/>
        </w:sectPr>
      </w:pPr>
    </w:p>
    <w:p w14:paraId="794A7C72" w14:textId="77777777" w:rsidR="00722D07" w:rsidRDefault="00722D07" w:rsidP="00722D07">
      <w:pPr>
        <w:pStyle w:val="Figureheading"/>
      </w:pPr>
      <w:r>
        <w:br w:type="page"/>
      </w:r>
    </w:p>
    <w:p w14:paraId="06C33A47" w14:textId="05AF4317" w:rsidR="00B30CDD" w:rsidRDefault="00B30CDD" w:rsidP="00722D07">
      <w:pPr>
        <w:pStyle w:val="Figureheading"/>
        <w:rPr>
          <w:noProof/>
        </w:rPr>
      </w:pPr>
      <w:r w:rsidRPr="001438F5">
        <w:lastRenderedPageBreak/>
        <w:t xml:space="preserve">Figure </w:t>
      </w:r>
      <w:r w:rsidR="00DE4064">
        <w:t>7</w:t>
      </w:r>
      <w:r>
        <w:t>.</w:t>
      </w:r>
      <w:r w:rsidR="009D5FCD">
        <w:fldChar w:fldCharType="begin"/>
      </w:r>
      <w:r w:rsidR="009D5FCD">
        <w:instrText xml:space="preserve"> SEQ Figure \* ARABIC \s 1 </w:instrText>
      </w:r>
      <w:r w:rsidR="009D5FCD">
        <w:fldChar w:fldCharType="separate"/>
      </w:r>
      <w:r w:rsidR="009D1283">
        <w:rPr>
          <w:noProof/>
        </w:rPr>
        <w:t>3</w:t>
      </w:r>
      <w:r w:rsidR="009D5FCD">
        <w:rPr>
          <w:noProof/>
        </w:rPr>
        <w:fldChar w:fldCharType="end"/>
      </w:r>
      <w:r w:rsidRPr="001438F5">
        <w:t xml:space="preserve">: Future state enabling </w:t>
      </w:r>
      <w:r w:rsidRPr="00722D07">
        <w:t>infrastructure</w:t>
      </w:r>
      <w:r w:rsidRPr="001438F5">
        <w:t xml:space="preserve"> model</w:t>
      </w:r>
    </w:p>
    <w:p w14:paraId="54D092FD" w14:textId="378C3603" w:rsidR="00722D07" w:rsidRPr="001438F5" w:rsidRDefault="00834BA7" w:rsidP="00722D07">
      <w:r>
        <w:rPr>
          <w:noProof/>
        </w:rPr>
        <w:drawing>
          <wp:inline distT="0" distB="0" distL="0" distR="0" wp14:anchorId="1900F1D3" wp14:editId="65676C82">
            <wp:extent cx="5486400" cy="7689227"/>
            <wp:effectExtent l="0" t="0" r="0" b="6985"/>
            <wp:docPr id="715883225" name="Picture 6" descr="A figure with two panels. The top panel displays colour boxes that illustrate the current state of interrelated service delivery model across Service Victoria, Department of Government Services, other Government departments and the public. This panel illustrates lots of linkages between different entities with lots of bi-directional arrows. The bottom panel illustrates a future state where the relationship between these service delivery models is simpli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83225" name="Picture 6" descr="A figure with two panels. The top panel displays colour boxes that illustrate the current state of interrelated service delivery model across Service Victoria, Department of Government Services, other Government departments and the public. This panel illustrates lots of linkages between different entities with lots of bi-directional arrows. The bottom panel illustrates a future state where the relationship between these service delivery models is simplified. "/>
                    <pic:cNvPicPr/>
                  </pic:nvPicPr>
                  <pic:blipFill>
                    <a:blip r:embed="rId43">
                      <a:extLst>
                        <a:ext uri="{28A0092B-C50C-407E-A947-70E740481C1C}">
                          <a14:useLocalDpi xmlns:a14="http://schemas.microsoft.com/office/drawing/2010/main" val="0"/>
                        </a:ext>
                      </a:extLst>
                    </a:blip>
                    <a:stretch>
                      <a:fillRect/>
                    </a:stretch>
                  </pic:blipFill>
                  <pic:spPr>
                    <a:xfrm>
                      <a:off x="0" y="0"/>
                      <a:ext cx="5490353" cy="7694767"/>
                    </a:xfrm>
                    <a:prstGeom prst="rect">
                      <a:avLst/>
                    </a:prstGeom>
                  </pic:spPr>
                </pic:pic>
              </a:graphicData>
            </a:graphic>
          </wp:inline>
        </w:drawing>
      </w:r>
    </w:p>
    <w:p w14:paraId="6D63A434" w14:textId="6969E04E" w:rsidR="00A97302" w:rsidRPr="00A97302" w:rsidRDefault="00A97302" w:rsidP="00706DBF">
      <w:pPr>
        <w:pStyle w:val="Caption"/>
      </w:pPr>
      <w:r w:rsidRPr="00A97302">
        <w:t>Source: Independent Review of the VPS, 2025</w:t>
      </w:r>
    </w:p>
    <w:p w14:paraId="06A61C06" w14:textId="77777777" w:rsidR="0089246E" w:rsidRDefault="0089246E" w:rsidP="00227077">
      <w:pPr>
        <w:pStyle w:val="Heading3"/>
        <w:numPr>
          <w:ilvl w:val="0"/>
          <w:numId w:val="0"/>
        </w:numPr>
        <w:spacing w:before="0"/>
        <w:sectPr w:rsidR="0089246E" w:rsidSect="00AE6104">
          <w:type w:val="continuous"/>
          <w:pgSz w:w="11906" w:h="16838"/>
          <w:pgMar w:top="1440" w:right="1440" w:bottom="1440" w:left="1440" w:header="708" w:footer="708" w:gutter="0"/>
          <w:cols w:space="708"/>
          <w:docGrid w:linePitch="360"/>
          <w15:footnoteColumns w:val="1"/>
        </w:sectPr>
      </w:pPr>
    </w:p>
    <w:p w14:paraId="23900B78" w14:textId="365DB715" w:rsidR="00B30CDD" w:rsidRPr="00C026E6" w:rsidRDefault="00B30CDD" w:rsidP="00227077">
      <w:pPr>
        <w:pStyle w:val="Heading3"/>
        <w:numPr>
          <w:ilvl w:val="0"/>
          <w:numId w:val="0"/>
        </w:numPr>
        <w:spacing w:before="0"/>
      </w:pPr>
      <w:r w:rsidRPr="00C026E6">
        <w:lastRenderedPageBreak/>
        <w:t>Safe and effective use of A</w:t>
      </w:r>
      <w:r w:rsidR="000D6D77">
        <w:t xml:space="preserve">rtificial </w:t>
      </w:r>
      <w:r w:rsidRPr="00C026E6">
        <w:t>I</w:t>
      </w:r>
      <w:r w:rsidR="000D6D77">
        <w:t>ntelligence</w:t>
      </w:r>
      <w:r w:rsidRPr="00C026E6">
        <w:t xml:space="preserve"> </w:t>
      </w:r>
    </w:p>
    <w:p w14:paraId="2319D0E0" w14:textId="4905C515" w:rsidR="00A23A7B" w:rsidRDefault="00B30CDD" w:rsidP="007D2140">
      <w:r w:rsidRPr="00C026E6">
        <w:t xml:space="preserve">AI is already reshaping how people work. </w:t>
      </w:r>
      <w:r w:rsidR="00C47009">
        <w:t>For</w:t>
      </w:r>
      <w:r w:rsidRPr="00C026E6">
        <w:t xml:space="preserve"> government</w:t>
      </w:r>
      <w:r w:rsidR="00C47009">
        <w:t>s</w:t>
      </w:r>
      <w:r w:rsidRPr="00C026E6">
        <w:t>, it offers a chance to boost productivity</w:t>
      </w:r>
      <w:r>
        <w:t xml:space="preserve"> </w:t>
      </w:r>
      <w:r w:rsidRPr="00C026E6">
        <w:t>by automating routine tasks, supporting better decisions, and freeing up</w:t>
      </w:r>
      <w:r w:rsidR="00412292">
        <w:t> </w:t>
      </w:r>
      <w:r w:rsidRPr="00C026E6">
        <w:t>time for high</w:t>
      </w:r>
      <w:r>
        <w:t>er</w:t>
      </w:r>
      <w:r w:rsidRPr="00C026E6">
        <w:t xml:space="preserve">-value work. </w:t>
      </w:r>
      <w:r w:rsidR="00246C11">
        <w:t>I</w:t>
      </w:r>
      <w:r w:rsidRPr="00C026E6">
        <w:t>t</w:t>
      </w:r>
      <w:r w:rsidR="00246C11">
        <w:t xml:space="preserve"> does</w:t>
      </w:r>
      <w:r w:rsidRPr="00C026E6">
        <w:t xml:space="preserve"> also pose </w:t>
      </w:r>
      <w:r w:rsidR="001C5E49">
        <w:t xml:space="preserve">some </w:t>
      </w:r>
      <w:r w:rsidRPr="00C026E6">
        <w:t>risks, including bias, poor transparency and loss of public trust.</w:t>
      </w:r>
      <w:r w:rsidR="001C5E49">
        <w:t xml:space="preserve"> Notwithstanding, g</w:t>
      </w:r>
      <w:r w:rsidRPr="00C026E6">
        <w:t>overnments that act now can embed responsible AI use and gain an early advantage</w:t>
      </w:r>
      <w:r>
        <w:t xml:space="preserve">. </w:t>
      </w:r>
    </w:p>
    <w:p w14:paraId="21F5447B" w14:textId="730D38F1" w:rsidR="00431177" w:rsidRDefault="00431177" w:rsidP="007D2140">
      <w:r w:rsidRPr="00C026E6">
        <w:t>Other jurisdictions offer useful models</w:t>
      </w:r>
      <w:r>
        <w:t xml:space="preserve"> that</w:t>
      </w:r>
      <w:r w:rsidR="00006B4D">
        <w:t> </w:t>
      </w:r>
      <w:r>
        <w:t>Victoria can draw on as it builds its approach</w:t>
      </w:r>
      <w:r w:rsidRPr="00C026E6">
        <w:t xml:space="preserve">. </w:t>
      </w:r>
      <w:r>
        <w:t>For example, t</w:t>
      </w:r>
      <w:r w:rsidRPr="00C026E6">
        <w:t>he UK has introduced assurance frameworks and cross-government tools. Singapore and</w:t>
      </w:r>
      <w:r w:rsidR="00800000">
        <w:t> </w:t>
      </w:r>
      <w:r w:rsidRPr="00C026E6">
        <w:t>Can</w:t>
      </w:r>
      <w:r>
        <w:t>a</w:t>
      </w:r>
      <w:r w:rsidRPr="00C026E6">
        <w:t>da have linked testbeds with talent</w:t>
      </w:r>
      <w:r w:rsidR="00800000">
        <w:t> </w:t>
      </w:r>
      <w:r w:rsidRPr="00C026E6">
        <w:t>pipelines and transparent risk</w:t>
      </w:r>
      <w:r w:rsidR="00800000">
        <w:t> </w:t>
      </w:r>
      <w:r w:rsidRPr="00C026E6">
        <w:t>assessments</w:t>
      </w:r>
      <w:r w:rsidR="00177FC1">
        <w:t>.</w:t>
      </w:r>
    </w:p>
    <w:p w14:paraId="3BB6BD5E" w14:textId="6D041041" w:rsidR="00C62751" w:rsidRPr="00C026E6" w:rsidRDefault="00B30CDD" w:rsidP="007D2140">
      <w:r w:rsidRPr="00C026E6">
        <w:t>Victoria is already piloting tools like Microsoft Copilot</w:t>
      </w:r>
      <w:r w:rsidR="00962DEB">
        <w:t>,</w:t>
      </w:r>
      <w:r w:rsidRPr="00C026E6">
        <w:t xml:space="preserve"> </w:t>
      </w:r>
      <w:proofErr w:type="spellStart"/>
      <w:r w:rsidRPr="00C026E6">
        <w:t>VicChat</w:t>
      </w:r>
      <w:proofErr w:type="spellEnd"/>
      <w:r w:rsidR="00962DEB">
        <w:t xml:space="preserve"> and </w:t>
      </w:r>
      <w:r w:rsidR="00527C4F">
        <w:t xml:space="preserve">offers </w:t>
      </w:r>
      <w:r w:rsidR="00177FC1">
        <w:t xml:space="preserve">a </w:t>
      </w:r>
      <w:r w:rsidR="00962DEB" w:rsidRPr="00C026E6">
        <w:t>Service Victoria chatbot</w:t>
      </w:r>
      <w:r w:rsidRPr="00C026E6">
        <w:t xml:space="preserve">. </w:t>
      </w:r>
      <w:r w:rsidR="00916E26" w:rsidRPr="00C026E6">
        <w:t>These examples can be used to build confidence and support a structured, scalable approach.</w:t>
      </w:r>
      <w:r w:rsidR="00916E26">
        <w:t xml:space="preserve"> </w:t>
      </w:r>
      <w:r w:rsidRPr="00C026E6">
        <w:t>This requires trusted governance, practical tools and hands-on support.</w:t>
      </w:r>
    </w:p>
    <w:p w14:paraId="48005817" w14:textId="7696C2AA" w:rsidR="00B30CDD" w:rsidRPr="00C026E6" w:rsidRDefault="00431177" w:rsidP="007D2140">
      <w:r>
        <w:t>To help with this</w:t>
      </w:r>
      <w:r w:rsidR="006A5281">
        <w:t>,</w:t>
      </w:r>
      <w:r>
        <w:t xml:space="preserve"> t</w:t>
      </w:r>
      <w:r w:rsidR="00B30CDD">
        <w:t xml:space="preserve">he Review recommends </w:t>
      </w:r>
      <w:r w:rsidR="00B30CDD" w:rsidRPr="00C026E6">
        <w:t>establish</w:t>
      </w:r>
      <w:r>
        <w:t>ing</w:t>
      </w:r>
      <w:r w:rsidR="00B30CDD" w:rsidRPr="00C026E6">
        <w:t xml:space="preserve"> a whole-of-government AI Centre of Excellence, led by DGS. The </w:t>
      </w:r>
      <w:r w:rsidR="00F6565D">
        <w:t>c</w:t>
      </w:r>
      <w:r w:rsidR="00B30CDD" w:rsidRPr="00C026E6">
        <w:t>entre would:</w:t>
      </w:r>
      <w:r w:rsidR="004753CA">
        <w:t xml:space="preserve"> </w:t>
      </w:r>
    </w:p>
    <w:p w14:paraId="5CA7B888" w14:textId="4996E19C" w:rsidR="00A02FBF" w:rsidRDefault="008B2EE8" w:rsidP="00A02FBF">
      <w:pPr>
        <w:numPr>
          <w:ilvl w:val="0"/>
          <w:numId w:val="43"/>
        </w:numPr>
        <w:rPr>
          <w:b/>
          <w:bCs/>
        </w:rPr>
      </w:pPr>
      <w:r>
        <w:rPr>
          <w:b/>
          <w:bCs/>
        </w:rPr>
        <w:t>P</w:t>
      </w:r>
      <w:r w:rsidR="00B30CDD" w:rsidRPr="00CF0BF2">
        <w:rPr>
          <w:b/>
          <w:bCs/>
        </w:rPr>
        <w:t xml:space="preserve">rovide expert advice, </w:t>
      </w:r>
      <w:r w:rsidR="00A37A65" w:rsidRPr="00CF0BF2">
        <w:rPr>
          <w:b/>
          <w:bCs/>
        </w:rPr>
        <w:t xml:space="preserve">practical </w:t>
      </w:r>
      <w:r w:rsidR="00B30CDD" w:rsidRPr="00CF0BF2">
        <w:rPr>
          <w:b/>
          <w:bCs/>
        </w:rPr>
        <w:t>tools</w:t>
      </w:r>
      <w:r w:rsidR="00A37A65" w:rsidRPr="00CF0BF2">
        <w:rPr>
          <w:b/>
          <w:bCs/>
        </w:rPr>
        <w:t xml:space="preserve"> </w:t>
      </w:r>
      <w:r w:rsidR="00E1020B" w:rsidRPr="00CF0BF2">
        <w:rPr>
          <w:b/>
          <w:bCs/>
        </w:rPr>
        <w:t>and training</w:t>
      </w:r>
      <w:r w:rsidR="00A02FBF" w:rsidRPr="00FF57CD">
        <w:t>.</w:t>
      </w:r>
      <w:r w:rsidR="00A02FBF">
        <w:rPr>
          <w:b/>
          <w:bCs/>
        </w:rPr>
        <w:t xml:space="preserve"> </w:t>
      </w:r>
      <w:r w:rsidR="00E1020B">
        <w:t>T</w:t>
      </w:r>
      <w:r w:rsidR="00CF0BF2">
        <w:t>ools</w:t>
      </w:r>
      <w:r w:rsidR="00E1020B">
        <w:t xml:space="preserve"> would include </w:t>
      </w:r>
      <w:r w:rsidR="004D0863" w:rsidRPr="000C6F19">
        <w:t>prompt libraries, testing dashboards</w:t>
      </w:r>
      <w:r w:rsidR="004D0863">
        <w:t xml:space="preserve"> </w:t>
      </w:r>
      <w:r w:rsidR="004D0863" w:rsidRPr="000C6F19">
        <w:t>and evaluation guide</w:t>
      </w:r>
      <w:r w:rsidR="004D0863">
        <w:t>s</w:t>
      </w:r>
      <w:r w:rsidR="003E6A8C">
        <w:t>,</w:t>
      </w:r>
      <w:r w:rsidR="00B30CDD" w:rsidRPr="00C026E6">
        <w:t xml:space="preserve"> and training to lift system-wide capability</w:t>
      </w:r>
      <w:r w:rsidR="00A02FBF" w:rsidRPr="00413711">
        <w:t>.</w:t>
      </w:r>
      <w:r w:rsidR="00A02FBF">
        <w:rPr>
          <w:b/>
          <w:bCs/>
        </w:rPr>
        <w:t xml:space="preserve"> </w:t>
      </w:r>
      <w:r w:rsidR="00E1020B" w:rsidRPr="000C6F19">
        <w:t xml:space="preserve">Training must be tailored </w:t>
      </w:r>
      <w:r w:rsidR="00E1020B">
        <w:t>by role.</w:t>
      </w:r>
      <w:r w:rsidR="00E1020B" w:rsidRPr="000C6F19">
        <w:t xml:space="preserve"> </w:t>
      </w:r>
      <w:r w:rsidR="00E1020B">
        <w:t>G</w:t>
      </w:r>
      <w:r w:rsidR="00E1020B" w:rsidRPr="000C6F19">
        <w:t xml:space="preserve">eneral staff </w:t>
      </w:r>
      <w:r w:rsidR="00E1020B">
        <w:t xml:space="preserve">need to </w:t>
      </w:r>
      <w:r w:rsidR="00E1020B" w:rsidRPr="000C6F19">
        <w:t xml:space="preserve">learn safe everyday use; legal and policy teams, ethical risk and governance; technical staff, model management; </w:t>
      </w:r>
      <w:r w:rsidR="00E1020B" w:rsidRPr="000C6F19">
        <w:t xml:space="preserve">and executives, how to commission and oversee AI </w:t>
      </w:r>
      <w:r w:rsidR="00E1020B">
        <w:t>aligned</w:t>
      </w:r>
      <w:r w:rsidR="00E1020B" w:rsidRPr="000C6F19">
        <w:t xml:space="preserve"> with public values.</w:t>
      </w:r>
      <w:r w:rsidR="00E1020B">
        <w:t xml:space="preserve"> </w:t>
      </w:r>
      <w:r w:rsidR="00E1020B" w:rsidRPr="000C6F19">
        <w:t>All training should be applied and grounded in real use cases, with access to secure testing environments to build confidence and capability.</w:t>
      </w:r>
    </w:p>
    <w:p w14:paraId="04ECD697" w14:textId="61212A12" w:rsidR="00A02FBF" w:rsidRPr="00335014" w:rsidRDefault="008B2EE8" w:rsidP="00335014">
      <w:pPr>
        <w:numPr>
          <w:ilvl w:val="0"/>
          <w:numId w:val="43"/>
        </w:numPr>
        <w:rPr>
          <w:b/>
          <w:bCs/>
        </w:rPr>
      </w:pPr>
      <w:r>
        <w:rPr>
          <w:b/>
          <w:bCs/>
        </w:rPr>
        <w:t>W</w:t>
      </w:r>
      <w:r w:rsidR="00B30CDD" w:rsidRPr="00A02FBF">
        <w:rPr>
          <w:b/>
          <w:bCs/>
        </w:rPr>
        <w:t xml:space="preserve">ork with </w:t>
      </w:r>
      <w:r w:rsidR="00A02FBF" w:rsidRPr="00A02FBF">
        <w:rPr>
          <w:b/>
          <w:bCs/>
        </w:rPr>
        <w:t>other</w:t>
      </w:r>
      <w:r w:rsidR="00B30CDD" w:rsidRPr="00A02FBF">
        <w:rPr>
          <w:b/>
          <w:bCs/>
        </w:rPr>
        <w:t xml:space="preserve"> bodies to help provide guidance</w:t>
      </w:r>
      <w:r w:rsidR="00A02FBF" w:rsidRPr="00EF04F9">
        <w:t>.</w:t>
      </w:r>
      <w:r w:rsidR="00A02FBF" w:rsidRPr="00A02FBF">
        <w:rPr>
          <w:b/>
          <w:bCs/>
        </w:rPr>
        <w:t xml:space="preserve"> </w:t>
      </w:r>
      <w:r w:rsidR="00A02FBF" w:rsidRPr="00A02FBF">
        <w:t>This would include working with the Victorian Information Commissioner</w:t>
      </w:r>
      <w:r w:rsidR="00A02FBF">
        <w:t xml:space="preserve">. Victoria could also </w:t>
      </w:r>
      <w:r w:rsidR="00AF0EFF">
        <w:t xml:space="preserve">draw </w:t>
      </w:r>
      <w:r w:rsidR="00335014">
        <w:t>on</w:t>
      </w:r>
      <w:r w:rsidR="00AF0EFF">
        <w:t xml:space="preserve"> work undertaken by t</w:t>
      </w:r>
      <w:r w:rsidR="00A02FBF">
        <w:t xml:space="preserve">he Commonwealth’s Digital Transformation Agency </w:t>
      </w:r>
      <w:r w:rsidR="00335014">
        <w:t xml:space="preserve">about </w:t>
      </w:r>
      <w:r w:rsidR="00A02FBF">
        <w:t>the responsible use of AI in government.</w:t>
      </w:r>
    </w:p>
    <w:p w14:paraId="79B35D59" w14:textId="4D57EF4D" w:rsidR="00B30CDD" w:rsidRPr="00C026E6" w:rsidRDefault="008B2EE8" w:rsidP="00D207B3">
      <w:pPr>
        <w:numPr>
          <w:ilvl w:val="0"/>
          <w:numId w:val="43"/>
        </w:numPr>
      </w:pPr>
      <w:r>
        <w:rPr>
          <w:b/>
          <w:bCs/>
        </w:rPr>
        <w:t>S</w:t>
      </w:r>
      <w:r w:rsidR="00B30CDD" w:rsidRPr="00335014">
        <w:rPr>
          <w:b/>
          <w:bCs/>
        </w:rPr>
        <w:t xml:space="preserve">upport safe, structured experimentation through time-bound </w:t>
      </w:r>
      <w:r w:rsidR="00AD2E50" w:rsidRPr="00335014">
        <w:rPr>
          <w:b/>
          <w:bCs/>
        </w:rPr>
        <w:t>‘</w:t>
      </w:r>
      <w:proofErr w:type="gramStart"/>
      <w:r w:rsidR="00B30CDD" w:rsidRPr="00335014">
        <w:rPr>
          <w:b/>
          <w:bCs/>
        </w:rPr>
        <w:t>sandpits</w:t>
      </w:r>
      <w:r w:rsidR="00AD2E50" w:rsidRPr="00335014">
        <w:rPr>
          <w:b/>
          <w:bCs/>
        </w:rPr>
        <w:t>’</w:t>
      </w:r>
      <w:proofErr w:type="gramEnd"/>
      <w:r w:rsidR="00335014">
        <w:t>.</w:t>
      </w:r>
      <w:r w:rsidR="00B30CDD">
        <w:t xml:space="preserve"> </w:t>
      </w:r>
      <w:r w:rsidR="00335014" w:rsidRPr="00C026E6">
        <w:t xml:space="preserve">The </w:t>
      </w:r>
      <w:r w:rsidR="003A3095">
        <w:t>c</w:t>
      </w:r>
      <w:r w:rsidR="00335014" w:rsidRPr="00C026E6">
        <w:t xml:space="preserve">entre </w:t>
      </w:r>
      <w:r w:rsidR="00335014">
        <w:t xml:space="preserve">would </w:t>
      </w:r>
      <w:r w:rsidR="00335014" w:rsidRPr="00C026E6">
        <w:t>run secure, short-term sandpits</w:t>
      </w:r>
      <w:r w:rsidR="00335014">
        <w:t xml:space="preserve"> to give departments a place to test AI safely, </w:t>
      </w:r>
      <w:r w:rsidR="00335014" w:rsidRPr="00C026E6">
        <w:t>focused on real-world use cases</w:t>
      </w:r>
      <w:r w:rsidR="00335014">
        <w:t xml:space="preserve">, </w:t>
      </w:r>
      <w:r w:rsidR="00335014" w:rsidRPr="00C026E6">
        <w:t>such as summarising case files or triaging complaints.</w:t>
      </w:r>
      <w:r w:rsidR="00335014">
        <w:t xml:space="preserve"> The sandpit model would manage risk and enable effective, scaled projects to be developed by</w:t>
      </w:r>
      <w:r w:rsidR="004B3051">
        <w:t xml:space="preserve"> </w:t>
      </w:r>
      <w:r w:rsidR="00335014">
        <w:t>u</w:t>
      </w:r>
      <w:r w:rsidR="00335014" w:rsidRPr="00C026E6">
        <w:t>s</w:t>
      </w:r>
      <w:r w:rsidR="00335014">
        <w:t>ing</w:t>
      </w:r>
      <w:r w:rsidR="00335014" w:rsidRPr="00C026E6">
        <w:t xml:space="preserve"> de-identified or synthetic data</w:t>
      </w:r>
      <w:r w:rsidR="004B3051">
        <w:t xml:space="preserve">, </w:t>
      </w:r>
      <w:r w:rsidR="00335014">
        <w:t>i</w:t>
      </w:r>
      <w:r w:rsidR="00335014" w:rsidRPr="00C026E6">
        <w:t>nvolv</w:t>
      </w:r>
      <w:r w:rsidR="00335014">
        <w:t>ing</w:t>
      </w:r>
      <w:r w:rsidR="00335014" w:rsidRPr="00C026E6">
        <w:t xml:space="preserve"> cross-disciplinary teams (policy, legal, technical, frontline)</w:t>
      </w:r>
      <w:r w:rsidR="004B3051">
        <w:t xml:space="preserve">, </w:t>
      </w:r>
      <w:r w:rsidR="00335014">
        <w:t>t</w:t>
      </w:r>
      <w:r w:rsidR="00335014" w:rsidRPr="00C026E6">
        <w:t>est</w:t>
      </w:r>
      <w:r w:rsidR="00335014">
        <w:t>ing</w:t>
      </w:r>
      <w:r w:rsidR="00335014" w:rsidRPr="00C026E6">
        <w:t xml:space="preserve"> tools in secure digital environments</w:t>
      </w:r>
      <w:r w:rsidR="004B3051">
        <w:t xml:space="preserve"> and </w:t>
      </w:r>
      <w:r w:rsidR="00335014">
        <w:t>c</w:t>
      </w:r>
      <w:r w:rsidR="00335014" w:rsidRPr="00C026E6">
        <w:t>onclud</w:t>
      </w:r>
      <w:r w:rsidR="00335014">
        <w:t>ing</w:t>
      </w:r>
      <w:r w:rsidR="00335014" w:rsidRPr="00C026E6">
        <w:t xml:space="preserve"> with</w:t>
      </w:r>
      <w:r w:rsidR="005C546D">
        <w:t> </w:t>
      </w:r>
      <w:r w:rsidR="00335014" w:rsidRPr="00C026E6">
        <w:t>a</w:t>
      </w:r>
      <w:r w:rsidR="00896748">
        <w:t> </w:t>
      </w:r>
      <w:r w:rsidR="00335014" w:rsidRPr="00C026E6">
        <w:t>structured review and shared</w:t>
      </w:r>
      <w:r w:rsidR="005C546D">
        <w:t> </w:t>
      </w:r>
      <w:r w:rsidR="00335014" w:rsidRPr="00C026E6">
        <w:t>insights</w:t>
      </w:r>
      <w:r w:rsidR="00335014">
        <w:t>.</w:t>
      </w:r>
    </w:p>
    <w:p w14:paraId="474F2D27" w14:textId="16A1512A" w:rsidR="00B30CDD" w:rsidRPr="0079352F" w:rsidRDefault="00B30CDD" w:rsidP="00341BB5">
      <w:r w:rsidRPr="00E87AB5">
        <w:t xml:space="preserve">To succeed, the </w:t>
      </w:r>
      <w:r w:rsidR="00997BA1">
        <w:t>AI C</w:t>
      </w:r>
      <w:r w:rsidRPr="00E87AB5">
        <w:t>entre</w:t>
      </w:r>
      <w:r w:rsidR="00997BA1">
        <w:t xml:space="preserve"> of Excellence</w:t>
      </w:r>
      <w:r w:rsidRPr="00E87AB5">
        <w:t xml:space="preserve"> w</w:t>
      </w:r>
      <w:r>
        <w:t>ould</w:t>
      </w:r>
      <w:r w:rsidRPr="00E87AB5">
        <w:t xml:space="preserve"> need secure cloud environments, access to approved models and tools, governance dashboards and skilled staff. Departments must actively participate in pilots and share lessons. Initial funding </w:t>
      </w:r>
      <w:r>
        <w:t xml:space="preserve">would </w:t>
      </w:r>
      <w:r w:rsidRPr="00E87AB5">
        <w:t xml:space="preserve">come from </w:t>
      </w:r>
      <w:r>
        <w:t>a</w:t>
      </w:r>
      <w:r w:rsidRPr="00E87AB5">
        <w:t xml:space="preserve"> </w:t>
      </w:r>
      <w:r>
        <w:t xml:space="preserve">proposed </w:t>
      </w:r>
      <w:r w:rsidR="00EF5EBB">
        <w:t>u</w:t>
      </w:r>
      <w:r w:rsidRPr="00E87AB5">
        <w:t xml:space="preserve">plift </w:t>
      </w:r>
      <w:r w:rsidR="00EF5EBB">
        <w:t>f</w:t>
      </w:r>
      <w:r w:rsidRPr="00E87AB5">
        <w:t>und, with a sustainable long-term model to be</w:t>
      </w:r>
      <w:r w:rsidR="00BA044F">
        <w:t> </w:t>
      </w:r>
      <w:r w:rsidRPr="00E87AB5">
        <w:t>determined.</w:t>
      </w:r>
    </w:p>
    <w:p w14:paraId="2D8DD085" w14:textId="77777777" w:rsidR="0089246E" w:rsidRDefault="0089246E" w:rsidP="00A02FBF">
      <w:pPr>
        <w:pStyle w:val="Heading2"/>
        <w:spacing w:before="360"/>
        <w:sectPr w:rsidR="0089246E" w:rsidSect="0089246E">
          <w:type w:val="continuous"/>
          <w:pgSz w:w="11906" w:h="16838"/>
          <w:pgMar w:top="1440" w:right="1440" w:bottom="1440" w:left="1440" w:header="708" w:footer="708" w:gutter="0"/>
          <w:cols w:num="2" w:space="708"/>
          <w:docGrid w:linePitch="360"/>
          <w15:footnoteColumns w:val="1"/>
        </w:sectPr>
      </w:pPr>
      <w:bookmarkStart w:id="100" w:name="_Toc202524000"/>
    </w:p>
    <w:p w14:paraId="7DB3CCEE" w14:textId="4846BAE2" w:rsidR="00732C77" w:rsidRDefault="00732C77" w:rsidP="00A02FBF">
      <w:pPr>
        <w:pStyle w:val="Heading2"/>
        <w:spacing w:before="360"/>
      </w:pPr>
      <w:bookmarkStart w:id="101" w:name="_Toc214912020"/>
      <w:r>
        <w:lastRenderedPageBreak/>
        <w:t>7.</w:t>
      </w:r>
      <w:r w:rsidR="00C10B77">
        <w:t>5</w:t>
      </w:r>
      <w:r>
        <w:t xml:space="preserve">   Implementation</w:t>
      </w:r>
      <w:bookmarkEnd w:id="100"/>
      <w:bookmarkEnd w:id="101"/>
      <w:r>
        <w:t xml:space="preserve"> </w:t>
      </w:r>
    </w:p>
    <w:p w14:paraId="34855CF4" w14:textId="77777777" w:rsidR="0089246E" w:rsidRDefault="0089246E" w:rsidP="00A941D3">
      <w:pPr>
        <w:pStyle w:val="Heading3"/>
        <w:numPr>
          <w:ilvl w:val="0"/>
          <w:numId w:val="0"/>
        </w:numPr>
        <w:spacing w:before="0"/>
        <w:sectPr w:rsidR="0089246E" w:rsidSect="00AE6104">
          <w:type w:val="continuous"/>
          <w:pgSz w:w="11906" w:h="16838"/>
          <w:pgMar w:top="1440" w:right="1440" w:bottom="1440" w:left="1440" w:header="708" w:footer="708" w:gutter="0"/>
          <w:cols w:space="708"/>
          <w:docGrid w:linePitch="360"/>
          <w15:footnoteColumns w:val="1"/>
        </w:sectPr>
      </w:pPr>
    </w:p>
    <w:p w14:paraId="4BCB5A0D" w14:textId="21E68BE5" w:rsidR="00C223ED" w:rsidRDefault="008546D4" w:rsidP="00A941D3">
      <w:pPr>
        <w:pStyle w:val="Heading3"/>
        <w:numPr>
          <w:ilvl w:val="0"/>
          <w:numId w:val="0"/>
        </w:numPr>
        <w:spacing w:before="0"/>
      </w:pPr>
      <w:r>
        <w:t>A structured r</w:t>
      </w:r>
      <w:r w:rsidR="00C9200F">
        <w:t>oadmap</w:t>
      </w:r>
    </w:p>
    <w:p w14:paraId="4E980325" w14:textId="110250B0" w:rsidR="0059767F" w:rsidRDefault="00B30CDD" w:rsidP="007D2140">
      <w:r>
        <w:t>Digital reform requires a structured, sequenced approach</w:t>
      </w:r>
      <w:r w:rsidR="0099110C">
        <w:t>.</w:t>
      </w:r>
      <w:r w:rsidR="00DB4E0C">
        <w:t xml:space="preserve"> </w:t>
      </w:r>
      <w:r w:rsidR="0071126D">
        <w:t xml:space="preserve">The Review recommends </w:t>
      </w:r>
      <w:r w:rsidR="00DB4E0C">
        <w:t>DGS develop</w:t>
      </w:r>
      <w:r w:rsidR="007C4E64">
        <w:t>s</w:t>
      </w:r>
      <w:r w:rsidR="0099110C">
        <w:t xml:space="preserve"> </w:t>
      </w:r>
      <w:r w:rsidR="00DB4E0C">
        <w:t>a</w:t>
      </w:r>
      <w:r w:rsidR="00CE7721" w:rsidRPr="00936AA5">
        <w:t xml:space="preserve"> clear roadmap </w:t>
      </w:r>
      <w:r w:rsidR="00DB4E0C">
        <w:t>to</w:t>
      </w:r>
      <w:r w:rsidR="00CE7721" w:rsidRPr="00936AA5">
        <w:t xml:space="preserve"> guide </w:t>
      </w:r>
      <w:r w:rsidR="00CE7721">
        <w:t>reform</w:t>
      </w:r>
      <w:r w:rsidR="00CE7721" w:rsidRPr="00936AA5">
        <w:t xml:space="preserve">, </w:t>
      </w:r>
      <w:r w:rsidR="00CE7721">
        <w:t>and</w:t>
      </w:r>
      <w:r w:rsidR="00CE7721" w:rsidRPr="00936AA5">
        <w:t xml:space="preserve"> timing must reflect agency readiness. Central support must help departments plan, adapt and onboard in ways that build capability and momentum</w:t>
      </w:r>
      <w:r>
        <w:t xml:space="preserve"> (Figure 7.4). </w:t>
      </w:r>
      <w:r w:rsidR="000B301C" w:rsidRPr="00936AA5">
        <w:t xml:space="preserve">Shared platforms should be mandatory where they meet common needs, with reuse designed in. </w:t>
      </w:r>
    </w:p>
    <w:p w14:paraId="5BD67617" w14:textId="714B219E" w:rsidR="00B30CDD" w:rsidRDefault="00B30CDD" w:rsidP="007D2140">
      <w:r>
        <w:t xml:space="preserve">Key enablers, such as a single workforce identifier and common workflows should be </w:t>
      </w:r>
      <w:r>
        <w:t xml:space="preserve">prioritised in years 1-2. The single workforce identifier is a particularly important early step for better </w:t>
      </w:r>
      <w:r w:rsidR="0059767F">
        <w:t xml:space="preserve">VPS </w:t>
      </w:r>
      <w:r>
        <w:t xml:space="preserve">workforce planning and re-sizing (see Chapter </w:t>
      </w:r>
      <w:r w:rsidRPr="00E55210">
        <w:t>5</w:t>
      </w:r>
      <w:r>
        <w:t>)</w:t>
      </w:r>
      <w:r w:rsidRPr="0059767F">
        <w:t>.</w:t>
      </w:r>
    </w:p>
    <w:p w14:paraId="526EAAC7" w14:textId="238FF8A7" w:rsidR="007F78EB" w:rsidRDefault="007F78EB" w:rsidP="007D2140">
      <w:r w:rsidRPr="006B1F26">
        <w:t>Implementation should focus on repeatable</w:t>
      </w:r>
      <w:r>
        <w:t xml:space="preserve"> transactional </w:t>
      </w:r>
      <w:r w:rsidRPr="006B1F26">
        <w:t>services</w:t>
      </w:r>
      <w:r>
        <w:t xml:space="preserve"> – </w:t>
      </w:r>
      <w:r w:rsidRPr="006B1F26">
        <w:t>prioritising high-volume areas or those that complete c</w:t>
      </w:r>
      <w:r>
        <w:t>ustomer</w:t>
      </w:r>
      <w:r w:rsidRPr="006B1F26">
        <w:t xml:space="preserve"> journeys. </w:t>
      </w:r>
      <w:r>
        <w:t>Common dashboards should track cost and user benefits, with annual public reporting through a performance scorecard</w:t>
      </w:r>
      <w:r w:rsidRPr="006B1F26">
        <w:t>.</w:t>
      </w:r>
    </w:p>
    <w:p w14:paraId="7B4BBFEC" w14:textId="77777777" w:rsidR="0089246E" w:rsidRDefault="0089246E" w:rsidP="00365409">
      <w:pPr>
        <w:pStyle w:val="Figureheading"/>
        <w:sectPr w:rsidR="0089246E" w:rsidSect="0089246E">
          <w:type w:val="continuous"/>
          <w:pgSz w:w="11906" w:h="16838"/>
          <w:pgMar w:top="1440" w:right="1440" w:bottom="1440" w:left="1440" w:header="708" w:footer="708" w:gutter="0"/>
          <w:cols w:num="2" w:space="708"/>
          <w:docGrid w:linePitch="360"/>
          <w15:footnoteColumns w:val="1"/>
        </w:sectPr>
      </w:pPr>
    </w:p>
    <w:p w14:paraId="4D7D2639" w14:textId="437BD55D" w:rsidR="00B30CDD" w:rsidRPr="00A03C00" w:rsidRDefault="00B30CDD" w:rsidP="00732605">
      <w:pPr>
        <w:pStyle w:val="Figureheading"/>
        <w:spacing w:before="480"/>
      </w:pPr>
      <w:r w:rsidRPr="00A03C00">
        <w:t xml:space="preserve">Figure </w:t>
      </w:r>
      <w:r w:rsidR="00C43544">
        <w:t>7</w:t>
      </w:r>
      <w:r w:rsidRPr="00A03C00">
        <w:t>.</w:t>
      </w:r>
      <w:r w:rsidR="009D5FCD">
        <w:fldChar w:fldCharType="begin"/>
      </w:r>
      <w:r w:rsidR="009D5FCD">
        <w:instrText xml:space="preserve"> SEQ Figure \* ARABIC \s 1 </w:instrText>
      </w:r>
      <w:r w:rsidR="009D5FCD">
        <w:fldChar w:fldCharType="separate"/>
      </w:r>
      <w:r w:rsidR="009D1283">
        <w:rPr>
          <w:noProof/>
        </w:rPr>
        <w:t>4</w:t>
      </w:r>
      <w:r w:rsidR="009D5FCD">
        <w:rPr>
          <w:noProof/>
        </w:rPr>
        <w:fldChar w:fldCharType="end"/>
      </w:r>
      <w:r w:rsidRPr="00A03C00">
        <w:t>: High level roadmap</w:t>
      </w:r>
    </w:p>
    <w:p w14:paraId="00294798" w14:textId="4AAC3C67" w:rsidR="0000401E" w:rsidRDefault="00B30CDD" w:rsidP="0000401E">
      <w:pPr>
        <w:pStyle w:val="Caption"/>
        <w:spacing w:before="240"/>
      </w:pPr>
      <w:r>
        <w:rPr>
          <w:noProof/>
        </w:rPr>
        <w:drawing>
          <wp:inline distT="0" distB="0" distL="0" distR="0" wp14:anchorId="33E6345B" wp14:editId="7F534E17">
            <wp:extent cx="6094238" cy="3624404"/>
            <wp:effectExtent l="0" t="0" r="1905" b="0"/>
            <wp:docPr id="490281228" name="Picture 2" descr="A table outlining a high level roadmap of recommended shared services reform. Each row of the table is one of the following four reform streams: Regulatory functions and customer services, VPS corporate services, Enabling platform and infrastructure, and AI Centre of Excellence. There are three columns that outline the following three time periods: year 1-2; year 3-5; year 6-10. Each cell outlines the key steps required for each reform stream in a given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81228" name="Picture 2" descr="A table outlining a high level roadmap of recommended shared services reform. Each row of the table is one of the following four reform streams: Regulatory functions and customer services, VPS corporate services, Enabling platform and infrastructure, and AI Centre of Excellence. There are three columns that outline the following three time periods: year 1-2; year 3-5; year 6-10. Each cell outlines the key steps required for each reform stream in a given time perio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15284" cy="3636921"/>
                    </a:xfrm>
                    <a:prstGeom prst="rect">
                      <a:avLst/>
                    </a:prstGeom>
                  </pic:spPr>
                </pic:pic>
              </a:graphicData>
            </a:graphic>
          </wp:inline>
        </w:drawing>
      </w:r>
    </w:p>
    <w:p w14:paraId="553038B0" w14:textId="753EAABF" w:rsidR="00B30CDD" w:rsidRPr="000A69CF" w:rsidRDefault="00A97302" w:rsidP="003212BC">
      <w:pPr>
        <w:pStyle w:val="Caption"/>
        <w:spacing w:before="360"/>
      </w:pPr>
      <w:r w:rsidRPr="00A97302">
        <w:t>Source: Independent Review of the VPS, 2025</w:t>
      </w:r>
    </w:p>
    <w:p w14:paraId="28E216D8" w14:textId="77777777" w:rsidR="0089246E" w:rsidRDefault="0089246E" w:rsidP="001839FC">
      <w:pPr>
        <w:pStyle w:val="Heading3"/>
        <w:numPr>
          <w:ilvl w:val="0"/>
          <w:numId w:val="0"/>
        </w:numPr>
        <w:spacing w:before="0"/>
      </w:pPr>
      <w:r>
        <w:br w:type="page"/>
      </w:r>
    </w:p>
    <w:p w14:paraId="049315F1" w14:textId="77777777" w:rsidR="0089246E" w:rsidRDefault="0089246E" w:rsidP="001839FC">
      <w:pPr>
        <w:pStyle w:val="Heading3"/>
        <w:numPr>
          <w:ilvl w:val="0"/>
          <w:numId w:val="0"/>
        </w:numPr>
        <w:spacing w:before="0"/>
        <w:sectPr w:rsidR="0089246E" w:rsidSect="00AE6104">
          <w:type w:val="continuous"/>
          <w:pgSz w:w="11906" w:h="16838"/>
          <w:pgMar w:top="1440" w:right="1440" w:bottom="1440" w:left="1440" w:header="708" w:footer="708" w:gutter="0"/>
          <w:cols w:space="708"/>
          <w:docGrid w:linePitch="360"/>
          <w15:footnoteColumns w:val="1"/>
        </w:sectPr>
      </w:pPr>
    </w:p>
    <w:p w14:paraId="03D20B39" w14:textId="65B3416E" w:rsidR="000C3B68" w:rsidRDefault="000C3B68" w:rsidP="001839FC">
      <w:pPr>
        <w:pStyle w:val="Heading3"/>
        <w:numPr>
          <w:ilvl w:val="0"/>
          <w:numId w:val="0"/>
        </w:numPr>
        <w:spacing w:before="0"/>
      </w:pPr>
      <w:r>
        <w:lastRenderedPageBreak/>
        <w:t>Governance and accountability</w:t>
      </w:r>
    </w:p>
    <w:p w14:paraId="2C052BBA" w14:textId="09B52AD8" w:rsidR="000C3B68" w:rsidRPr="00936AA5" w:rsidRDefault="000C3B68" w:rsidP="000C3B68">
      <w:r w:rsidRPr="000A69CF">
        <w:t xml:space="preserve">Strong central governance and delivery support </w:t>
      </w:r>
      <w:r>
        <w:t xml:space="preserve">will be essential to successful digital transformation. </w:t>
      </w:r>
      <w:r w:rsidRPr="00936AA5">
        <w:t xml:space="preserve">Decision rights, oversight and delivery plans </w:t>
      </w:r>
      <w:r>
        <w:t>will need to</w:t>
      </w:r>
      <w:r w:rsidRPr="00936AA5">
        <w:t xml:space="preserve"> be</w:t>
      </w:r>
      <w:r w:rsidR="00DF3C6D">
        <w:t> </w:t>
      </w:r>
      <w:r w:rsidRPr="00936AA5">
        <w:t xml:space="preserve">clear. </w:t>
      </w:r>
    </w:p>
    <w:p w14:paraId="5D6B43E1" w14:textId="0527B520" w:rsidR="000C3B68" w:rsidRDefault="000C3B68" w:rsidP="000C3B68">
      <w:r>
        <w:t>Role clarity will be important for</w:t>
      </w:r>
      <w:r w:rsidRPr="00925FD0">
        <w:t xml:space="preserve"> DGS, </w:t>
      </w:r>
      <w:proofErr w:type="spellStart"/>
      <w:r w:rsidRPr="00925FD0">
        <w:t>CenITex</w:t>
      </w:r>
      <w:proofErr w:type="spellEnd"/>
      <w:r w:rsidRPr="00925FD0">
        <w:t xml:space="preserve"> and departments. Each plays a critical, different and complementary role: DGS leads the strategy and planning; </w:t>
      </w:r>
      <w:proofErr w:type="spellStart"/>
      <w:r w:rsidRPr="00925FD0">
        <w:t>CenITex</w:t>
      </w:r>
      <w:proofErr w:type="spellEnd"/>
      <w:r w:rsidRPr="00925FD0">
        <w:t xml:space="preserve"> advises on platform viability and technical standards; and departments contribute to planning and governance, as well as ensuring local uptake. </w:t>
      </w:r>
      <w:r w:rsidRPr="00936AA5">
        <w:t xml:space="preserve">Departments </w:t>
      </w:r>
      <w:r>
        <w:t>need to be closely involved to</w:t>
      </w:r>
      <w:r w:rsidRPr="00936AA5">
        <w:t xml:space="preserve"> help shape delivery</w:t>
      </w:r>
      <w:r>
        <w:t xml:space="preserve"> </w:t>
      </w:r>
      <w:r w:rsidRPr="00936AA5">
        <w:t xml:space="preserve">but </w:t>
      </w:r>
      <w:r>
        <w:t xml:space="preserve">should </w:t>
      </w:r>
      <w:r w:rsidRPr="00936AA5">
        <w:t xml:space="preserve">not </w:t>
      </w:r>
      <w:r>
        <w:t xml:space="preserve">be able to </w:t>
      </w:r>
      <w:r w:rsidRPr="00936AA5">
        <w:t>opt out.</w:t>
      </w:r>
      <w:r>
        <w:t xml:space="preserve"> </w:t>
      </w:r>
      <w:r w:rsidRPr="00925FD0">
        <w:t>All parties require a commitment to shared</w:t>
      </w:r>
      <w:r w:rsidR="0040143D">
        <w:t> </w:t>
      </w:r>
      <w:r w:rsidRPr="00925FD0">
        <w:t>outcomes with clarity of their role in</w:t>
      </w:r>
      <w:r w:rsidR="0040143D">
        <w:t> </w:t>
      </w:r>
      <w:r w:rsidRPr="00925FD0">
        <w:t>the</w:t>
      </w:r>
      <w:r w:rsidR="0002004C">
        <w:t> </w:t>
      </w:r>
      <w:r w:rsidRPr="00925FD0">
        <w:t xml:space="preserve">reforms. </w:t>
      </w:r>
    </w:p>
    <w:p w14:paraId="7717E940" w14:textId="77777777" w:rsidR="000C3B68" w:rsidRDefault="000C3B68" w:rsidP="000C3B68">
      <w:r>
        <w:t>The Review recommends a</w:t>
      </w:r>
      <w:r w:rsidRPr="000A69CF">
        <w:t xml:space="preserve"> </w:t>
      </w:r>
      <w:r>
        <w:t>new</w:t>
      </w:r>
      <w:r w:rsidRPr="000A69CF">
        <w:t xml:space="preserve"> Digital Government Steering </w:t>
      </w:r>
      <w:r>
        <w:t>Committee be established, comprising</w:t>
      </w:r>
      <w:r w:rsidRPr="000A69CF">
        <w:t xml:space="preserve"> DGS, DTF, DPC and independent experts</w:t>
      </w:r>
      <w:r>
        <w:t>, to</w:t>
      </w:r>
      <w:r w:rsidRPr="000A69CF">
        <w:t xml:space="preserve"> guide investment</w:t>
      </w:r>
      <w:r>
        <w:t xml:space="preserve"> and track progress</w:t>
      </w:r>
      <w:r w:rsidRPr="000A69CF">
        <w:t xml:space="preserve">. </w:t>
      </w:r>
      <w:r>
        <w:t>This steering committee should report to VSB to enable strong and shared Secretary oversight of reform.</w:t>
      </w:r>
      <w:r w:rsidRPr="000A69CF">
        <w:t xml:space="preserve"> </w:t>
      </w:r>
      <w:r>
        <w:t>Regular</w:t>
      </w:r>
      <w:r w:rsidRPr="000D6080">
        <w:t xml:space="preserve"> </w:t>
      </w:r>
      <w:r>
        <w:t>reporting to government and published annual score cards will reinforce the importance of this work.</w:t>
      </w:r>
    </w:p>
    <w:p w14:paraId="51494B13" w14:textId="6E102DF3" w:rsidR="000C3B68" w:rsidRDefault="000C3B68" w:rsidP="000C3B68">
      <w:r w:rsidRPr="000A69CF">
        <w:t>Within DGS, a Delivery Coordination Office should manage implementation, coordinate onboarding, and track milestones</w:t>
      </w:r>
      <w:r>
        <w:t xml:space="preserve">. </w:t>
      </w:r>
      <w:r w:rsidRPr="000A69CF">
        <w:t xml:space="preserve">A </w:t>
      </w:r>
      <w:r w:rsidRPr="002719E4">
        <w:t>dedicated commercial function</w:t>
      </w:r>
      <w:r>
        <w:t xml:space="preserve"> in DGS</w:t>
      </w:r>
      <w:r w:rsidRPr="002719E4">
        <w:t xml:space="preserve"> should support business case development and innovation</w:t>
      </w:r>
      <w:r>
        <w:t>, modelled on DTF’s</w:t>
      </w:r>
      <w:r w:rsidRPr="002719E4">
        <w:t xml:space="preserve"> Early Intervention Investment Framework. </w:t>
      </w:r>
      <w:r>
        <w:t xml:space="preserve">In addition, </w:t>
      </w:r>
      <w:r w:rsidRPr="002719E4">
        <w:t>DGS</w:t>
      </w:r>
      <w:r>
        <w:t xml:space="preserve"> should create</w:t>
      </w:r>
      <w:r w:rsidRPr="002719E4">
        <w:t xml:space="preserve"> relationship managers</w:t>
      </w:r>
      <w:r>
        <w:t xml:space="preserve"> who sit in customer departments, and who can</w:t>
      </w:r>
      <w:r w:rsidRPr="002719E4">
        <w:t xml:space="preserve"> support departmental planning and transition</w:t>
      </w:r>
      <w:r>
        <w:t>.</w:t>
      </w:r>
    </w:p>
    <w:p w14:paraId="57943C2F" w14:textId="78E5CD27" w:rsidR="004A0AB8" w:rsidRPr="00C026E6" w:rsidRDefault="004A0AB8" w:rsidP="004A0AB8">
      <w:pPr>
        <w:pStyle w:val="Heading3"/>
        <w:numPr>
          <w:ilvl w:val="0"/>
          <w:numId w:val="0"/>
        </w:numPr>
        <w:spacing w:before="360"/>
      </w:pPr>
      <w:r>
        <w:t>Setting up for success – DGS capability review</w:t>
      </w:r>
    </w:p>
    <w:p w14:paraId="2CEA1E43" w14:textId="0FB4C5A9" w:rsidR="00E377E3" w:rsidRDefault="00417D6C" w:rsidP="004A0AB8">
      <w:r>
        <w:t>To support DGS’s important role, t</w:t>
      </w:r>
      <w:r w:rsidR="004A0AB8">
        <w:t>he Review recommends that</w:t>
      </w:r>
      <w:r w:rsidR="003A3238">
        <w:t xml:space="preserve"> DGS is the first department to </w:t>
      </w:r>
      <w:r w:rsidR="00132369">
        <w:t xml:space="preserve">be </w:t>
      </w:r>
      <w:r w:rsidR="003A3238">
        <w:t xml:space="preserve">reviewed under </w:t>
      </w:r>
      <w:r w:rsidR="00417857">
        <w:t>a</w:t>
      </w:r>
      <w:r w:rsidR="003A3238">
        <w:t xml:space="preserve"> </w:t>
      </w:r>
      <w:r w:rsidR="00417857">
        <w:t>new</w:t>
      </w:r>
      <w:r w:rsidR="003A3238">
        <w:t xml:space="preserve"> </w:t>
      </w:r>
      <w:r w:rsidR="00417857">
        <w:t xml:space="preserve">VPS </w:t>
      </w:r>
      <w:r w:rsidR="003A3238">
        <w:t>capability review program</w:t>
      </w:r>
      <w:r w:rsidR="004A0AB8">
        <w:t xml:space="preserve"> (see Chapter</w:t>
      </w:r>
      <w:r w:rsidR="00AA6447">
        <w:t> </w:t>
      </w:r>
      <w:r w:rsidR="004A0AB8" w:rsidRPr="001E03C0">
        <w:t>5</w:t>
      </w:r>
      <w:r w:rsidR="004A0AB8">
        <w:t xml:space="preserve">). </w:t>
      </w:r>
      <w:r w:rsidR="00E06C1E">
        <w:t>This</w:t>
      </w:r>
      <w:r w:rsidR="004A0AB8">
        <w:t xml:space="preserve"> </w:t>
      </w:r>
      <w:r w:rsidR="003A3238">
        <w:t xml:space="preserve">forward-looking review </w:t>
      </w:r>
      <w:r w:rsidR="004A0AB8">
        <w:t>would assess DGS’s ability to lead, coordinate and govern reform across departments, including performance and risk oversight (Box 7.1).</w:t>
      </w:r>
    </w:p>
    <w:p w14:paraId="19BD7E3E" w14:textId="77777777" w:rsidR="0089246E" w:rsidRDefault="0089246E" w:rsidP="00026D40">
      <w:pPr>
        <w:rPr>
          <w:b/>
          <w:bCs/>
        </w:rPr>
        <w:sectPr w:rsidR="0089246E" w:rsidSect="0089246E">
          <w:type w:val="continuous"/>
          <w:pgSz w:w="11906" w:h="16838"/>
          <w:pgMar w:top="1440" w:right="1440" w:bottom="1440" w:left="1440" w:header="708" w:footer="708" w:gutter="0"/>
          <w:cols w:num="2" w:space="708"/>
          <w:docGrid w:linePitch="360"/>
          <w15:footnoteColumns w:val="1"/>
        </w:sectPr>
      </w:pPr>
    </w:p>
    <w:p w14:paraId="5C50903E" w14:textId="27B9D502" w:rsidR="00AD1744" w:rsidRDefault="00AD1744" w:rsidP="00026D40">
      <w:pPr>
        <w:rPr>
          <w:b/>
          <w:bCs/>
        </w:rPr>
      </w:pPr>
      <w:r>
        <w:rPr>
          <w:b/>
          <w:bCs/>
        </w:rPr>
        <w:br w:type="page"/>
      </w:r>
    </w:p>
    <w:tbl>
      <w:tblPr>
        <w:tblStyle w:val="TableGrid"/>
        <w:tblW w:w="0" w:type="auto"/>
        <w:shd w:val="clear" w:color="auto" w:fill="E7E6E6"/>
        <w:tblLook w:val="04A0" w:firstRow="1" w:lastRow="0" w:firstColumn="1" w:lastColumn="0" w:noHBand="0" w:noVBand="1"/>
      </w:tblPr>
      <w:tblGrid>
        <w:gridCol w:w="9016"/>
      </w:tblGrid>
      <w:tr w:rsidR="004A0AB8" w:rsidRPr="00D335CC" w14:paraId="09D43EB5" w14:textId="77777777" w:rsidTr="00267156">
        <w:tc>
          <w:tcPr>
            <w:tcW w:w="9016" w:type="dxa"/>
            <w:tcBorders>
              <w:top w:val="nil"/>
              <w:left w:val="nil"/>
              <w:bottom w:val="nil"/>
              <w:right w:val="nil"/>
            </w:tcBorders>
            <w:shd w:val="clear" w:color="auto" w:fill="E7E6E6"/>
          </w:tcPr>
          <w:p w14:paraId="76AD3ABA" w14:textId="22A7F7CF" w:rsidR="004A0AB8" w:rsidRPr="003E3680" w:rsidRDefault="004A0AB8" w:rsidP="00B7029B">
            <w:pPr>
              <w:spacing w:before="120" w:after="160" w:line="278" w:lineRule="auto"/>
              <w:rPr>
                <w:b/>
                <w:bCs/>
              </w:rPr>
            </w:pPr>
            <w:r w:rsidRPr="003E3680">
              <w:rPr>
                <w:b/>
                <w:bCs/>
              </w:rPr>
              <w:lastRenderedPageBreak/>
              <w:t>Box 7.1: DGS capability review</w:t>
            </w:r>
          </w:p>
          <w:p w14:paraId="62C1015D" w14:textId="0017162F" w:rsidR="004A0AB8" w:rsidRPr="008C1749" w:rsidRDefault="004A0AB8" w:rsidP="008C1749">
            <w:pPr>
              <w:spacing w:after="160" w:line="278" w:lineRule="auto"/>
            </w:pPr>
            <w:r w:rsidRPr="00E15BC3">
              <w:t xml:space="preserve">A capability review of DGS </w:t>
            </w:r>
            <w:r w:rsidR="00ED653A">
              <w:t xml:space="preserve">early in the </w:t>
            </w:r>
            <w:r w:rsidR="00AA7DB9">
              <w:t xml:space="preserve">whole of government </w:t>
            </w:r>
            <w:r w:rsidR="00ED653A">
              <w:t xml:space="preserve">digital transformation program could </w:t>
            </w:r>
            <w:r w:rsidRPr="00E15BC3">
              <w:t>accelerate readines</w:t>
            </w:r>
            <w:r w:rsidR="003E3680">
              <w:t>s</w:t>
            </w:r>
            <w:r w:rsidRPr="00E15BC3">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2977"/>
              <w:gridCol w:w="3349"/>
            </w:tblGrid>
            <w:tr w:rsidR="004A0AB8" w:rsidRPr="00040728" w14:paraId="43D72A25" w14:textId="77777777">
              <w:trPr>
                <w:trHeight w:val="347"/>
                <w:jc w:val="center"/>
              </w:trPr>
              <w:tc>
                <w:tcPr>
                  <w:tcW w:w="1870" w:type="dxa"/>
                  <w:tcBorders>
                    <w:bottom w:val="single" w:sz="4" w:space="0" w:color="000000" w:themeColor="text1"/>
                    <w:right w:val="single" w:sz="4" w:space="0" w:color="000000" w:themeColor="text1"/>
                  </w:tcBorders>
                </w:tcPr>
                <w:p w14:paraId="215E3769" w14:textId="77777777" w:rsidR="004A0AB8" w:rsidRPr="00DC0EF0" w:rsidRDefault="004A0AB8">
                  <w:pPr>
                    <w:rPr>
                      <w:b/>
                      <w:sz w:val="18"/>
                      <w:szCs w:val="20"/>
                    </w:rPr>
                  </w:pPr>
                  <w:r w:rsidRPr="00DC0EF0">
                    <w:rPr>
                      <w:b/>
                      <w:sz w:val="18"/>
                      <w:szCs w:val="20"/>
                    </w:rPr>
                    <w:t>Capability Area</w:t>
                  </w:r>
                </w:p>
              </w:tc>
              <w:tc>
                <w:tcPr>
                  <w:tcW w:w="2977" w:type="dxa"/>
                  <w:tcBorders>
                    <w:left w:val="single" w:sz="4" w:space="0" w:color="000000" w:themeColor="text1"/>
                    <w:bottom w:val="single" w:sz="4" w:space="0" w:color="000000" w:themeColor="text1"/>
                  </w:tcBorders>
                </w:tcPr>
                <w:p w14:paraId="36807CD4" w14:textId="77777777" w:rsidR="004A0AB8" w:rsidRPr="00DC0EF0" w:rsidRDefault="004A0AB8">
                  <w:pPr>
                    <w:rPr>
                      <w:b/>
                      <w:sz w:val="18"/>
                      <w:szCs w:val="20"/>
                    </w:rPr>
                  </w:pPr>
                  <w:r w:rsidRPr="00DC0EF0">
                    <w:rPr>
                      <w:b/>
                      <w:sz w:val="18"/>
                      <w:szCs w:val="20"/>
                    </w:rPr>
                    <w:t>Assessment objective</w:t>
                  </w:r>
                </w:p>
              </w:tc>
              <w:tc>
                <w:tcPr>
                  <w:tcW w:w="3349" w:type="dxa"/>
                  <w:tcBorders>
                    <w:bottom w:val="single" w:sz="4" w:space="0" w:color="000000" w:themeColor="text1"/>
                  </w:tcBorders>
                </w:tcPr>
                <w:p w14:paraId="7A41A801" w14:textId="77777777" w:rsidR="004A0AB8" w:rsidRPr="00DC0EF0" w:rsidRDefault="004A0AB8">
                  <w:pPr>
                    <w:rPr>
                      <w:b/>
                      <w:sz w:val="18"/>
                      <w:szCs w:val="20"/>
                    </w:rPr>
                  </w:pPr>
                  <w:r w:rsidRPr="00DC0EF0">
                    <w:rPr>
                      <w:b/>
                      <w:sz w:val="18"/>
                      <w:szCs w:val="20"/>
                    </w:rPr>
                    <w:t>Example actions</w:t>
                  </w:r>
                </w:p>
              </w:tc>
            </w:tr>
            <w:tr w:rsidR="004A0AB8" w:rsidRPr="00040728" w14:paraId="424C074E" w14:textId="77777777">
              <w:trPr>
                <w:trHeight w:val="1002"/>
                <w:jc w:val="center"/>
              </w:trPr>
              <w:tc>
                <w:tcPr>
                  <w:tcW w:w="1870" w:type="dxa"/>
                  <w:tcBorders>
                    <w:top w:val="single" w:sz="4" w:space="0" w:color="000000" w:themeColor="text1"/>
                    <w:right w:val="single" w:sz="4" w:space="0" w:color="000000" w:themeColor="text1"/>
                  </w:tcBorders>
                </w:tcPr>
                <w:p w14:paraId="3078A9FB" w14:textId="77777777" w:rsidR="004A0AB8" w:rsidRPr="00DC0EF0" w:rsidRDefault="004A0AB8" w:rsidP="008C1749">
                  <w:pPr>
                    <w:spacing w:before="60" w:after="60"/>
                    <w:rPr>
                      <w:b/>
                      <w:sz w:val="18"/>
                      <w:szCs w:val="20"/>
                    </w:rPr>
                  </w:pPr>
                  <w:r w:rsidRPr="00DC0EF0">
                    <w:rPr>
                      <w:b/>
                      <w:sz w:val="18"/>
                      <w:szCs w:val="20"/>
                    </w:rPr>
                    <w:t>Digital and customer operations platforms</w:t>
                  </w:r>
                </w:p>
              </w:tc>
              <w:tc>
                <w:tcPr>
                  <w:tcW w:w="2977" w:type="dxa"/>
                  <w:tcBorders>
                    <w:top w:val="single" w:sz="4" w:space="0" w:color="000000" w:themeColor="text1"/>
                    <w:left w:val="single" w:sz="4" w:space="0" w:color="000000" w:themeColor="text1"/>
                  </w:tcBorders>
                </w:tcPr>
                <w:p w14:paraId="201DC22D" w14:textId="77777777" w:rsidR="004A0AB8" w:rsidRPr="00DC0EF0" w:rsidRDefault="004A0AB8" w:rsidP="008C1749">
                  <w:pPr>
                    <w:spacing w:before="60" w:after="60"/>
                    <w:rPr>
                      <w:sz w:val="18"/>
                      <w:szCs w:val="20"/>
                    </w:rPr>
                  </w:pPr>
                  <w:r w:rsidRPr="00DC0EF0">
                    <w:rPr>
                      <w:sz w:val="18"/>
                      <w:szCs w:val="20"/>
                    </w:rPr>
                    <w:t>Assess ability to deliver end-to-end digital services and manage high-volume transactions</w:t>
                  </w:r>
                </w:p>
              </w:tc>
              <w:tc>
                <w:tcPr>
                  <w:tcW w:w="3349" w:type="dxa"/>
                  <w:tcBorders>
                    <w:top w:val="single" w:sz="4" w:space="0" w:color="000000" w:themeColor="text1"/>
                  </w:tcBorders>
                </w:tcPr>
                <w:p w14:paraId="30AEF078" w14:textId="77777777" w:rsidR="004A0AB8" w:rsidRPr="00DC0EF0" w:rsidRDefault="004A0AB8" w:rsidP="008C1749">
                  <w:pPr>
                    <w:spacing w:before="60" w:after="60"/>
                    <w:rPr>
                      <w:sz w:val="18"/>
                      <w:szCs w:val="20"/>
                    </w:rPr>
                  </w:pPr>
                  <w:r w:rsidRPr="00DC0EF0">
                    <w:rPr>
                      <w:sz w:val="18"/>
                      <w:szCs w:val="20"/>
                    </w:rPr>
                    <w:t>Extend whole of government access by consolidating best in breed billing platform and data integration services within DGS, strengthen journey design</w:t>
                  </w:r>
                </w:p>
              </w:tc>
            </w:tr>
            <w:tr w:rsidR="004A0AB8" w:rsidRPr="00040728" w14:paraId="49AF2F49" w14:textId="77777777">
              <w:trPr>
                <w:trHeight w:val="995"/>
                <w:jc w:val="center"/>
              </w:trPr>
              <w:tc>
                <w:tcPr>
                  <w:tcW w:w="1870" w:type="dxa"/>
                  <w:tcBorders>
                    <w:right w:val="single" w:sz="4" w:space="0" w:color="000000" w:themeColor="text1"/>
                  </w:tcBorders>
                </w:tcPr>
                <w:p w14:paraId="79C121C2" w14:textId="77777777" w:rsidR="004A0AB8" w:rsidRPr="00DC0EF0" w:rsidRDefault="004A0AB8" w:rsidP="008C1749">
                  <w:pPr>
                    <w:spacing w:before="60" w:after="60"/>
                    <w:rPr>
                      <w:b/>
                      <w:sz w:val="18"/>
                      <w:szCs w:val="20"/>
                    </w:rPr>
                  </w:pPr>
                  <w:r w:rsidRPr="00DC0EF0">
                    <w:rPr>
                      <w:b/>
                      <w:sz w:val="18"/>
                      <w:szCs w:val="20"/>
                    </w:rPr>
                    <w:t>Regulatory operations capability</w:t>
                  </w:r>
                </w:p>
              </w:tc>
              <w:tc>
                <w:tcPr>
                  <w:tcW w:w="2977" w:type="dxa"/>
                  <w:tcBorders>
                    <w:left w:val="single" w:sz="4" w:space="0" w:color="000000" w:themeColor="text1"/>
                  </w:tcBorders>
                </w:tcPr>
                <w:p w14:paraId="01391B4C" w14:textId="77777777" w:rsidR="004A0AB8" w:rsidRPr="00DC0EF0" w:rsidRDefault="004A0AB8" w:rsidP="008C1749">
                  <w:pPr>
                    <w:spacing w:before="60" w:after="60"/>
                    <w:rPr>
                      <w:sz w:val="18"/>
                      <w:szCs w:val="20"/>
                    </w:rPr>
                  </w:pPr>
                  <w:r w:rsidRPr="00DC0EF0">
                    <w:rPr>
                      <w:sz w:val="18"/>
                      <w:szCs w:val="20"/>
                    </w:rPr>
                    <w:t>Test maturity to support regulatory consolidation (licensing, compliance, complaints)</w:t>
                  </w:r>
                </w:p>
              </w:tc>
              <w:tc>
                <w:tcPr>
                  <w:tcW w:w="3349" w:type="dxa"/>
                </w:tcPr>
                <w:p w14:paraId="06D8E3FE" w14:textId="77777777" w:rsidR="004A0AB8" w:rsidRPr="00DC0EF0" w:rsidRDefault="004A0AB8" w:rsidP="008C1749">
                  <w:pPr>
                    <w:spacing w:before="60" w:after="60"/>
                    <w:rPr>
                      <w:sz w:val="18"/>
                      <w:szCs w:val="20"/>
                    </w:rPr>
                  </w:pPr>
                  <w:r w:rsidRPr="00DC0EF0">
                    <w:rPr>
                      <w:sz w:val="18"/>
                      <w:szCs w:val="20"/>
                    </w:rPr>
                    <w:t>Adopt workflows from departments with strong dispute resolution or audit tools; identify business-facing functions to be led by DGS</w:t>
                  </w:r>
                </w:p>
              </w:tc>
            </w:tr>
            <w:tr w:rsidR="004A0AB8" w:rsidRPr="00040728" w14:paraId="7C4B1A0F" w14:textId="77777777">
              <w:trPr>
                <w:trHeight w:val="779"/>
                <w:jc w:val="center"/>
              </w:trPr>
              <w:tc>
                <w:tcPr>
                  <w:tcW w:w="1870" w:type="dxa"/>
                  <w:tcBorders>
                    <w:right w:val="single" w:sz="4" w:space="0" w:color="000000" w:themeColor="text1"/>
                  </w:tcBorders>
                </w:tcPr>
                <w:p w14:paraId="60B5E8B5" w14:textId="77777777" w:rsidR="004A0AB8" w:rsidRPr="00DC0EF0" w:rsidRDefault="004A0AB8" w:rsidP="008C1749">
                  <w:pPr>
                    <w:spacing w:before="60" w:after="60"/>
                    <w:rPr>
                      <w:b/>
                      <w:sz w:val="18"/>
                      <w:szCs w:val="20"/>
                    </w:rPr>
                  </w:pPr>
                  <w:r w:rsidRPr="00DC0EF0">
                    <w:rPr>
                      <w:b/>
                      <w:sz w:val="18"/>
                      <w:szCs w:val="20"/>
                    </w:rPr>
                    <w:t>Corporate delivery and coordination functions</w:t>
                  </w:r>
                </w:p>
              </w:tc>
              <w:tc>
                <w:tcPr>
                  <w:tcW w:w="2977" w:type="dxa"/>
                  <w:tcBorders>
                    <w:left w:val="single" w:sz="4" w:space="0" w:color="000000" w:themeColor="text1"/>
                  </w:tcBorders>
                </w:tcPr>
                <w:p w14:paraId="3DAD608A" w14:textId="2C23E3AE" w:rsidR="004A0AB8" w:rsidRPr="00DC0EF0" w:rsidRDefault="004A0AB8" w:rsidP="008C1749">
                  <w:pPr>
                    <w:spacing w:before="60" w:after="60"/>
                    <w:rPr>
                      <w:sz w:val="18"/>
                      <w:szCs w:val="20"/>
                    </w:rPr>
                  </w:pPr>
                  <w:r w:rsidRPr="00DC0EF0">
                    <w:rPr>
                      <w:sz w:val="18"/>
                      <w:szCs w:val="20"/>
                    </w:rPr>
                    <w:t>Confirm ability to scale shared HR, finance, and procurement processes with reporting and compliance</w:t>
                  </w:r>
                </w:p>
              </w:tc>
              <w:tc>
                <w:tcPr>
                  <w:tcW w:w="3349" w:type="dxa"/>
                </w:tcPr>
                <w:p w14:paraId="3F5D607B" w14:textId="77777777" w:rsidR="004A0AB8" w:rsidRPr="00DC0EF0" w:rsidRDefault="004A0AB8" w:rsidP="008C1749">
                  <w:pPr>
                    <w:spacing w:before="60" w:after="60"/>
                    <w:rPr>
                      <w:sz w:val="18"/>
                      <w:szCs w:val="20"/>
                    </w:rPr>
                  </w:pPr>
                  <w:r w:rsidRPr="00DC0EF0">
                    <w:rPr>
                      <w:sz w:val="18"/>
                      <w:szCs w:val="20"/>
                    </w:rPr>
                    <w:t>Accelerate development of core platforms (HRIS, finance), consolidate risks and governance processes</w:t>
                  </w:r>
                </w:p>
              </w:tc>
            </w:tr>
            <w:tr w:rsidR="004A0AB8" w:rsidRPr="00040728" w14:paraId="29C259C6" w14:textId="77777777">
              <w:trPr>
                <w:trHeight w:val="1427"/>
                <w:jc w:val="center"/>
              </w:trPr>
              <w:tc>
                <w:tcPr>
                  <w:tcW w:w="1870" w:type="dxa"/>
                  <w:tcBorders>
                    <w:right w:val="single" w:sz="4" w:space="0" w:color="000000" w:themeColor="text1"/>
                  </w:tcBorders>
                </w:tcPr>
                <w:p w14:paraId="6833A74F" w14:textId="77777777" w:rsidR="004A0AB8" w:rsidRPr="00DC0EF0" w:rsidRDefault="004A0AB8" w:rsidP="008C1749">
                  <w:pPr>
                    <w:spacing w:before="60" w:after="60"/>
                    <w:rPr>
                      <w:b/>
                      <w:sz w:val="18"/>
                      <w:szCs w:val="20"/>
                    </w:rPr>
                  </w:pPr>
                  <w:r w:rsidRPr="00DC0EF0">
                    <w:rPr>
                      <w:b/>
                      <w:sz w:val="18"/>
                      <w:szCs w:val="20"/>
                    </w:rPr>
                    <w:t>Technology enablement platform</w:t>
                  </w:r>
                </w:p>
              </w:tc>
              <w:tc>
                <w:tcPr>
                  <w:tcW w:w="2977" w:type="dxa"/>
                  <w:tcBorders>
                    <w:left w:val="single" w:sz="4" w:space="0" w:color="000000" w:themeColor="text1"/>
                  </w:tcBorders>
                </w:tcPr>
                <w:p w14:paraId="20A67744" w14:textId="77777777" w:rsidR="004A0AB8" w:rsidRPr="00DC0EF0" w:rsidRDefault="004A0AB8" w:rsidP="008C1749">
                  <w:pPr>
                    <w:spacing w:before="60" w:after="60"/>
                    <w:rPr>
                      <w:sz w:val="18"/>
                      <w:szCs w:val="20"/>
                    </w:rPr>
                  </w:pPr>
                  <w:r w:rsidRPr="00DC0EF0">
                    <w:rPr>
                      <w:sz w:val="18"/>
                      <w:szCs w:val="20"/>
                    </w:rPr>
                    <w:t xml:space="preserve">Assess how well DGS is positioned to steward shared digital platforms, drive adoption of core enablers (e.g., identity, payments, data), and support Cenitex to coordinate re-platforming across Government </w:t>
                  </w:r>
                </w:p>
              </w:tc>
              <w:tc>
                <w:tcPr>
                  <w:tcW w:w="3349" w:type="dxa"/>
                </w:tcPr>
                <w:p w14:paraId="2D3A1EF5" w14:textId="77777777" w:rsidR="004A0AB8" w:rsidRPr="00DC0EF0" w:rsidRDefault="004A0AB8" w:rsidP="008C1749">
                  <w:pPr>
                    <w:spacing w:before="60" w:after="60"/>
                    <w:rPr>
                      <w:sz w:val="18"/>
                      <w:szCs w:val="20"/>
                    </w:rPr>
                  </w:pPr>
                  <w:r w:rsidRPr="00DC0EF0">
                    <w:rPr>
                      <w:sz w:val="18"/>
                      <w:szCs w:val="20"/>
                    </w:rPr>
                    <w:t xml:space="preserve">Strengthen API and data standard governance, </w:t>
                  </w:r>
                  <w:proofErr w:type="spellStart"/>
                  <w:r w:rsidRPr="00DC0EF0">
                    <w:rPr>
                      <w:sz w:val="18"/>
                      <w:szCs w:val="20"/>
                    </w:rPr>
                    <w:t>finalise</w:t>
                  </w:r>
                  <w:proofErr w:type="spellEnd"/>
                  <w:r w:rsidRPr="00DC0EF0">
                    <w:rPr>
                      <w:sz w:val="18"/>
                      <w:szCs w:val="20"/>
                    </w:rPr>
                    <w:t xml:space="preserve"> funding models and launch investment pathway to support progressive re-platforming </w:t>
                  </w:r>
                </w:p>
              </w:tc>
            </w:tr>
            <w:tr w:rsidR="004A0AB8" w:rsidRPr="00040728" w14:paraId="397D3346" w14:textId="77777777">
              <w:trPr>
                <w:trHeight w:val="779"/>
                <w:jc w:val="center"/>
              </w:trPr>
              <w:tc>
                <w:tcPr>
                  <w:tcW w:w="1870" w:type="dxa"/>
                  <w:tcBorders>
                    <w:right w:val="single" w:sz="4" w:space="0" w:color="000000" w:themeColor="text1"/>
                  </w:tcBorders>
                </w:tcPr>
                <w:p w14:paraId="1FFAC052" w14:textId="77777777" w:rsidR="004A0AB8" w:rsidRPr="00DC0EF0" w:rsidRDefault="004A0AB8" w:rsidP="008C1749">
                  <w:pPr>
                    <w:spacing w:before="60" w:after="60"/>
                    <w:rPr>
                      <w:b/>
                      <w:sz w:val="18"/>
                      <w:szCs w:val="20"/>
                    </w:rPr>
                  </w:pPr>
                  <w:r w:rsidRPr="00DC0EF0">
                    <w:rPr>
                      <w:b/>
                      <w:sz w:val="18"/>
                      <w:szCs w:val="20"/>
                    </w:rPr>
                    <w:t>System stewardship and reform leadership</w:t>
                  </w:r>
                </w:p>
              </w:tc>
              <w:tc>
                <w:tcPr>
                  <w:tcW w:w="2977" w:type="dxa"/>
                  <w:tcBorders>
                    <w:left w:val="single" w:sz="4" w:space="0" w:color="000000" w:themeColor="text1"/>
                  </w:tcBorders>
                </w:tcPr>
                <w:p w14:paraId="2830BF26" w14:textId="7D842B9B" w:rsidR="004A0AB8" w:rsidRPr="00DC0EF0" w:rsidRDefault="004A0AB8" w:rsidP="00B7029B">
                  <w:pPr>
                    <w:spacing w:before="60" w:after="120"/>
                    <w:rPr>
                      <w:sz w:val="18"/>
                      <w:szCs w:val="20"/>
                    </w:rPr>
                  </w:pPr>
                  <w:r w:rsidRPr="00DC0EF0">
                    <w:rPr>
                      <w:sz w:val="18"/>
                      <w:szCs w:val="20"/>
                    </w:rPr>
                    <w:t>Assess DGS’s ability to lead, coordinate and govern reform across departments, including performance and risk oversight</w:t>
                  </w:r>
                </w:p>
              </w:tc>
              <w:tc>
                <w:tcPr>
                  <w:tcW w:w="3349" w:type="dxa"/>
                </w:tcPr>
                <w:p w14:paraId="7121D1DE" w14:textId="77777777" w:rsidR="004A0AB8" w:rsidRPr="00DC0EF0" w:rsidRDefault="004A0AB8" w:rsidP="008C1749">
                  <w:pPr>
                    <w:spacing w:before="60" w:after="60"/>
                    <w:rPr>
                      <w:sz w:val="18"/>
                      <w:szCs w:val="20"/>
                    </w:rPr>
                  </w:pPr>
                  <w:r w:rsidRPr="00DC0EF0">
                    <w:rPr>
                      <w:sz w:val="18"/>
                      <w:szCs w:val="20"/>
                    </w:rPr>
                    <w:t>Establish core operating model for delivery coordination, uplift engagement capability, improve transparency tools</w:t>
                  </w:r>
                </w:p>
              </w:tc>
            </w:tr>
          </w:tbl>
          <w:p w14:paraId="1324E790" w14:textId="77777777" w:rsidR="004A0AB8" w:rsidRPr="00D335CC" w:rsidRDefault="004A0AB8">
            <w:pPr>
              <w:rPr>
                <w:rFonts w:asciiTheme="majorHAnsi" w:hAnsiTheme="majorHAnsi"/>
                <w:highlight w:val="yellow"/>
              </w:rPr>
            </w:pPr>
          </w:p>
        </w:tc>
      </w:tr>
    </w:tbl>
    <w:p w14:paraId="55D0AB8C" w14:textId="77777777" w:rsidR="0089246E" w:rsidRDefault="0089246E" w:rsidP="0089246E"/>
    <w:p w14:paraId="33036FCE" w14:textId="77777777" w:rsidR="0089246E" w:rsidRDefault="0089246E" w:rsidP="000B05FD">
      <w:pPr>
        <w:pStyle w:val="Heading3"/>
        <w:numPr>
          <w:ilvl w:val="0"/>
          <w:numId w:val="0"/>
        </w:numPr>
        <w:spacing w:before="0"/>
        <w:sectPr w:rsidR="0089246E" w:rsidSect="00AE6104">
          <w:type w:val="continuous"/>
          <w:pgSz w:w="11906" w:h="16838"/>
          <w:pgMar w:top="1440" w:right="1440" w:bottom="1440" w:left="1440" w:header="708" w:footer="708" w:gutter="0"/>
          <w:cols w:space="708"/>
          <w:docGrid w:linePitch="360"/>
          <w15:footnoteColumns w:val="1"/>
        </w:sectPr>
      </w:pPr>
    </w:p>
    <w:p w14:paraId="242BBBB8" w14:textId="15A0D323" w:rsidR="00B34EC8" w:rsidRPr="00C026E6" w:rsidRDefault="00B34EC8" w:rsidP="000B05FD">
      <w:pPr>
        <w:pStyle w:val="Heading3"/>
        <w:numPr>
          <w:ilvl w:val="0"/>
          <w:numId w:val="0"/>
        </w:numPr>
        <w:spacing w:before="0"/>
      </w:pPr>
      <w:r w:rsidRPr="00C026E6">
        <w:t>Sa</w:t>
      </w:r>
      <w:r w:rsidR="00FD26A8">
        <w:t xml:space="preserve">vings </w:t>
      </w:r>
      <w:r w:rsidR="004A0AB8">
        <w:t>and service improvements</w:t>
      </w:r>
    </w:p>
    <w:p w14:paraId="65FE2474" w14:textId="7F3450F2" w:rsidR="00B30CDD" w:rsidRPr="002A5132" w:rsidRDefault="00B30CDD" w:rsidP="007D2140">
      <w:r w:rsidRPr="002A5132">
        <w:t xml:space="preserve">With the right delivery model, shared platforms can simplify services and lift productivity. An estimated $800 million in cumulative savings is possible over </w:t>
      </w:r>
      <w:r>
        <w:t>10</w:t>
      </w:r>
      <w:r w:rsidRPr="002A5132">
        <w:t xml:space="preserve"> years</w:t>
      </w:r>
      <w:r>
        <w:t xml:space="preserve"> </w:t>
      </w:r>
      <w:r w:rsidRPr="002A5132">
        <w:t xml:space="preserve">from retiring legacy systems, streamlining processes, and avoiding duplication. </w:t>
      </w:r>
      <w:r>
        <w:t>The Review estimates savings of $94 million over the forward estimates</w:t>
      </w:r>
      <w:r w:rsidRPr="00FC3E29">
        <w:t xml:space="preserve"> </w:t>
      </w:r>
      <w:r>
        <w:t>and a reduction of 197 FTE.</w:t>
      </w:r>
    </w:p>
    <w:p w14:paraId="03BA9A1A" w14:textId="1C6B7563" w:rsidR="00B30CDD" w:rsidRPr="00D25EFB" w:rsidRDefault="00B30CDD" w:rsidP="007D2140">
      <w:r w:rsidRPr="00D25EFB">
        <w:t>The</w:t>
      </w:r>
      <w:r w:rsidR="000A1FDB" w:rsidRPr="00D25EFB">
        <w:t xml:space="preserve"> identified</w:t>
      </w:r>
      <w:r w:rsidRPr="00D25EFB">
        <w:t xml:space="preserve"> savings exclude indirect benefits like better user experience, reduced delivery risk, and broader productivity gains. Advances in modular technology and AI could increase savings</w:t>
      </w:r>
      <w:r w:rsidR="000A175E">
        <w:t> </w:t>
      </w:r>
      <w:r w:rsidRPr="00D25EFB">
        <w:t>further.</w:t>
      </w:r>
    </w:p>
    <w:p w14:paraId="28B67964" w14:textId="4D56212F" w:rsidR="00B30CDD" w:rsidRPr="001C513B" w:rsidRDefault="006F0F83" w:rsidP="007D2140">
      <w:r>
        <w:br w:type="column"/>
      </w:r>
      <w:r w:rsidR="00B30CDD" w:rsidRPr="001C513B">
        <w:t>Funding for shared services has challenges that can be overcome with good design. Perverse incentives – such as harvesting savings too soon</w:t>
      </w:r>
      <w:r w:rsidR="003E6A8C">
        <w:t xml:space="preserve"> –</w:t>
      </w:r>
      <w:r w:rsidR="00B30CDD" w:rsidRPr="001C513B">
        <w:t xml:space="preserve"> must be avoided.  </w:t>
      </w:r>
    </w:p>
    <w:p w14:paraId="7B5BAFAA" w14:textId="5706D830" w:rsidR="00B30CDD" w:rsidRPr="001C513B" w:rsidRDefault="00B30CDD" w:rsidP="007D2140">
      <w:r w:rsidRPr="001C513B">
        <w:t xml:space="preserve">Elements of an appropriate funding </w:t>
      </w:r>
      <w:r w:rsidR="00AB76C0">
        <w:t xml:space="preserve">model </w:t>
      </w:r>
      <w:r w:rsidRPr="001C513B">
        <w:t>for the Review’s proposed shared services reform comprise:</w:t>
      </w:r>
    </w:p>
    <w:p w14:paraId="076F11C2" w14:textId="501FACD3" w:rsidR="00B30CDD" w:rsidRPr="001C513B" w:rsidRDefault="00DF33CA" w:rsidP="00E061FB">
      <w:pPr>
        <w:pStyle w:val="ListParagraph"/>
        <w:numPr>
          <w:ilvl w:val="0"/>
          <w:numId w:val="48"/>
        </w:numPr>
        <w:spacing w:after="100"/>
        <w:contextualSpacing w:val="0"/>
      </w:pPr>
      <w:r>
        <w:t>u</w:t>
      </w:r>
      <w:r w:rsidR="00B30CDD" w:rsidRPr="001C513B">
        <w:t>pfront funding for the transformation stage</w:t>
      </w:r>
    </w:p>
    <w:p w14:paraId="4B0902D6" w14:textId="3205A20D" w:rsidR="00B30CDD" w:rsidRPr="001C513B" w:rsidRDefault="00DF33CA" w:rsidP="00ED6786">
      <w:pPr>
        <w:pStyle w:val="ListParagraph"/>
        <w:numPr>
          <w:ilvl w:val="0"/>
          <w:numId w:val="48"/>
        </w:numPr>
        <w:spacing w:after="0"/>
        <w:contextualSpacing w:val="0"/>
      </w:pPr>
      <w:r>
        <w:t>s</w:t>
      </w:r>
      <w:r w:rsidR="00B30CDD" w:rsidRPr="001C513B">
        <w:t>ustainable steady-state funding with transparent funding</w:t>
      </w:r>
    </w:p>
    <w:p w14:paraId="33BEB0E5" w14:textId="2FA0700B" w:rsidR="00B30CDD" w:rsidRPr="001C513B" w:rsidRDefault="00DF33CA" w:rsidP="00F630E4">
      <w:pPr>
        <w:pStyle w:val="ListParagraph"/>
        <w:numPr>
          <w:ilvl w:val="0"/>
          <w:numId w:val="48"/>
        </w:numPr>
        <w:spacing w:after="100"/>
        <w:contextualSpacing w:val="0"/>
      </w:pPr>
      <w:r>
        <w:t>b</w:t>
      </w:r>
      <w:r w:rsidR="00B30CDD" w:rsidRPr="001C513B">
        <w:t>enefits and savings flow back to consolidated revenue, freeing up departmental budgets to co</w:t>
      </w:r>
      <w:r w:rsidR="008769B6">
        <w:t>-</w:t>
      </w:r>
      <w:r w:rsidR="00B30CDD" w:rsidRPr="001C513B">
        <w:t>invest</w:t>
      </w:r>
    </w:p>
    <w:p w14:paraId="35952346" w14:textId="4BBE6766" w:rsidR="00B30CDD" w:rsidRPr="001C513B" w:rsidRDefault="00DF33CA" w:rsidP="00F630E4">
      <w:pPr>
        <w:pStyle w:val="ListParagraph"/>
        <w:numPr>
          <w:ilvl w:val="0"/>
          <w:numId w:val="48"/>
        </w:numPr>
        <w:spacing w:after="100"/>
        <w:contextualSpacing w:val="0"/>
      </w:pPr>
      <w:r>
        <w:t>i</w:t>
      </w:r>
      <w:r w:rsidR="00B30CDD" w:rsidRPr="001C513B">
        <w:t>ntegrated governance and oversight</w:t>
      </w:r>
    </w:p>
    <w:p w14:paraId="3577055A" w14:textId="7C43DF70" w:rsidR="00B30CDD" w:rsidRPr="001C513B" w:rsidRDefault="006F0F83" w:rsidP="00F630E4">
      <w:pPr>
        <w:pStyle w:val="ListParagraph"/>
        <w:numPr>
          <w:ilvl w:val="0"/>
          <w:numId w:val="48"/>
        </w:numPr>
        <w:spacing w:after="100"/>
        <w:contextualSpacing w:val="0"/>
      </w:pPr>
      <w:r>
        <w:br w:type="column"/>
      </w:r>
      <w:r w:rsidR="00DF33CA">
        <w:lastRenderedPageBreak/>
        <w:t>i</w:t>
      </w:r>
      <w:r w:rsidR="00B30CDD" w:rsidRPr="001C513B">
        <w:t>ncentives and accountability for transition and uptake</w:t>
      </w:r>
    </w:p>
    <w:p w14:paraId="32152E21" w14:textId="780C08B3" w:rsidR="00B30CDD" w:rsidRPr="001C513B" w:rsidRDefault="004E03B9" w:rsidP="00F630E4">
      <w:pPr>
        <w:pStyle w:val="ListParagraph"/>
        <w:numPr>
          <w:ilvl w:val="0"/>
          <w:numId w:val="48"/>
        </w:numPr>
        <w:spacing w:after="100"/>
        <w:contextualSpacing w:val="0"/>
      </w:pPr>
      <w:r>
        <w:t>f</w:t>
      </w:r>
      <w:r w:rsidR="00B30CDD" w:rsidRPr="001C513B">
        <w:t>unding matched to responsibility, funding flows and cost recovery mechanisms</w:t>
      </w:r>
    </w:p>
    <w:p w14:paraId="7197790F" w14:textId="124CF229" w:rsidR="00B30CDD" w:rsidRPr="001C513B" w:rsidRDefault="004E03B9" w:rsidP="00F630E4">
      <w:pPr>
        <w:pStyle w:val="ListParagraph"/>
        <w:numPr>
          <w:ilvl w:val="0"/>
          <w:numId w:val="48"/>
        </w:numPr>
        <w:spacing w:after="100"/>
        <w:contextualSpacing w:val="0"/>
      </w:pPr>
      <w:r>
        <w:t>d</w:t>
      </w:r>
      <w:r w:rsidR="00B30CDD" w:rsidRPr="001C513B">
        <w:t xml:space="preserve">edicated commercial capability within DGS to support business case development and innovation.  </w:t>
      </w:r>
    </w:p>
    <w:p w14:paraId="5B0C22D1" w14:textId="57BE0554" w:rsidR="00B30CDD" w:rsidRPr="002A5132" w:rsidRDefault="00B30CDD" w:rsidP="007D2140">
      <w:r>
        <w:t>The Review</w:t>
      </w:r>
      <w:r w:rsidRPr="002A5132">
        <w:t xml:space="preserve"> recommend</w:t>
      </w:r>
      <w:r>
        <w:t>s</w:t>
      </w:r>
      <w:r w:rsidRPr="002A5132">
        <w:t xml:space="preserve"> establishing </w:t>
      </w:r>
      <w:r>
        <w:t>a fund to incentivise, drive and support digital reform and change management</w:t>
      </w:r>
      <w:r w:rsidRPr="002A5132">
        <w:t>. Upfront investment through</w:t>
      </w:r>
      <w:r>
        <w:t xml:space="preserve"> the fund would </w:t>
      </w:r>
      <w:r w:rsidRPr="002A5132">
        <w:t>help shift behaviour</w:t>
      </w:r>
      <w:r>
        <w:t>,</w:t>
      </w:r>
      <w:r w:rsidRPr="00D91624">
        <w:t xml:space="preserve"> </w:t>
      </w:r>
      <w:r>
        <w:t>driving</w:t>
      </w:r>
      <w:r w:rsidRPr="00D91624">
        <w:t xml:space="preserve"> process redesign,</w:t>
      </w:r>
      <w:r>
        <w:t xml:space="preserve"> </w:t>
      </w:r>
      <w:r w:rsidRPr="00D91624">
        <w:t>shared s</w:t>
      </w:r>
      <w:r>
        <w:t>ystems</w:t>
      </w:r>
      <w:r w:rsidRPr="00D91624">
        <w:t>, and</w:t>
      </w:r>
      <w:r>
        <w:t xml:space="preserve"> safe</w:t>
      </w:r>
      <w:r w:rsidRPr="00D91624">
        <w:t xml:space="preserve"> </w:t>
      </w:r>
      <w:r>
        <w:t>AI adoption.</w:t>
      </w:r>
      <w:r w:rsidR="00B37DE6">
        <w:t xml:space="preserve"> </w:t>
      </w:r>
      <w:r w:rsidR="00B37DE6" w:rsidRPr="002A5132">
        <w:t>Departments would</w:t>
      </w:r>
      <w:r w:rsidR="00B37DE6">
        <w:t xml:space="preserve"> need to</w:t>
      </w:r>
      <w:r w:rsidR="00B37DE6" w:rsidRPr="002A5132">
        <w:t xml:space="preserve"> co-invest.</w:t>
      </w:r>
    </w:p>
    <w:p w14:paraId="7BA09B31" w14:textId="77777777" w:rsidR="00B30CDD" w:rsidRPr="00B51113" w:rsidRDefault="00B30CDD" w:rsidP="007D2140">
      <w:r w:rsidRPr="002A5132">
        <w:t>Over time, a sustainable funding model</w:t>
      </w:r>
      <w:r>
        <w:t xml:space="preserve"> – </w:t>
      </w:r>
      <w:r w:rsidRPr="002A5132">
        <w:t>centralised, fee-for-service, or hybrid</w:t>
      </w:r>
      <w:r>
        <w:t xml:space="preserve"> – </w:t>
      </w:r>
      <w:r w:rsidRPr="002A5132">
        <w:t xml:space="preserve">will be needed to scale innovation and maintain ‘steady state’ services. </w:t>
      </w:r>
      <w:r>
        <w:t>The g</w:t>
      </w:r>
      <w:r w:rsidRPr="00407E5B">
        <w:t xml:space="preserve">overnment should expect departments to generate measurable efficiency improvements within </w:t>
      </w:r>
      <w:r>
        <w:t>3</w:t>
      </w:r>
      <w:r w:rsidRPr="00407E5B">
        <w:t xml:space="preserve"> years of onboarding.</w:t>
      </w:r>
    </w:p>
    <w:p w14:paraId="489E926B" w14:textId="648A1149" w:rsidR="00B30CDD" w:rsidRDefault="00B30CDD" w:rsidP="007D2140">
      <w:r w:rsidRPr="00B51113">
        <w:t>Realising this vision will take leadership, accountability, and sustained investment in people, tools and platforms.</w:t>
      </w:r>
    </w:p>
    <w:p w14:paraId="25E50E73" w14:textId="77777777" w:rsidR="0089246E" w:rsidRDefault="0089246E" w:rsidP="00B30CDD">
      <w:pPr>
        <w:pStyle w:val="Heading2"/>
        <w:spacing w:before="360"/>
        <w:sectPr w:rsidR="0089246E" w:rsidSect="0089246E">
          <w:type w:val="continuous"/>
          <w:pgSz w:w="11906" w:h="16838"/>
          <w:pgMar w:top="1440" w:right="1440" w:bottom="1440" w:left="1440" w:header="708" w:footer="708" w:gutter="0"/>
          <w:cols w:num="2" w:space="708"/>
          <w:docGrid w:linePitch="360"/>
          <w15:footnoteColumns w:val="1"/>
        </w:sectPr>
      </w:pPr>
      <w:bookmarkStart w:id="102" w:name="_Toc202524001"/>
    </w:p>
    <w:p w14:paraId="0663FB40" w14:textId="42FB6EDE" w:rsidR="00B30CDD" w:rsidRDefault="001740BC" w:rsidP="00B30CDD">
      <w:pPr>
        <w:pStyle w:val="Heading2"/>
        <w:spacing w:before="360"/>
      </w:pPr>
      <w:bookmarkStart w:id="103" w:name="_Toc214912021"/>
      <w:r>
        <w:t>7.</w:t>
      </w:r>
      <w:r w:rsidR="0016170D">
        <w:t>6</w:t>
      </w:r>
      <w:r>
        <w:t xml:space="preserve">   </w:t>
      </w:r>
      <w:r w:rsidR="00B30CDD" w:rsidRPr="00C655B1">
        <w:t>Recommendations</w:t>
      </w:r>
      <w:bookmarkEnd w:id="102"/>
      <w:bookmarkEnd w:id="103"/>
    </w:p>
    <w:tbl>
      <w:tblPr>
        <w:tblStyle w:val="TableGrid"/>
        <w:tblW w:w="0" w:type="auto"/>
        <w:tblBorders>
          <w:top w:val="single" w:sz="4" w:space="0" w:color="156082" w:themeColor="accent1"/>
          <w:left w:val="single" w:sz="4" w:space="0" w:color="156082" w:themeColor="accent1"/>
          <w:bottom w:val="single" w:sz="4" w:space="0" w:color="156082" w:themeColor="accent1"/>
          <w:right w:val="single" w:sz="4" w:space="0" w:color="156082" w:themeColor="accent1"/>
          <w:insideH w:val="none" w:sz="0" w:space="0" w:color="auto"/>
          <w:insideV w:val="none" w:sz="0" w:space="0" w:color="auto"/>
        </w:tblBorders>
        <w:tblLook w:val="04A0" w:firstRow="1" w:lastRow="0" w:firstColumn="1" w:lastColumn="0" w:noHBand="0" w:noVBand="1"/>
      </w:tblPr>
      <w:tblGrid>
        <w:gridCol w:w="9016"/>
      </w:tblGrid>
      <w:tr w:rsidR="00B30CDD" w14:paraId="190FCD6C" w14:textId="77777777" w:rsidTr="00352512">
        <w:tc>
          <w:tcPr>
            <w:tcW w:w="9016" w:type="dxa"/>
          </w:tcPr>
          <w:p w14:paraId="44AA7AB3" w14:textId="04BF2F5D" w:rsidR="00B30CDD" w:rsidRPr="007D2140" w:rsidRDefault="00B30CDD" w:rsidP="00015F04">
            <w:pPr>
              <w:pStyle w:val="ListParagraph"/>
              <w:numPr>
                <w:ilvl w:val="1"/>
                <w:numId w:val="46"/>
              </w:numPr>
              <w:spacing w:before="60" w:after="160" w:line="278" w:lineRule="auto"/>
              <w:ind w:hanging="697"/>
              <w:contextualSpacing w:val="0"/>
            </w:pPr>
            <w:r w:rsidRPr="007D2140">
              <w:t>Realign DGS to lead shared platforms and manage repeatable service delivery</w:t>
            </w:r>
            <w:r w:rsidR="007529A5">
              <w:t>,</w:t>
            </w:r>
            <w:r w:rsidRPr="007D2140">
              <w:t xml:space="preserve"> return</w:t>
            </w:r>
            <w:r w:rsidR="00D204F3">
              <w:t> </w:t>
            </w:r>
            <w:r w:rsidRPr="007D2140">
              <w:t>strategic corporate functions to DPC and DTF</w:t>
            </w:r>
            <w:r w:rsidR="007529A5">
              <w:t>,</w:t>
            </w:r>
            <w:r w:rsidRPr="007D2140">
              <w:t xml:space="preserve"> and remove direct regulatory </w:t>
            </w:r>
            <w:r w:rsidR="00085185" w:rsidRPr="00085185">
              <w:rPr>
                <w:szCs w:val="22"/>
              </w:rPr>
              <w:t>accountability</w:t>
            </w:r>
            <w:r w:rsidRPr="007D2140">
              <w:t xml:space="preserve"> from DGS.</w:t>
            </w:r>
          </w:p>
          <w:p w14:paraId="5B32048F" w14:textId="643C3002" w:rsidR="00B30CDD" w:rsidRPr="007D2140" w:rsidRDefault="00B30CDD" w:rsidP="00D207B3">
            <w:pPr>
              <w:pStyle w:val="ListParagraph"/>
              <w:numPr>
                <w:ilvl w:val="1"/>
                <w:numId w:val="46"/>
              </w:numPr>
              <w:spacing w:after="160" w:line="278" w:lineRule="auto"/>
              <w:ind w:hanging="698"/>
              <w:contextualSpacing w:val="0"/>
            </w:pPr>
            <w:r w:rsidRPr="007D2140">
              <w:t xml:space="preserve">Develop a structured roadmap for digital reform: scale regulatory and customer platforms; </w:t>
            </w:r>
            <w:proofErr w:type="spellStart"/>
            <w:r w:rsidRPr="007D2140">
              <w:t>standardise</w:t>
            </w:r>
            <w:proofErr w:type="spellEnd"/>
            <w:r w:rsidRPr="007D2140">
              <w:t xml:space="preserve"> corporate processes; </w:t>
            </w:r>
            <w:r w:rsidR="00811DE2">
              <w:t xml:space="preserve">and </w:t>
            </w:r>
            <w:r w:rsidRPr="007D2140">
              <w:t>onboard departments with complex</w:t>
            </w:r>
            <w:r w:rsidR="005E70A7">
              <w:t> </w:t>
            </w:r>
            <w:r w:rsidRPr="007D2140">
              <w:t xml:space="preserve">corporate needs once core modules </w:t>
            </w:r>
            <w:proofErr w:type="spellStart"/>
            <w:r w:rsidRPr="007D2140">
              <w:t>stabilise</w:t>
            </w:r>
            <w:proofErr w:type="spellEnd"/>
            <w:r w:rsidRPr="007D2140">
              <w:t>.</w:t>
            </w:r>
          </w:p>
          <w:p w14:paraId="28E5D27E" w14:textId="367F43FC" w:rsidR="00B30CDD" w:rsidRPr="007D2140" w:rsidRDefault="00B30CDD" w:rsidP="00D207B3">
            <w:pPr>
              <w:pStyle w:val="ListParagraph"/>
              <w:numPr>
                <w:ilvl w:val="1"/>
                <w:numId w:val="46"/>
              </w:numPr>
              <w:spacing w:after="160" w:line="278" w:lineRule="auto"/>
              <w:ind w:hanging="698"/>
              <w:contextualSpacing w:val="0"/>
            </w:pPr>
            <w:r w:rsidRPr="007D2140">
              <w:t>Establish a DGS-led AI Centre of Excellence to support safe experimentation, capability uplift and adoption</w:t>
            </w:r>
            <w:r w:rsidR="0036779F">
              <w:t xml:space="preserve"> of AI</w:t>
            </w:r>
            <w:r w:rsidR="00567F71">
              <w:t>.</w:t>
            </w:r>
          </w:p>
          <w:p w14:paraId="13C8FEDF" w14:textId="72C94D9E" w:rsidR="00B30CDD" w:rsidRPr="007D2140" w:rsidRDefault="00B30CDD" w:rsidP="00D207B3">
            <w:pPr>
              <w:pStyle w:val="ListParagraph"/>
              <w:numPr>
                <w:ilvl w:val="1"/>
                <w:numId w:val="46"/>
              </w:numPr>
              <w:spacing w:after="160" w:line="278" w:lineRule="auto"/>
              <w:ind w:hanging="698"/>
              <w:contextualSpacing w:val="0"/>
            </w:pPr>
            <w:r w:rsidRPr="007D2140">
              <w:t xml:space="preserve">Invest in core digital infrastructure (identity, cloud, APIs and data standards) with workforce identifiers and common workflows </w:t>
            </w:r>
            <w:proofErr w:type="spellStart"/>
            <w:r w:rsidRPr="007D2140">
              <w:t>prioritised</w:t>
            </w:r>
            <w:proofErr w:type="spellEnd"/>
            <w:r w:rsidRPr="007D2140">
              <w:t xml:space="preserve"> in year</w:t>
            </w:r>
            <w:r w:rsidR="00067E97">
              <w:t>s</w:t>
            </w:r>
            <w:r w:rsidRPr="007D2140">
              <w:t xml:space="preserve"> 1-2 of the roadmap.</w:t>
            </w:r>
          </w:p>
          <w:p w14:paraId="20E67559" w14:textId="2BDB9045" w:rsidR="00B30CDD" w:rsidRPr="007D2140" w:rsidRDefault="00B30CDD" w:rsidP="00D207B3">
            <w:pPr>
              <w:pStyle w:val="ListParagraph"/>
              <w:numPr>
                <w:ilvl w:val="1"/>
                <w:numId w:val="46"/>
              </w:numPr>
              <w:spacing w:after="160" w:line="278" w:lineRule="auto"/>
              <w:ind w:hanging="698"/>
              <w:contextualSpacing w:val="0"/>
            </w:pPr>
            <w:r w:rsidRPr="007D2140">
              <w:t xml:space="preserve">Establish strong central governance and accountability through a Digital Government Steering Committee, </w:t>
            </w:r>
            <w:r w:rsidR="009C0D51">
              <w:t>VSB</w:t>
            </w:r>
            <w:r w:rsidRPr="007D2140">
              <w:t xml:space="preserve"> and annual public scorecards.</w:t>
            </w:r>
          </w:p>
          <w:p w14:paraId="4430A3FC" w14:textId="77777777" w:rsidR="00B30CDD" w:rsidRPr="007A67F4" w:rsidRDefault="00B30CDD" w:rsidP="00D207B3">
            <w:pPr>
              <w:pStyle w:val="ListParagraph"/>
              <w:numPr>
                <w:ilvl w:val="1"/>
                <w:numId w:val="46"/>
              </w:numPr>
              <w:spacing w:after="160" w:line="278" w:lineRule="auto"/>
              <w:ind w:hanging="698"/>
              <w:contextualSpacing w:val="0"/>
              <w:rPr>
                <w:rFonts w:asciiTheme="majorHAnsi" w:hAnsiTheme="majorHAnsi"/>
              </w:rPr>
            </w:pPr>
            <w:r w:rsidRPr="007D2140">
              <w:t>Create a fund to support transition, innovation, and capability uplift – with co-investment and return on investment expectations from departments.</w:t>
            </w:r>
          </w:p>
        </w:tc>
      </w:tr>
    </w:tbl>
    <w:p w14:paraId="0E4857AB" w14:textId="77777777" w:rsidR="00B30CDD" w:rsidRPr="00FB6CE4" w:rsidRDefault="00B30CDD" w:rsidP="00B30CDD"/>
    <w:p w14:paraId="15F59FFC" w14:textId="77777777" w:rsidR="00882697" w:rsidRDefault="00882697">
      <w:pPr>
        <w:rPr>
          <w:rFonts w:asciiTheme="majorHAnsi" w:eastAsiaTheme="majorEastAsia" w:hAnsiTheme="majorHAnsi" w:cstheme="majorBidi"/>
          <w:b/>
          <w:color w:val="0F4761" w:themeColor="accent1" w:themeShade="BF"/>
          <w:sz w:val="40"/>
          <w:szCs w:val="40"/>
        </w:rPr>
      </w:pPr>
      <w:bookmarkStart w:id="104" w:name="_Toc202524002"/>
      <w:r>
        <w:br w:type="page"/>
      </w:r>
    </w:p>
    <w:p w14:paraId="58AE886C" w14:textId="2B55CF12" w:rsidR="007530C2" w:rsidRDefault="0068471A" w:rsidP="007530C2">
      <w:pPr>
        <w:pStyle w:val="Heading1"/>
      </w:pPr>
      <w:bookmarkStart w:id="105" w:name="_Toc214912022"/>
      <w:r>
        <w:lastRenderedPageBreak/>
        <w:t xml:space="preserve">Chapter 8:  </w:t>
      </w:r>
      <w:r w:rsidR="007530C2">
        <w:t>Portfolio and other reforms</w:t>
      </w:r>
      <w:bookmarkEnd w:id="104"/>
      <w:bookmarkEnd w:id="105"/>
    </w:p>
    <w:p w14:paraId="033F97D9" w14:textId="67EA5CDE" w:rsidR="007530C2" w:rsidRPr="00F441B5" w:rsidRDefault="007530C2" w:rsidP="00F441B5">
      <w:pPr>
        <w:spacing w:before="160" w:after="80"/>
        <w:rPr>
          <w:rFonts w:asciiTheme="majorHAnsi" w:hAnsiTheme="majorHAnsi"/>
          <w:b/>
          <w:color w:val="0F4761" w:themeColor="accent1" w:themeShade="BF"/>
          <w:sz w:val="32"/>
          <w:szCs w:val="32"/>
        </w:rPr>
      </w:pPr>
      <w:r w:rsidRPr="00F441B5">
        <w:rPr>
          <w:rFonts w:asciiTheme="majorHAnsi" w:hAnsiTheme="majorHAnsi"/>
          <w:b/>
          <w:color w:val="0F4761" w:themeColor="accent1" w:themeShade="BF"/>
          <w:sz w:val="32"/>
          <w:szCs w:val="32"/>
        </w:rPr>
        <w:t>Key points</w:t>
      </w:r>
    </w:p>
    <w:p w14:paraId="39B105D2" w14:textId="5960DAC1" w:rsidR="007530C2" w:rsidRDefault="007530C2" w:rsidP="00513705">
      <w:pPr>
        <w:pStyle w:val="ShadedBoxBullet"/>
        <w:rPr>
          <w:lang w:val="en-US"/>
        </w:rPr>
      </w:pPr>
      <w:r w:rsidRPr="00C7305D">
        <w:rPr>
          <w:lang w:val="en-US"/>
        </w:rPr>
        <w:t xml:space="preserve">Significant opportunities exist </w:t>
      </w:r>
      <w:r>
        <w:rPr>
          <w:lang w:val="en-US"/>
        </w:rPr>
        <w:t>for enduring change</w:t>
      </w:r>
      <w:r w:rsidRPr="00C7305D">
        <w:rPr>
          <w:lang w:val="en-US"/>
        </w:rPr>
        <w:t xml:space="preserve"> </w:t>
      </w:r>
      <w:r>
        <w:rPr>
          <w:lang w:val="en-US"/>
        </w:rPr>
        <w:t>by carefully examining existing base funding to identify spending that is no longer required, can be better targeted, or</w:t>
      </w:r>
      <w:r w:rsidR="005E70A7">
        <w:rPr>
          <w:lang w:val="en-US"/>
        </w:rPr>
        <w:t> </w:t>
      </w:r>
      <w:r>
        <w:rPr>
          <w:lang w:val="en-US"/>
        </w:rPr>
        <w:t>can be managed more efficiently.</w:t>
      </w:r>
    </w:p>
    <w:p w14:paraId="573926A7" w14:textId="6CEBA46F" w:rsidR="007530C2" w:rsidRPr="009F3B55" w:rsidRDefault="007530C2" w:rsidP="00513705">
      <w:pPr>
        <w:pStyle w:val="ShadedBoxBullet"/>
        <w:rPr>
          <w:lang w:val="en-US"/>
        </w:rPr>
      </w:pPr>
      <w:r w:rsidRPr="009F3B55">
        <w:rPr>
          <w:lang w:val="en-US"/>
        </w:rPr>
        <w:t xml:space="preserve">The Review provided </w:t>
      </w:r>
      <w:r w:rsidR="008C7D0F" w:rsidRPr="009F3B55">
        <w:rPr>
          <w:lang w:val="en-US"/>
        </w:rPr>
        <w:t xml:space="preserve">interim </w:t>
      </w:r>
      <w:r w:rsidRPr="009F3B55">
        <w:rPr>
          <w:lang w:val="en-US"/>
        </w:rPr>
        <w:t xml:space="preserve">recommendations to the government for inclusion in the 2025/26 Budget, which </w:t>
      </w:r>
      <w:r w:rsidR="003C7324" w:rsidRPr="009F3B55">
        <w:rPr>
          <w:lang w:val="en-US"/>
        </w:rPr>
        <w:t xml:space="preserve">resulted </w:t>
      </w:r>
      <w:r w:rsidRPr="009F3B55">
        <w:rPr>
          <w:lang w:val="en-US"/>
        </w:rPr>
        <w:t>in $2.</w:t>
      </w:r>
      <w:r w:rsidR="001A1C72" w:rsidRPr="009F3B55">
        <w:rPr>
          <w:lang w:val="en-US"/>
        </w:rPr>
        <w:t>8</w:t>
      </w:r>
      <w:r w:rsidRPr="009F3B55">
        <w:rPr>
          <w:lang w:val="en-US"/>
        </w:rPr>
        <w:t xml:space="preserve"> billion of savings and efficiencies.</w:t>
      </w:r>
    </w:p>
    <w:p w14:paraId="468CAB96" w14:textId="72974B02" w:rsidR="007530C2" w:rsidRPr="00F97639" w:rsidRDefault="007530C2" w:rsidP="00513705">
      <w:pPr>
        <w:pStyle w:val="ShadedBoxBullet"/>
        <w:rPr>
          <w:lang w:val="en-US"/>
        </w:rPr>
      </w:pPr>
      <w:r w:rsidRPr="00F97639">
        <w:rPr>
          <w:lang w:val="en-US"/>
        </w:rPr>
        <w:t xml:space="preserve">In the time available, the Review </w:t>
      </w:r>
      <w:r w:rsidR="007B4748">
        <w:rPr>
          <w:lang w:val="en-US"/>
        </w:rPr>
        <w:t xml:space="preserve">has </w:t>
      </w:r>
      <w:r w:rsidRPr="00F97639">
        <w:rPr>
          <w:lang w:val="en-US"/>
        </w:rPr>
        <w:t xml:space="preserve">applied its criteria and identified additional reforms </w:t>
      </w:r>
      <w:proofErr w:type="spellStart"/>
      <w:r w:rsidRPr="00F97639">
        <w:rPr>
          <w:lang w:val="en-US"/>
        </w:rPr>
        <w:t>total</w:t>
      </w:r>
      <w:r>
        <w:rPr>
          <w:lang w:val="en-US"/>
        </w:rPr>
        <w:t>l</w:t>
      </w:r>
      <w:r w:rsidRPr="00F97639">
        <w:rPr>
          <w:lang w:val="en-US"/>
        </w:rPr>
        <w:t>ing</w:t>
      </w:r>
      <w:proofErr w:type="spellEnd"/>
      <w:r>
        <w:rPr>
          <w:lang w:val="en-US"/>
        </w:rPr>
        <w:t xml:space="preserve"> </w:t>
      </w:r>
      <w:r w:rsidRPr="00D86DAF">
        <w:rPr>
          <w:lang w:val="en-US"/>
        </w:rPr>
        <w:t>$</w:t>
      </w:r>
      <w:r>
        <w:rPr>
          <w:lang w:val="en-US"/>
        </w:rPr>
        <w:t>1.2 billion</w:t>
      </w:r>
      <w:r w:rsidRPr="00F97639">
        <w:rPr>
          <w:lang w:val="en-US"/>
        </w:rPr>
        <w:t xml:space="preserve"> </w:t>
      </w:r>
      <w:r w:rsidR="007B4748">
        <w:rPr>
          <w:lang w:val="en-US"/>
        </w:rPr>
        <w:t xml:space="preserve">in </w:t>
      </w:r>
      <w:r w:rsidRPr="00F97639">
        <w:rPr>
          <w:lang w:val="en-US"/>
        </w:rPr>
        <w:t xml:space="preserve">potential savings from </w:t>
      </w:r>
      <w:r w:rsidRPr="00D86DAF">
        <w:rPr>
          <w:lang w:val="en-US"/>
        </w:rPr>
        <w:t>2025–26 to 2028–29</w:t>
      </w:r>
      <w:r w:rsidRPr="00F97639">
        <w:rPr>
          <w:lang w:val="en-US"/>
        </w:rPr>
        <w:t xml:space="preserve">. </w:t>
      </w:r>
    </w:p>
    <w:p w14:paraId="1D9F67F2" w14:textId="1E7318B5" w:rsidR="007530C2" w:rsidRPr="006C156C" w:rsidRDefault="007530C2" w:rsidP="00513705">
      <w:pPr>
        <w:pStyle w:val="ShadedBoxBullet"/>
        <w:rPr>
          <w:lang w:val="en-US"/>
        </w:rPr>
      </w:pPr>
      <w:r w:rsidRPr="00F97639">
        <w:rPr>
          <w:lang w:val="en-US"/>
        </w:rPr>
        <w:t>Opportunities</w:t>
      </w:r>
      <w:r>
        <w:rPr>
          <w:lang w:val="en-US"/>
        </w:rPr>
        <w:t xml:space="preserve"> identified by the Review are additional, sustainable</w:t>
      </w:r>
      <w:r w:rsidR="00AC1A76">
        <w:rPr>
          <w:lang w:val="en-US"/>
        </w:rPr>
        <w:t>,</w:t>
      </w:r>
      <w:r>
        <w:rPr>
          <w:lang w:val="en-US"/>
        </w:rPr>
        <w:t xml:space="preserve"> ongoing savings. They also underscore the importance of regular review of recurrent expenditure, including as</w:t>
      </w:r>
      <w:r w:rsidRPr="5015DE7B">
        <w:t xml:space="preserve"> part of </w:t>
      </w:r>
      <w:r>
        <w:t xml:space="preserve">an enhanced financial management approach through </w:t>
      </w:r>
      <w:r w:rsidRPr="5015DE7B">
        <w:t>the annual</w:t>
      </w:r>
      <w:r>
        <w:t xml:space="preserve"> budget</w:t>
      </w:r>
      <w:r w:rsidRPr="5015DE7B">
        <w:t xml:space="preserve"> cycle</w:t>
      </w:r>
      <w:r>
        <w:t xml:space="preserve">. </w:t>
      </w:r>
    </w:p>
    <w:p w14:paraId="07636936" w14:textId="226E3FAC" w:rsidR="007530C2" w:rsidRDefault="00F441B5" w:rsidP="00937E91">
      <w:pPr>
        <w:pStyle w:val="Heading2"/>
        <w:spacing w:before="360"/>
      </w:pPr>
      <w:bookmarkStart w:id="106" w:name="_Toc202524003"/>
      <w:bookmarkStart w:id="107" w:name="_Toc214912023"/>
      <w:r>
        <w:t xml:space="preserve">8.1   </w:t>
      </w:r>
      <w:r w:rsidR="007530C2">
        <w:t>Introduction</w:t>
      </w:r>
      <w:bookmarkEnd w:id="106"/>
      <w:bookmarkEnd w:id="107"/>
      <w:r w:rsidR="007530C2">
        <w:t xml:space="preserve"> </w:t>
      </w:r>
    </w:p>
    <w:p w14:paraId="03EE10D2" w14:textId="77777777" w:rsidR="009C77D5" w:rsidRDefault="009C77D5" w:rsidP="00044F29">
      <w:pPr>
        <w:rPr>
          <w:rFonts w:eastAsiaTheme="minorEastAsia"/>
        </w:rPr>
        <w:sectPr w:rsidR="009C77D5" w:rsidSect="00AE6104">
          <w:type w:val="continuous"/>
          <w:pgSz w:w="11906" w:h="16838"/>
          <w:pgMar w:top="1440" w:right="1440" w:bottom="1440" w:left="1440" w:header="708" w:footer="708" w:gutter="0"/>
          <w:cols w:space="708"/>
          <w:docGrid w:linePitch="360"/>
          <w15:footnoteColumns w:val="1"/>
        </w:sectPr>
      </w:pPr>
    </w:p>
    <w:p w14:paraId="0BC7FC3C" w14:textId="02713D36" w:rsidR="007530C2" w:rsidRDefault="007530C2" w:rsidP="00044F29">
      <w:pPr>
        <w:rPr>
          <w:rFonts w:eastAsiaTheme="minorEastAsia"/>
        </w:rPr>
      </w:pPr>
      <w:r w:rsidRPr="00CA0F78">
        <w:rPr>
          <w:rFonts w:eastAsiaTheme="minorEastAsia"/>
        </w:rPr>
        <w:t xml:space="preserve">The </w:t>
      </w:r>
      <w:r>
        <w:rPr>
          <w:rFonts w:eastAsiaTheme="minorEastAsia"/>
        </w:rPr>
        <w:t>Terms of Reference ask the Review to</w:t>
      </w:r>
      <w:r w:rsidR="00D730CA">
        <w:rPr>
          <w:rFonts w:eastAsiaTheme="minorEastAsia"/>
        </w:rPr>
        <w:t> </w:t>
      </w:r>
      <w:r>
        <w:rPr>
          <w:rFonts w:eastAsiaTheme="minorEastAsia"/>
        </w:rPr>
        <w:t>identify overlaps, inefficiencies, functions and programs that can be streamlined or eliminated, with a focus on</w:t>
      </w:r>
      <w:r w:rsidR="00D730CA">
        <w:rPr>
          <w:rFonts w:eastAsiaTheme="minorEastAsia"/>
        </w:rPr>
        <w:t> </w:t>
      </w:r>
      <w:r>
        <w:rPr>
          <w:rFonts w:eastAsiaTheme="minorEastAsia"/>
        </w:rPr>
        <w:t xml:space="preserve">entity consolidation. Chapters </w:t>
      </w:r>
      <w:r w:rsidRPr="00DD2AF3">
        <w:rPr>
          <w:rFonts w:eastAsiaTheme="minorEastAsia"/>
        </w:rPr>
        <w:t>4</w:t>
      </w:r>
      <w:r>
        <w:rPr>
          <w:rFonts w:eastAsiaTheme="minorEastAsia"/>
        </w:rPr>
        <w:t xml:space="preserve"> (Commonwealth</w:t>
      </w:r>
      <w:r w:rsidR="00D730CA">
        <w:rPr>
          <w:rFonts w:eastAsiaTheme="minorEastAsia"/>
        </w:rPr>
        <w:t>-</w:t>
      </w:r>
      <w:r>
        <w:rPr>
          <w:rFonts w:eastAsiaTheme="minorEastAsia"/>
        </w:rPr>
        <w:t>State relations</w:t>
      </w:r>
      <w:r w:rsidRPr="00DD2AF3">
        <w:rPr>
          <w:rFonts w:eastAsiaTheme="minorEastAsia"/>
        </w:rPr>
        <w:t>), 6</w:t>
      </w:r>
      <w:r>
        <w:rPr>
          <w:rFonts w:eastAsiaTheme="minorEastAsia"/>
        </w:rPr>
        <w:t xml:space="preserve"> (</w:t>
      </w:r>
      <w:r w:rsidR="00E34AFB">
        <w:rPr>
          <w:rFonts w:eastAsiaTheme="minorEastAsia"/>
        </w:rPr>
        <w:t>Public e</w:t>
      </w:r>
      <w:r>
        <w:rPr>
          <w:rFonts w:eastAsiaTheme="minorEastAsia"/>
        </w:rPr>
        <w:t xml:space="preserve">ntity reform) and </w:t>
      </w:r>
      <w:r w:rsidRPr="00DD2AF3">
        <w:rPr>
          <w:rFonts w:eastAsiaTheme="minorEastAsia"/>
        </w:rPr>
        <w:t>7 (</w:t>
      </w:r>
      <w:r>
        <w:rPr>
          <w:rFonts w:eastAsiaTheme="minorEastAsia"/>
        </w:rPr>
        <w:t xml:space="preserve">Accelerating digital capability) address this and make recommendations for significant savings and reforms. Chapter </w:t>
      </w:r>
      <w:r w:rsidRPr="00DD2AF3">
        <w:rPr>
          <w:rFonts w:eastAsiaTheme="minorEastAsia"/>
        </w:rPr>
        <w:t>5</w:t>
      </w:r>
      <w:r>
        <w:rPr>
          <w:rFonts w:eastAsiaTheme="minorEastAsia"/>
        </w:rPr>
        <w:t xml:space="preserve"> (</w:t>
      </w:r>
      <w:r w:rsidR="00E34AFB">
        <w:rPr>
          <w:rFonts w:eastAsiaTheme="minorEastAsia"/>
        </w:rPr>
        <w:t>VPS s</w:t>
      </w:r>
      <w:r>
        <w:rPr>
          <w:rFonts w:eastAsiaTheme="minorEastAsia"/>
        </w:rPr>
        <w:t xml:space="preserve">ize and structure) also results in </w:t>
      </w:r>
      <w:r w:rsidR="000F439A">
        <w:rPr>
          <w:rFonts w:eastAsiaTheme="minorEastAsia"/>
        </w:rPr>
        <w:t xml:space="preserve">ongoing </w:t>
      </w:r>
      <w:r>
        <w:rPr>
          <w:rFonts w:eastAsiaTheme="minorEastAsia"/>
        </w:rPr>
        <w:t>s</w:t>
      </w:r>
      <w:r w:rsidRPr="00B22EAB">
        <w:rPr>
          <w:rFonts w:eastAsiaTheme="minorEastAsia"/>
        </w:rPr>
        <w:t>avings. In total, the</w:t>
      </w:r>
      <w:r>
        <w:rPr>
          <w:rFonts w:eastAsiaTheme="minorEastAsia"/>
        </w:rPr>
        <w:t xml:space="preserve"> </w:t>
      </w:r>
      <w:r w:rsidRPr="00B22EAB">
        <w:rPr>
          <w:rFonts w:eastAsiaTheme="minorEastAsia"/>
        </w:rPr>
        <w:t xml:space="preserve">savings identified </w:t>
      </w:r>
      <w:r>
        <w:rPr>
          <w:rFonts w:eastAsiaTheme="minorEastAsia"/>
        </w:rPr>
        <w:t>in th</w:t>
      </w:r>
      <w:r w:rsidR="000F439A">
        <w:rPr>
          <w:rFonts w:eastAsiaTheme="minorEastAsia"/>
        </w:rPr>
        <w:t>is</w:t>
      </w:r>
      <w:r>
        <w:rPr>
          <w:rFonts w:eastAsiaTheme="minorEastAsia"/>
        </w:rPr>
        <w:t xml:space="preserve"> report </w:t>
      </w:r>
      <w:r w:rsidRPr="00B22EAB">
        <w:rPr>
          <w:rFonts w:eastAsiaTheme="minorEastAsia"/>
        </w:rPr>
        <w:t>so far total</w:t>
      </w:r>
      <w:r w:rsidRPr="00DD2AF3">
        <w:rPr>
          <w:rFonts w:eastAsiaTheme="minorEastAsia"/>
        </w:rPr>
        <w:t xml:space="preserve"> </w:t>
      </w:r>
      <w:r w:rsidRPr="00763014">
        <w:rPr>
          <w:rFonts w:eastAsiaTheme="minorEastAsia"/>
        </w:rPr>
        <w:t>$</w:t>
      </w:r>
      <w:r w:rsidR="0066490B" w:rsidRPr="00763014">
        <w:rPr>
          <w:rFonts w:eastAsiaTheme="minorEastAsia"/>
        </w:rPr>
        <w:t>1 billion</w:t>
      </w:r>
      <w:r w:rsidRPr="00DD2AF3">
        <w:rPr>
          <w:rFonts w:eastAsiaTheme="minorEastAsia"/>
        </w:rPr>
        <w:t xml:space="preserve"> from 2025–26 to 2028–29.</w:t>
      </w:r>
      <w:r>
        <w:rPr>
          <w:rFonts w:eastAsiaTheme="minorEastAsia"/>
        </w:rPr>
        <w:t xml:space="preserve"> </w:t>
      </w:r>
    </w:p>
    <w:p w14:paraId="270A9430" w14:textId="09EEFBB8" w:rsidR="00861643" w:rsidRDefault="007530C2" w:rsidP="00044F29">
      <w:pPr>
        <w:rPr>
          <w:rFonts w:eastAsiaTheme="minorEastAsia"/>
        </w:rPr>
      </w:pPr>
      <w:r w:rsidRPr="00783200">
        <w:rPr>
          <w:rFonts w:eastAsiaTheme="minorEastAsia"/>
        </w:rPr>
        <w:t xml:space="preserve">The Review provided interim recommendations about savings to </w:t>
      </w:r>
      <w:r w:rsidR="00B55CE0" w:rsidRPr="00783200">
        <w:rPr>
          <w:rFonts w:eastAsiaTheme="minorEastAsia"/>
        </w:rPr>
        <w:t>the</w:t>
      </w:r>
      <w:r w:rsidRPr="00783200">
        <w:rPr>
          <w:rFonts w:eastAsiaTheme="minorEastAsia"/>
        </w:rPr>
        <w:t xml:space="preserve"> government ahead of the 2025/26 Budget, which </w:t>
      </w:r>
      <w:r w:rsidR="001C5AF4" w:rsidRPr="00783200">
        <w:rPr>
          <w:rFonts w:eastAsiaTheme="minorEastAsia"/>
        </w:rPr>
        <w:t>resulted</w:t>
      </w:r>
      <w:r w:rsidRPr="00783200">
        <w:rPr>
          <w:rFonts w:eastAsiaTheme="minorEastAsia"/>
        </w:rPr>
        <w:t xml:space="preserve"> in $2.</w:t>
      </w:r>
      <w:r w:rsidR="00AD67AC" w:rsidRPr="00783200">
        <w:rPr>
          <w:rFonts w:eastAsiaTheme="minorEastAsia"/>
        </w:rPr>
        <w:t>8</w:t>
      </w:r>
      <w:r w:rsidRPr="00783200">
        <w:rPr>
          <w:rFonts w:eastAsiaTheme="minorEastAsia"/>
        </w:rPr>
        <w:t xml:space="preserve"> billion </w:t>
      </w:r>
      <w:r w:rsidR="001C5AF4" w:rsidRPr="00783200">
        <w:rPr>
          <w:rFonts w:eastAsiaTheme="minorEastAsia"/>
        </w:rPr>
        <w:t xml:space="preserve">of </w:t>
      </w:r>
      <w:r w:rsidRPr="00783200">
        <w:rPr>
          <w:rFonts w:eastAsiaTheme="minorEastAsia"/>
        </w:rPr>
        <w:t>savings and efficiencies over the forward estimates, and</w:t>
      </w:r>
      <w:r w:rsidR="00CE701E">
        <w:rPr>
          <w:rFonts w:eastAsiaTheme="minorEastAsia"/>
        </w:rPr>
        <w:t> </w:t>
      </w:r>
      <w:r w:rsidRPr="00783200">
        <w:rPr>
          <w:rFonts w:eastAsiaTheme="minorEastAsia"/>
        </w:rPr>
        <w:t>a reduction of 619 ongoing</w:t>
      </w:r>
      <w:r w:rsidR="006A2918" w:rsidRPr="00783200">
        <w:rPr>
          <w:rFonts w:eastAsiaTheme="minorEastAsia"/>
        </w:rPr>
        <w:t xml:space="preserve"> </w:t>
      </w:r>
      <w:r w:rsidRPr="00783200">
        <w:rPr>
          <w:rFonts w:eastAsiaTheme="minorEastAsia"/>
        </w:rPr>
        <w:t>public sector FTE.</w:t>
      </w:r>
      <w:r w:rsidRPr="002024A5">
        <w:rPr>
          <w:rFonts w:eastAsiaTheme="minorEastAsia"/>
        </w:rPr>
        <w:t xml:space="preserve"> </w:t>
      </w:r>
    </w:p>
    <w:p w14:paraId="12244571" w14:textId="7C13BB27" w:rsidR="007530C2" w:rsidRPr="002024A5" w:rsidRDefault="007530C2" w:rsidP="00044F29">
      <w:pPr>
        <w:rPr>
          <w:rFonts w:eastAsiaTheme="minorEastAsia"/>
        </w:rPr>
      </w:pPr>
      <w:r w:rsidRPr="00522420">
        <w:rPr>
          <w:rFonts w:eastAsiaTheme="minorEastAsia"/>
        </w:rPr>
        <w:t xml:space="preserve">The Review continued that process, using the criteria outlined in </w:t>
      </w:r>
      <w:r w:rsidR="00861643" w:rsidRPr="00522420">
        <w:rPr>
          <w:rFonts w:eastAsiaTheme="minorEastAsia"/>
        </w:rPr>
        <w:t>C</w:t>
      </w:r>
      <w:r w:rsidRPr="00522420">
        <w:rPr>
          <w:rFonts w:eastAsiaTheme="minorEastAsia"/>
        </w:rPr>
        <w:t xml:space="preserve">hapter 2, in some high expenditure portfolios and has </w:t>
      </w:r>
      <w:r w:rsidRPr="00522420">
        <w:rPr>
          <w:rFonts w:eastAsiaTheme="minorEastAsia"/>
        </w:rPr>
        <w:t>identified additional savings and reform opportunities – set out in this chapter. The</w:t>
      </w:r>
      <w:r w:rsidR="0062483F">
        <w:rPr>
          <w:rFonts w:eastAsiaTheme="minorEastAsia"/>
        </w:rPr>
        <w:t> </w:t>
      </w:r>
      <w:r w:rsidRPr="00522420">
        <w:rPr>
          <w:rFonts w:eastAsiaTheme="minorEastAsia"/>
        </w:rPr>
        <w:t xml:space="preserve">additional reforms will achieve an estimated $1.2 billion in savings from </w:t>
      </w:r>
      <w:r w:rsidR="009D0D28">
        <w:rPr>
          <w:rFonts w:eastAsiaTheme="minorEastAsia"/>
        </w:rPr>
        <w:br/>
      </w:r>
      <w:r w:rsidRPr="00522420">
        <w:rPr>
          <w:rFonts w:eastAsiaTheme="minorEastAsia"/>
        </w:rPr>
        <w:t xml:space="preserve">2025–26 to 2028–29, which creates a cumulative total of </w:t>
      </w:r>
      <w:r w:rsidR="001522D4" w:rsidRPr="00522420">
        <w:rPr>
          <w:rFonts w:eastAsiaTheme="minorEastAsia"/>
        </w:rPr>
        <w:t>around</w:t>
      </w:r>
      <w:r w:rsidR="00AD67AC" w:rsidRPr="00522420">
        <w:rPr>
          <w:rFonts w:eastAsiaTheme="minorEastAsia"/>
        </w:rPr>
        <w:t xml:space="preserve"> </w:t>
      </w:r>
      <w:r w:rsidRPr="00522420">
        <w:rPr>
          <w:rFonts w:eastAsiaTheme="minorEastAsia"/>
        </w:rPr>
        <w:t>$</w:t>
      </w:r>
      <w:r w:rsidR="00AD67AC" w:rsidRPr="00522420">
        <w:rPr>
          <w:rFonts w:eastAsiaTheme="minorEastAsia"/>
        </w:rPr>
        <w:t>5</w:t>
      </w:r>
      <w:r w:rsidRPr="00522420">
        <w:rPr>
          <w:rFonts w:eastAsiaTheme="minorEastAsia"/>
        </w:rPr>
        <w:t xml:space="preserve"> billion in savings from the</w:t>
      </w:r>
      <w:r w:rsidR="0062483F">
        <w:rPr>
          <w:rFonts w:eastAsiaTheme="minorEastAsia"/>
        </w:rPr>
        <w:t> </w:t>
      </w:r>
      <w:r w:rsidRPr="00522420">
        <w:rPr>
          <w:rFonts w:eastAsiaTheme="minorEastAsia"/>
        </w:rPr>
        <w:t>Review.</w:t>
      </w:r>
      <w:r>
        <w:rPr>
          <w:rFonts w:eastAsiaTheme="minorEastAsia"/>
        </w:rPr>
        <w:t xml:space="preserve"> </w:t>
      </w:r>
    </w:p>
    <w:p w14:paraId="1488CA02" w14:textId="1745B3A0" w:rsidR="007530C2" w:rsidRDefault="007530C2" w:rsidP="00044F29">
      <w:pPr>
        <w:rPr>
          <w:rFonts w:eastAsiaTheme="minorEastAsia"/>
        </w:rPr>
      </w:pPr>
      <w:r w:rsidRPr="008C36E9">
        <w:rPr>
          <w:rFonts w:eastAsiaTheme="minorEastAsia"/>
        </w:rPr>
        <w:t>The government undertakes savings programs in annual budgets</w:t>
      </w:r>
      <w:r w:rsidR="0078165F" w:rsidRPr="008C36E9">
        <w:rPr>
          <w:rFonts w:eastAsiaTheme="minorEastAsia"/>
        </w:rPr>
        <w:t>,</w:t>
      </w:r>
      <w:r w:rsidRPr="008C36E9">
        <w:rPr>
          <w:rFonts w:eastAsiaTheme="minorEastAsia"/>
        </w:rPr>
        <w:t xml:space="preserve"> but </w:t>
      </w:r>
      <w:r w:rsidR="00755BF9" w:rsidRPr="008C36E9">
        <w:rPr>
          <w:rFonts w:eastAsiaTheme="minorEastAsia"/>
        </w:rPr>
        <w:t xml:space="preserve">the </w:t>
      </w:r>
      <w:r w:rsidRPr="008C36E9">
        <w:rPr>
          <w:rFonts w:eastAsiaTheme="minorEastAsia"/>
        </w:rPr>
        <w:t>focus can vary from top-down, generalised efficiencies to programmatic expenditure reductions. A GED has also been in place since 2013</w:t>
      </w:r>
      <w:r w:rsidR="00DB7191" w:rsidRPr="008C36E9">
        <w:rPr>
          <w:rFonts w:eastAsiaTheme="minorEastAsia"/>
        </w:rPr>
        <w:t>.</w:t>
      </w:r>
      <w:r w:rsidRPr="008C36E9">
        <w:rPr>
          <w:rFonts w:eastAsiaTheme="minorEastAsia"/>
        </w:rPr>
        <w:t xml:space="preserve"> In </w:t>
      </w:r>
      <w:r w:rsidR="002D0910" w:rsidRPr="008C36E9">
        <w:rPr>
          <w:rFonts w:eastAsiaTheme="minorEastAsia"/>
        </w:rPr>
        <w:t>C</w:t>
      </w:r>
      <w:r w:rsidRPr="008C36E9">
        <w:rPr>
          <w:rFonts w:eastAsiaTheme="minorEastAsia"/>
        </w:rPr>
        <w:t xml:space="preserve">hapter 3, the Review recommends replacing the GED </w:t>
      </w:r>
      <w:r w:rsidR="0040742F" w:rsidRPr="008C36E9">
        <w:rPr>
          <w:rFonts w:eastAsiaTheme="minorEastAsia"/>
        </w:rPr>
        <w:t xml:space="preserve">at the end of the forward estimates </w:t>
      </w:r>
      <w:r w:rsidRPr="008C36E9">
        <w:rPr>
          <w:rFonts w:eastAsiaTheme="minorEastAsia"/>
        </w:rPr>
        <w:t xml:space="preserve">with </w:t>
      </w:r>
      <w:r w:rsidR="00DF74C9" w:rsidRPr="008C36E9">
        <w:rPr>
          <w:rFonts w:eastAsiaTheme="minorEastAsia"/>
        </w:rPr>
        <w:t xml:space="preserve">more systematic </w:t>
      </w:r>
      <w:r w:rsidR="00187305" w:rsidRPr="008C36E9">
        <w:rPr>
          <w:rFonts w:eastAsiaTheme="minorEastAsia"/>
        </w:rPr>
        <w:t>evaluation and discrete savings targets in each budget</w:t>
      </w:r>
      <w:r w:rsidRPr="008C36E9">
        <w:rPr>
          <w:rFonts w:eastAsiaTheme="minorEastAsia"/>
        </w:rPr>
        <w:t>.</w:t>
      </w:r>
      <w:r>
        <w:rPr>
          <w:rFonts w:eastAsiaTheme="minorEastAsia"/>
        </w:rPr>
        <w:t xml:space="preserve">  </w:t>
      </w:r>
    </w:p>
    <w:p w14:paraId="5EBA6CEA" w14:textId="23CD15E1" w:rsidR="007530C2" w:rsidRDefault="007530C2" w:rsidP="00044F29">
      <w:pPr>
        <w:rPr>
          <w:rFonts w:eastAsiaTheme="minorEastAsia"/>
        </w:rPr>
      </w:pPr>
      <w:r w:rsidRPr="00202603">
        <w:rPr>
          <w:rFonts w:eastAsiaTheme="minorEastAsia"/>
        </w:rPr>
        <w:t xml:space="preserve">The 2025/26 Budget (supported by interim recommendations from the Review) included the largest savings program in over 10 years and – as set out in the budget papers – included initiatives to change service delivery models, reduce </w:t>
      </w:r>
      <w:r w:rsidRPr="00202603">
        <w:rPr>
          <w:rFonts w:eastAsiaTheme="minorEastAsia"/>
        </w:rPr>
        <w:lastRenderedPageBreak/>
        <w:t>duplication, re-design or ceas</w:t>
      </w:r>
      <w:r w:rsidR="00ED10DE" w:rsidRPr="00202603">
        <w:rPr>
          <w:rFonts w:eastAsiaTheme="minorEastAsia"/>
        </w:rPr>
        <w:t>e</w:t>
      </w:r>
      <w:r w:rsidRPr="00202603">
        <w:rPr>
          <w:rFonts w:eastAsiaTheme="minorEastAsia"/>
        </w:rPr>
        <w:t xml:space="preserve"> programs not achieving their intended outcomes and reduc</w:t>
      </w:r>
      <w:r w:rsidR="00ED10DE" w:rsidRPr="00202603">
        <w:rPr>
          <w:rFonts w:eastAsiaTheme="minorEastAsia"/>
        </w:rPr>
        <w:t>e</w:t>
      </w:r>
      <w:r w:rsidRPr="00202603">
        <w:rPr>
          <w:rFonts w:eastAsiaTheme="minorEastAsia"/>
        </w:rPr>
        <w:t xml:space="preserve"> expenditure growth where increased costs have not corresponded with improvements.</w:t>
      </w:r>
      <w:r>
        <w:rPr>
          <w:rFonts w:eastAsiaTheme="minorEastAsia"/>
        </w:rPr>
        <w:t xml:space="preserve"> </w:t>
      </w:r>
      <w:r w:rsidR="00202603" w:rsidRPr="00202603">
        <w:rPr>
          <w:rFonts w:eastAsiaTheme="minorEastAsia"/>
        </w:rPr>
        <w:t>This was a good exercise</w:t>
      </w:r>
      <w:r w:rsidR="00202603">
        <w:rPr>
          <w:rFonts w:eastAsiaTheme="minorEastAsia"/>
        </w:rPr>
        <w:t>.</w:t>
      </w:r>
    </w:p>
    <w:p w14:paraId="30F14412" w14:textId="56DB0424" w:rsidR="007530C2" w:rsidRDefault="007530C2" w:rsidP="00044F29">
      <w:r>
        <w:rPr>
          <w:rFonts w:eastAsiaTheme="minorEastAsia"/>
        </w:rPr>
        <w:t xml:space="preserve">The recommended changes in this chapter serve as case studies for the types of opportunities for improvement, reform and </w:t>
      </w:r>
      <w:r w:rsidR="00937E91">
        <w:rPr>
          <w:rFonts w:eastAsiaTheme="minorEastAsia"/>
        </w:rPr>
        <w:br w:type="column"/>
      </w:r>
      <w:r>
        <w:rPr>
          <w:rFonts w:eastAsiaTheme="minorEastAsia"/>
        </w:rPr>
        <w:t xml:space="preserve">savings that government should continue to pursue on an annual </w:t>
      </w:r>
      <w:r w:rsidRPr="00313D56">
        <w:rPr>
          <w:rFonts w:eastAsiaTheme="minorEastAsia"/>
        </w:rPr>
        <w:t>basis to scrutinise base funding as part of stronger budget management processes (</w:t>
      </w:r>
      <w:r w:rsidR="00B41E68" w:rsidRPr="00313D56">
        <w:rPr>
          <w:rFonts w:eastAsiaTheme="minorEastAsia"/>
        </w:rPr>
        <w:t>see</w:t>
      </w:r>
      <w:r w:rsidRPr="00313D56">
        <w:rPr>
          <w:rFonts w:eastAsiaTheme="minorEastAsia"/>
        </w:rPr>
        <w:t xml:space="preserve"> Chapter 3</w:t>
      </w:r>
      <w:r>
        <w:rPr>
          <w:rFonts w:eastAsiaTheme="minorEastAsia"/>
        </w:rPr>
        <w:t>).</w:t>
      </w:r>
    </w:p>
    <w:p w14:paraId="5F07E7D5" w14:textId="77777777" w:rsidR="009C77D5" w:rsidRDefault="009C77D5" w:rsidP="007530C2">
      <w:pPr>
        <w:pStyle w:val="Heading2"/>
        <w:sectPr w:rsidR="009C77D5" w:rsidSect="009C77D5">
          <w:type w:val="continuous"/>
          <w:pgSz w:w="11906" w:h="16838"/>
          <w:pgMar w:top="1440" w:right="1440" w:bottom="1440" w:left="1440" w:header="708" w:footer="708" w:gutter="0"/>
          <w:cols w:num="2" w:space="708"/>
          <w:docGrid w:linePitch="360"/>
          <w15:footnoteColumns w:val="1"/>
        </w:sectPr>
      </w:pPr>
      <w:bookmarkStart w:id="108" w:name="_Toc202524004"/>
    </w:p>
    <w:p w14:paraId="32CD3211" w14:textId="64D0ECBE" w:rsidR="007530C2" w:rsidRDefault="00BE3B05" w:rsidP="007530C2">
      <w:pPr>
        <w:pStyle w:val="Heading2"/>
      </w:pPr>
      <w:bookmarkStart w:id="109" w:name="_Toc214912024"/>
      <w:r>
        <w:t xml:space="preserve">8.2   </w:t>
      </w:r>
      <w:r w:rsidR="007530C2">
        <w:t>O</w:t>
      </w:r>
      <w:r w:rsidR="007530C2" w:rsidRPr="00667DEC">
        <w:t xml:space="preserve">pportunities for </w:t>
      </w:r>
      <w:r w:rsidR="007530C2">
        <w:t xml:space="preserve">portfolio </w:t>
      </w:r>
      <w:r w:rsidR="007530C2" w:rsidRPr="00667DEC">
        <w:t>reform</w:t>
      </w:r>
      <w:r w:rsidR="007530C2">
        <w:t>s – case studies</w:t>
      </w:r>
      <w:bookmarkEnd w:id="108"/>
      <w:bookmarkEnd w:id="109"/>
    </w:p>
    <w:p w14:paraId="4D55C246" w14:textId="77777777" w:rsidR="009C77D5" w:rsidRDefault="009C77D5" w:rsidP="00044F29">
      <w:pPr>
        <w:sectPr w:rsidR="009C77D5" w:rsidSect="00AE6104">
          <w:type w:val="continuous"/>
          <w:pgSz w:w="11906" w:h="16838"/>
          <w:pgMar w:top="1440" w:right="1440" w:bottom="1440" w:left="1440" w:header="708" w:footer="708" w:gutter="0"/>
          <w:cols w:space="708"/>
          <w:docGrid w:linePitch="360"/>
          <w15:footnoteColumns w:val="1"/>
        </w:sectPr>
      </w:pPr>
    </w:p>
    <w:p w14:paraId="0506939E" w14:textId="77777777" w:rsidR="007530C2" w:rsidRDefault="007530C2" w:rsidP="00044F29">
      <w:r w:rsidRPr="00983DF5">
        <w:t>In the time available</w:t>
      </w:r>
      <w:r>
        <w:t xml:space="preserve"> and applying its criteria, the Review has</w:t>
      </w:r>
      <w:r w:rsidRPr="00983DF5">
        <w:t xml:space="preserve"> </w:t>
      </w:r>
      <w:r>
        <w:t xml:space="preserve">identified </w:t>
      </w:r>
      <w:r w:rsidRPr="00983DF5">
        <w:t>further</w:t>
      </w:r>
      <w:r>
        <w:t xml:space="preserve"> major programs and projects where there are significant opportunities for reform.</w:t>
      </w:r>
    </w:p>
    <w:p w14:paraId="6859B4EA" w14:textId="2B4D5D1F" w:rsidR="007530C2" w:rsidRDefault="007530C2" w:rsidP="00044F29">
      <w:r>
        <w:t>The following case studies identify and recommend specific improvements and</w:t>
      </w:r>
      <w:r w:rsidR="00692E4F">
        <w:t> </w:t>
      </w:r>
      <w:r>
        <w:t xml:space="preserve">savings. </w:t>
      </w:r>
    </w:p>
    <w:p w14:paraId="547E6EC4" w14:textId="1061EE4B" w:rsidR="007530C2" w:rsidRPr="00D468A4" w:rsidRDefault="007530C2" w:rsidP="008147ED">
      <w:pPr>
        <w:pStyle w:val="Heading3"/>
      </w:pPr>
      <w:r w:rsidRPr="00D468A4">
        <w:t xml:space="preserve">Reducing role expansion – Early </w:t>
      </w:r>
      <w:r w:rsidR="001D3DE0" w:rsidRPr="00D468A4">
        <w:t>L</w:t>
      </w:r>
      <w:r w:rsidRPr="00D468A4">
        <w:t xml:space="preserve">earning and </w:t>
      </w:r>
      <w:r w:rsidR="001D3DE0" w:rsidRPr="00D468A4">
        <w:t>C</w:t>
      </w:r>
      <w:r w:rsidRPr="00D468A4">
        <w:t xml:space="preserve">hildcare </w:t>
      </w:r>
      <w:r w:rsidR="001D3DE0" w:rsidRPr="00D468A4">
        <w:t>C</w:t>
      </w:r>
      <w:r w:rsidRPr="00D468A4">
        <w:t>entres</w:t>
      </w:r>
    </w:p>
    <w:p w14:paraId="116C356A" w14:textId="58F96CE2" w:rsidR="007530C2" w:rsidRDefault="007530C2" w:rsidP="007B6CA7">
      <w:r>
        <w:t>In 2022, the Victorian Government committed to develop and operate 50 Early Learning and Childcare Centres (ELCCs) in areas with low access to childcare. The first four centres opened in early 2025 and 14</w:t>
      </w:r>
      <w:r w:rsidR="00A9164C">
        <w:t> </w:t>
      </w:r>
      <w:r>
        <w:t xml:space="preserve">more are under construction and will open in </w:t>
      </w:r>
      <w:r w:rsidRPr="001E63C2">
        <w:t>2026</w:t>
      </w:r>
      <w:r>
        <w:t xml:space="preserve">. </w:t>
      </w:r>
      <w:r w:rsidRPr="00F80167">
        <w:t>These centres offer integrated</w:t>
      </w:r>
      <w:r>
        <w:t xml:space="preserve"> early childhood education and care (ECEC)</w:t>
      </w:r>
      <w:r w:rsidRPr="00F80167">
        <w:t xml:space="preserve"> services, including long daycare, </w:t>
      </w:r>
      <w:r w:rsidR="00B62C00" w:rsidRPr="008C36E9">
        <w:t>3</w:t>
      </w:r>
      <w:r w:rsidRPr="008C36E9">
        <w:t>-</w:t>
      </w:r>
      <w:r w:rsidR="003E6A8C">
        <w:t>y</w:t>
      </w:r>
      <w:r w:rsidRPr="00F80167">
        <w:t>ear-</w:t>
      </w:r>
      <w:r w:rsidR="003E6A8C">
        <w:t>o</w:t>
      </w:r>
      <w:r w:rsidRPr="00F80167">
        <w:t xml:space="preserve">ld </w:t>
      </w:r>
      <w:r w:rsidR="003E6A8C">
        <w:t>k</w:t>
      </w:r>
      <w:r w:rsidRPr="00F80167">
        <w:t xml:space="preserve">indergarten and </w:t>
      </w:r>
      <w:r w:rsidR="00B62C00" w:rsidRPr="008C36E9">
        <w:t>4</w:t>
      </w:r>
      <w:r w:rsidRPr="008C36E9">
        <w:t>-</w:t>
      </w:r>
      <w:r w:rsidR="003E6A8C">
        <w:t>y</w:t>
      </w:r>
      <w:r w:rsidRPr="00F80167">
        <w:t>ear-</w:t>
      </w:r>
      <w:r w:rsidR="003E6A8C">
        <w:t>o</w:t>
      </w:r>
      <w:r w:rsidRPr="00F80167">
        <w:t xml:space="preserve">ld </w:t>
      </w:r>
      <w:r w:rsidR="003E6A8C">
        <w:t>k</w:t>
      </w:r>
      <w:r w:rsidRPr="00F80167">
        <w:t>indergarten (Pre-Prep</w:t>
      </w:r>
      <w:r>
        <w:t>). T</w:t>
      </w:r>
      <w:r w:rsidRPr="00921706">
        <w:t xml:space="preserve">he </w:t>
      </w:r>
      <w:r>
        <w:t>total estimated investment to construct</w:t>
      </w:r>
      <w:r w:rsidRPr="00921706">
        <w:t xml:space="preserve"> t</w:t>
      </w:r>
      <w:r>
        <w:t>he 50 ELCCs (along with</w:t>
      </w:r>
      <w:r w:rsidRPr="00921706">
        <w:t xml:space="preserve"> additional kinder </w:t>
      </w:r>
      <w:r>
        <w:t xml:space="preserve">capital </w:t>
      </w:r>
      <w:r w:rsidRPr="00921706">
        <w:t>projects</w:t>
      </w:r>
      <w:r>
        <w:t>) is</w:t>
      </w:r>
      <w:r w:rsidRPr="00921706">
        <w:t xml:space="preserve"> $1.3</w:t>
      </w:r>
      <w:r w:rsidR="00FD0005">
        <w:t> </w:t>
      </w:r>
      <w:r w:rsidRPr="00921706">
        <w:t>b</w:t>
      </w:r>
      <w:r>
        <w:t>illio</w:t>
      </w:r>
      <w:r w:rsidRPr="00921706">
        <w:t>n</w:t>
      </w:r>
      <w:r w:rsidRPr="005725EE">
        <w:t>.</w:t>
      </w:r>
      <w:r>
        <w:rPr>
          <w:rStyle w:val="CommentReference"/>
        </w:rPr>
        <w:t xml:space="preserve"> </w:t>
      </w:r>
      <w:r>
        <w:t xml:space="preserve">  </w:t>
      </w:r>
    </w:p>
    <w:p w14:paraId="7F49DFAC" w14:textId="78340543" w:rsidR="007530C2" w:rsidRPr="00775867" w:rsidRDefault="007530C2" w:rsidP="007B6CA7">
      <w:pPr>
        <w:rPr>
          <w:rFonts w:ascii="Aptos" w:eastAsia="Aptos" w:hAnsi="Aptos" w:cs="Aptos"/>
        </w:rPr>
      </w:pPr>
      <w:r>
        <w:rPr>
          <w:rFonts w:ascii="Aptos" w:eastAsia="Aptos" w:hAnsi="Aptos" w:cs="Aptos"/>
        </w:rPr>
        <w:t>Quality early childhood education (ECE) has many immediate and long-term benefits for health, wellbeing and economic outcomes. This has been increasingly recognised by governments and the provision of quality ECE is a shared responsibility</w:t>
      </w:r>
      <w:r w:rsidRPr="00156AEA">
        <w:rPr>
          <w:rFonts w:ascii="Aptos" w:eastAsia="Aptos" w:hAnsi="Aptos" w:cs="Aptos"/>
        </w:rPr>
        <w:t xml:space="preserve"> of </w:t>
      </w:r>
      <w:r>
        <w:rPr>
          <w:rFonts w:ascii="Aptos" w:eastAsia="Aptos" w:hAnsi="Aptos" w:cs="Aptos"/>
        </w:rPr>
        <w:t xml:space="preserve">the Commonwealth and state. The </w:t>
      </w:r>
      <w:r>
        <w:rPr>
          <w:rFonts w:ascii="Aptos" w:eastAsia="Aptos" w:hAnsi="Aptos" w:cs="Aptos"/>
        </w:rPr>
        <w:t xml:space="preserve">Commonwealth is responsible for providing funding for ECE through various programs, including the Child Care Subsidy, which help families with the cost of ECE and care. ECEC services have traditionally been delivered by </w:t>
      </w:r>
      <w:r w:rsidRPr="00156AEA">
        <w:rPr>
          <w:rFonts w:ascii="Aptos" w:eastAsia="Aptos" w:hAnsi="Aptos" w:cs="Aptos"/>
        </w:rPr>
        <w:t xml:space="preserve">private, community or local government </w:t>
      </w:r>
      <w:r>
        <w:rPr>
          <w:rFonts w:ascii="Aptos" w:eastAsia="Aptos" w:hAnsi="Aptos" w:cs="Aptos"/>
        </w:rPr>
        <w:t>service providers. There are currently significant workforce shortages in the sector.</w:t>
      </w:r>
    </w:p>
    <w:p w14:paraId="5016C437" w14:textId="684D27BA" w:rsidR="007530C2" w:rsidRDefault="007530C2" w:rsidP="007B6CA7">
      <w:r>
        <w:t>The government’s commitment to ELCCs – made with good intent and recognising the many benefits – is an example of role expansion. Victoria is now overlapping with a Commonwealth role and operating services that other sectors can deliver. This</w:t>
      </w:r>
      <w:r w:rsidR="008A2956">
        <w:t> </w:t>
      </w:r>
      <w:r>
        <w:t>creates potential duplication and confusion, increases costs through unnecessary competition for resources and reduces government’s flexibility to invest in other areas of demand.</w:t>
      </w:r>
    </w:p>
    <w:p w14:paraId="14726034" w14:textId="7DA4C8EE" w:rsidR="007530C2" w:rsidRDefault="007530C2" w:rsidP="007B6CA7">
      <w:pPr>
        <w:rPr>
          <w:rFonts w:ascii="Aptos" w:eastAsia="Aptos" w:hAnsi="Aptos" w:cs="Aptos"/>
        </w:rPr>
      </w:pPr>
      <w:r>
        <w:rPr>
          <w:rFonts w:ascii="Aptos" w:eastAsia="Aptos" w:hAnsi="Aptos" w:cs="Aptos"/>
        </w:rPr>
        <w:t>In 2024, the</w:t>
      </w:r>
      <w:r w:rsidRPr="00156AEA">
        <w:rPr>
          <w:rFonts w:ascii="Aptos" w:eastAsia="Aptos" w:hAnsi="Aptos" w:cs="Aptos"/>
        </w:rPr>
        <w:t xml:space="preserve"> Productivity Commission presented a report to the Commonwealth </w:t>
      </w:r>
      <w:r>
        <w:rPr>
          <w:rFonts w:ascii="Aptos" w:eastAsia="Aptos" w:hAnsi="Aptos" w:cs="Aptos"/>
        </w:rPr>
        <w:t>including recommendations for</w:t>
      </w:r>
      <w:r w:rsidRPr="00156AEA">
        <w:rPr>
          <w:rFonts w:ascii="Aptos" w:eastAsia="Aptos" w:hAnsi="Aptos" w:cs="Aptos"/>
        </w:rPr>
        <w:t xml:space="preserve"> improving </w:t>
      </w:r>
      <w:r w:rsidR="00A95B90">
        <w:rPr>
          <w:rFonts w:ascii="Aptos" w:eastAsia="Aptos" w:hAnsi="Aptos" w:cs="Aptos"/>
        </w:rPr>
        <w:t>ECEC</w:t>
      </w:r>
      <w:r w:rsidRPr="00156AEA">
        <w:rPr>
          <w:rFonts w:ascii="Aptos" w:eastAsia="Aptos" w:hAnsi="Aptos" w:cs="Aptos"/>
        </w:rPr>
        <w:t xml:space="preserve"> affordability and access</w:t>
      </w:r>
      <w:r>
        <w:rPr>
          <w:rFonts w:ascii="Aptos" w:eastAsia="Aptos" w:hAnsi="Aptos" w:cs="Aptos"/>
        </w:rPr>
        <w:t>. This includes the creation of an ECEC Development Fund to support universal access</w:t>
      </w:r>
      <w:r w:rsidRPr="00156AEA">
        <w:rPr>
          <w:rFonts w:ascii="Aptos" w:eastAsia="Aptos" w:hAnsi="Aptos" w:cs="Aptos"/>
        </w:rPr>
        <w:t xml:space="preserve"> in thin markets</w:t>
      </w:r>
      <w:r>
        <w:rPr>
          <w:rFonts w:ascii="Aptos" w:eastAsia="Aptos" w:hAnsi="Aptos" w:cs="Aptos"/>
        </w:rPr>
        <w:t>. T</w:t>
      </w:r>
      <w:r w:rsidRPr="00156AEA">
        <w:rPr>
          <w:rFonts w:ascii="Aptos" w:eastAsia="Aptos" w:hAnsi="Aptos" w:cs="Aptos"/>
        </w:rPr>
        <w:t xml:space="preserve">he Commonwealth established a $1 billion Building Early Education Fund in </w:t>
      </w:r>
      <w:r>
        <w:rPr>
          <w:rFonts w:ascii="Aptos" w:eastAsia="Aptos" w:hAnsi="Aptos" w:cs="Aptos"/>
        </w:rPr>
        <w:t>December 2024</w:t>
      </w:r>
      <w:r w:rsidRPr="00156AEA">
        <w:rPr>
          <w:rFonts w:ascii="Aptos" w:eastAsia="Aptos" w:hAnsi="Aptos" w:cs="Aptos"/>
        </w:rPr>
        <w:t xml:space="preserve"> in response to </w:t>
      </w:r>
      <w:r>
        <w:rPr>
          <w:rFonts w:ascii="Aptos" w:eastAsia="Aptos" w:hAnsi="Aptos" w:cs="Aptos"/>
        </w:rPr>
        <w:t>the r</w:t>
      </w:r>
      <w:r w:rsidRPr="00156AEA">
        <w:rPr>
          <w:rFonts w:ascii="Aptos" w:eastAsia="Aptos" w:hAnsi="Aptos" w:cs="Aptos"/>
        </w:rPr>
        <w:t>eport’s recommendations. </w:t>
      </w:r>
    </w:p>
    <w:p w14:paraId="02E165CA" w14:textId="19AEB52C" w:rsidR="007530C2" w:rsidRDefault="007530C2" w:rsidP="00511BC1">
      <w:pPr>
        <w:tabs>
          <w:tab w:val="num" w:pos="360"/>
        </w:tabs>
        <w:spacing w:after="640"/>
        <w:rPr>
          <w:rFonts w:ascii="Aptos" w:eastAsia="Aptos" w:hAnsi="Aptos" w:cs="Aptos"/>
        </w:rPr>
      </w:pPr>
      <w:r>
        <w:rPr>
          <w:rFonts w:ascii="Aptos" w:eastAsia="Aptos" w:hAnsi="Aptos" w:cs="Aptos"/>
        </w:rPr>
        <w:lastRenderedPageBreak/>
        <w:t>Given the Commonwealth’s primary role, recent actions and resurgent policy interest, there is an opportunity to reconsider the state’s involvement in building ELCCs. Further, Victoria should transition the operation of ELCCs to non-</w:t>
      </w:r>
      <w:r w:rsidR="00D1310D" w:rsidRPr="006603DD">
        <w:rPr>
          <w:rFonts w:ascii="Aptos" w:eastAsia="Aptos" w:hAnsi="Aptos" w:cs="Aptos"/>
        </w:rPr>
        <w:t>state</w:t>
      </w:r>
      <w:r w:rsidR="00364434">
        <w:rPr>
          <w:rFonts w:ascii="Aptos" w:eastAsia="Aptos" w:hAnsi="Aptos" w:cs="Aptos"/>
        </w:rPr>
        <w:t xml:space="preserve"> </w:t>
      </w:r>
      <w:r>
        <w:rPr>
          <w:rFonts w:ascii="Aptos" w:eastAsia="Aptos" w:hAnsi="Aptos" w:cs="Aptos"/>
        </w:rPr>
        <w:t xml:space="preserve">government service providers </w:t>
      </w:r>
      <w:r w:rsidR="00364434" w:rsidRPr="006603DD">
        <w:rPr>
          <w:rFonts w:ascii="Aptos" w:eastAsia="Aptos" w:hAnsi="Aptos" w:cs="Aptos"/>
        </w:rPr>
        <w:t xml:space="preserve">(including </w:t>
      </w:r>
      <w:r w:rsidR="00806315" w:rsidRPr="006603DD">
        <w:rPr>
          <w:rFonts w:ascii="Aptos" w:eastAsia="Aptos" w:hAnsi="Aptos" w:cs="Aptos"/>
        </w:rPr>
        <w:t>not</w:t>
      </w:r>
      <w:r w:rsidRPr="006603DD">
        <w:rPr>
          <w:rFonts w:ascii="Aptos" w:eastAsia="Aptos" w:hAnsi="Aptos" w:cs="Aptos"/>
        </w:rPr>
        <w:t xml:space="preserve"> </w:t>
      </w:r>
      <w:r w:rsidR="003227EF">
        <w:rPr>
          <w:rFonts w:ascii="Aptos" w:eastAsia="Aptos" w:hAnsi="Aptos" w:cs="Aptos"/>
        </w:rPr>
        <w:br w:type="column"/>
      </w:r>
      <w:r w:rsidRPr="006603DD">
        <w:rPr>
          <w:rFonts w:ascii="Aptos" w:eastAsia="Aptos" w:hAnsi="Aptos" w:cs="Aptos"/>
        </w:rPr>
        <w:t xml:space="preserve">for </w:t>
      </w:r>
      <w:r w:rsidR="00806315" w:rsidRPr="006603DD">
        <w:rPr>
          <w:rFonts w:ascii="Aptos" w:eastAsia="Aptos" w:hAnsi="Aptos" w:cs="Aptos"/>
        </w:rPr>
        <w:t>profit providers and local government)</w:t>
      </w:r>
      <w:r>
        <w:rPr>
          <w:rFonts w:ascii="Aptos" w:eastAsia="Aptos" w:hAnsi="Aptos" w:cs="Aptos"/>
        </w:rPr>
        <w:t xml:space="preserve"> over time. This will reduce risk and conflict of roles – with </w:t>
      </w:r>
      <w:r w:rsidR="00570007">
        <w:rPr>
          <w:rFonts w:ascii="Aptos" w:eastAsia="Aptos" w:hAnsi="Aptos" w:cs="Aptos"/>
        </w:rPr>
        <w:t>the Department of Education (</w:t>
      </w:r>
      <w:r>
        <w:rPr>
          <w:rFonts w:ascii="Aptos" w:eastAsia="Aptos" w:hAnsi="Aptos" w:cs="Aptos"/>
        </w:rPr>
        <w:t>DE</w:t>
      </w:r>
      <w:r w:rsidR="00570007">
        <w:rPr>
          <w:rFonts w:ascii="Aptos" w:eastAsia="Aptos" w:hAnsi="Aptos" w:cs="Aptos"/>
        </w:rPr>
        <w:t>)</w:t>
      </w:r>
      <w:r>
        <w:rPr>
          <w:rFonts w:ascii="Aptos" w:eastAsia="Aptos" w:hAnsi="Aptos" w:cs="Aptos"/>
        </w:rPr>
        <w:t xml:space="preserve"> currently delivering ELCCs and regulating ECEC services delivered in</w:t>
      </w:r>
      <w:r w:rsidR="00EC1C42">
        <w:rPr>
          <w:rFonts w:ascii="Aptos" w:eastAsia="Aptos" w:hAnsi="Aptos" w:cs="Aptos"/>
        </w:rPr>
        <w:t> </w:t>
      </w:r>
      <w:r>
        <w:rPr>
          <w:rFonts w:ascii="Aptos" w:eastAsia="Aptos" w:hAnsi="Aptos" w:cs="Aptos"/>
        </w:rPr>
        <w:t>Victoria.</w:t>
      </w:r>
    </w:p>
    <w:p w14:paraId="6E0AE6D8" w14:textId="77777777" w:rsidR="009C77D5" w:rsidRDefault="009C77D5" w:rsidP="00015F04">
      <w:pPr>
        <w:spacing w:before="60"/>
        <w:rPr>
          <w:b/>
        </w:rPr>
        <w:sectPr w:rsidR="009C77D5" w:rsidSect="009C77D5">
          <w:type w:val="continuous"/>
          <w:pgSz w:w="11906" w:h="16838"/>
          <w:pgMar w:top="1440" w:right="1440" w:bottom="1440" w:left="1440" w:header="708" w:footer="708" w:gutter="0"/>
          <w:cols w:num="2" w:space="708"/>
          <w:docGrid w:linePitch="360"/>
          <w15:footnoteColumns w:val="1"/>
        </w:sectPr>
      </w:pPr>
    </w:p>
    <w:tbl>
      <w:tblPr>
        <w:tblStyle w:val="TableGrid"/>
        <w:tblW w:w="0" w:type="auto"/>
        <w:tblLook w:val="04A0" w:firstRow="1" w:lastRow="0" w:firstColumn="1" w:lastColumn="0" w:noHBand="0" w:noVBand="1"/>
      </w:tblPr>
      <w:tblGrid>
        <w:gridCol w:w="5949"/>
        <w:gridCol w:w="3067"/>
      </w:tblGrid>
      <w:tr w:rsidR="007530C2" w:rsidRPr="00AE23C8" w14:paraId="6C4A9E83" w14:textId="77777777" w:rsidTr="00350480">
        <w:tc>
          <w:tcPr>
            <w:tcW w:w="5949" w:type="dxa"/>
            <w:tcBorders>
              <w:left w:val="nil"/>
              <w:bottom w:val="single" w:sz="4" w:space="0" w:color="auto"/>
              <w:right w:val="single" w:sz="18" w:space="0" w:color="F2F2F2" w:themeColor="background1" w:themeShade="F2"/>
            </w:tcBorders>
            <w:shd w:val="clear" w:color="auto" w:fill="E7E6E6"/>
          </w:tcPr>
          <w:p w14:paraId="1C0AA105" w14:textId="77777777" w:rsidR="007530C2" w:rsidRPr="003C1651" w:rsidRDefault="007530C2" w:rsidP="003227EF">
            <w:pPr>
              <w:spacing w:before="60" w:after="160" w:line="278" w:lineRule="auto"/>
              <w:rPr>
                <w:b/>
              </w:rPr>
            </w:pPr>
            <w:r w:rsidRPr="003C1651">
              <w:rPr>
                <w:b/>
              </w:rPr>
              <w:t>Recommendation</w:t>
            </w:r>
          </w:p>
        </w:tc>
        <w:tc>
          <w:tcPr>
            <w:tcW w:w="3067" w:type="dxa"/>
            <w:tcBorders>
              <w:left w:val="single" w:sz="18" w:space="0" w:color="F2F2F2" w:themeColor="background1" w:themeShade="F2"/>
              <w:bottom w:val="single" w:sz="4" w:space="0" w:color="auto"/>
              <w:right w:val="nil"/>
            </w:tcBorders>
            <w:shd w:val="clear" w:color="auto" w:fill="E7E6E6"/>
          </w:tcPr>
          <w:p w14:paraId="5ECFFDDB" w14:textId="77777777" w:rsidR="007530C2" w:rsidRPr="003C1651" w:rsidRDefault="007530C2" w:rsidP="00015F04">
            <w:pPr>
              <w:spacing w:before="60" w:after="160" w:line="278" w:lineRule="auto"/>
              <w:rPr>
                <w:b/>
              </w:rPr>
            </w:pPr>
            <w:r w:rsidRPr="003C1651">
              <w:rPr>
                <w:b/>
              </w:rPr>
              <w:t>Savings</w:t>
            </w:r>
          </w:p>
        </w:tc>
      </w:tr>
      <w:tr w:rsidR="007530C2" w14:paraId="273E926E" w14:textId="77777777" w:rsidTr="000008C0">
        <w:tc>
          <w:tcPr>
            <w:tcW w:w="5949" w:type="dxa"/>
            <w:tcBorders>
              <w:left w:val="nil"/>
              <w:right w:val="single" w:sz="4" w:space="0" w:color="F2F2F2" w:themeColor="background1" w:themeShade="F2"/>
            </w:tcBorders>
          </w:tcPr>
          <w:p w14:paraId="05AFED45" w14:textId="7C40720B" w:rsidR="007530C2" w:rsidRDefault="007530C2" w:rsidP="00015F04">
            <w:pPr>
              <w:pStyle w:val="ListParagraph"/>
              <w:numPr>
                <w:ilvl w:val="1"/>
                <w:numId w:val="53"/>
              </w:numPr>
              <w:spacing w:before="60" w:after="160" w:line="278" w:lineRule="auto"/>
              <w:ind w:left="567" w:hanging="567"/>
              <w:contextualSpacing w:val="0"/>
            </w:pPr>
            <w:r>
              <w:t xml:space="preserve">Pause the commitment to </w:t>
            </w:r>
            <w:r w:rsidR="00DE748A" w:rsidRPr="00BD2298">
              <w:t>E</w:t>
            </w:r>
            <w:r w:rsidR="00BD2298">
              <w:t>LCCs</w:t>
            </w:r>
            <w:r>
              <w:t xml:space="preserve"> beyond the first 18</w:t>
            </w:r>
            <w:r w:rsidR="00613449">
              <w:t> </w:t>
            </w:r>
            <w:r>
              <w:t xml:space="preserve">already operating and under construction. </w:t>
            </w:r>
          </w:p>
          <w:p w14:paraId="0CE4FCD7" w14:textId="7DC6C22A" w:rsidR="007530C2" w:rsidRDefault="007530C2" w:rsidP="00015F04">
            <w:pPr>
              <w:pStyle w:val="ListParagraph"/>
              <w:numPr>
                <w:ilvl w:val="1"/>
                <w:numId w:val="53"/>
              </w:numPr>
              <w:spacing w:before="60" w:after="160" w:line="278" w:lineRule="auto"/>
              <w:ind w:left="567" w:hanging="567"/>
              <w:contextualSpacing w:val="0"/>
            </w:pPr>
            <w:r>
              <w:rPr>
                <w:rFonts w:ascii="Aptos" w:eastAsia="Aptos" w:hAnsi="Aptos" w:cs="Aptos"/>
              </w:rPr>
              <w:t>Transition o</w:t>
            </w:r>
            <w:r w:rsidRPr="003764D5">
              <w:rPr>
                <w:rFonts w:ascii="Aptos" w:eastAsia="Aptos" w:hAnsi="Aptos" w:cs="Aptos"/>
              </w:rPr>
              <w:t>perati</w:t>
            </w:r>
            <w:r>
              <w:rPr>
                <w:rFonts w:ascii="Aptos" w:eastAsia="Aptos" w:hAnsi="Aptos" w:cs="Aptos"/>
              </w:rPr>
              <w:t>on of the</w:t>
            </w:r>
            <w:r w:rsidRPr="003764D5">
              <w:rPr>
                <w:rFonts w:ascii="Aptos" w:eastAsia="Aptos" w:hAnsi="Aptos" w:cs="Aptos"/>
              </w:rPr>
              <w:t xml:space="preserve"> 18 </w:t>
            </w:r>
            <w:r w:rsidR="00BD2298" w:rsidRPr="00BD2298">
              <w:t>E</w:t>
            </w:r>
            <w:r w:rsidR="00BD2298">
              <w:t>LCC</w:t>
            </w:r>
            <w:r w:rsidR="009F4829">
              <w:rPr>
                <w:rFonts w:ascii="Aptos" w:eastAsia="Aptos" w:hAnsi="Aptos" w:cs="Aptos"/>
              </w:rPr>
              <w:t xml:space="preserve"> </w:t>
            </w:r>
            <w:r w:rsidRPr="003764D5">
              <w:rPr>
                <w:rFonts w:ascii="Aptos" w:eastAsia="Aptos" w:hAnsi="Aptos" w:cs="Aptos"/>
              </w:rPr>
              <w:t xml:space="preserve">sites </w:t>
            </w:r>
            <w:r>
              <w:rPr>
                <w:rFonts w:ascii="Aptos" w:eastAsia="Aptos" w:hAnsi="Aptos" w:cs="Aptos"/>
              </w:rPr>
              <w:t xml:space="preserve">to non-government service providers </w:t>
            </w:r>
            <w:r w:rsidRPr="003764D5">
              <w:rPr>
                <w:rFonts w:ascii="Aptos" w:eastAsia="Aptos" w:hAnsi="Aptos" w:cs="Aptos"/>
              </w:rPr>
              <w:t xml:space="preserve">over time. </w:t>
            </w:r>
          </w:p>
        </w:tc>
        <w:tc>
          <w:tcPr>
            <w:tcW w:w="3067" w:type="dxa"/>
            <w:tcBorders>
              <w:left w:val="single" w:sz="4" w:space="0" w:color="F2F2F2" w:themeColor="background1" w:themeShade="F2"/>
              <w:right w:val="nil"/>
            </w:tcBorders>
          </w:tcPr>
          <w:p w14:paraId="47C47CAD" w14:textId="2CF5F649" w:rsidR="007530C2" w:rsidRDefault="007530C2" w:rsidP="00015F04">
            <w:pPr>
              <w:tabs>
                <w:tab w:val="num" w:pos="360"/>
              </w:tabs>
              <w:spacing w:before="60" w:after="160" w:line="278" w:lineRule="auto"/>
              <w:rPr>
                <w:rFonts w:ascii="Aptos" w:eastAsia="Aptos" w:hAnsi="Aptos" w:cs="Aptos"/>
              </w:rPr>
            </w:pPr>
            <w:r>
              <w:rPr>
                <w:rFonts w:ascii="Aptos" w:eastAsia="Aptos" w:hAnsi="Aptos" w:cs="Aptos"/>
              </w:rPr>
              <w:t>O</w:t>
            </w:r>
            <w:r w:rsidRPr="004A645B">
              <w:rPr>
                <w:rFonts w:ascii="Aptos" w:eastAsia="Aptos" w:hAnsi="Aptos" w:cs="Aptos"/>
              </w:rPr>
              <w:t xml:space="preserve">utput savings of up to </w:t>
            </w:r>
            <w:r w:rsidR="00761CD1">
              <w:rPr>
                <w:rFonts w:ascii="Aptos" w:eastAsia="Aptos" w:hAnsi="Aptos" w:cs="Aptos"/>
              </w:rPr>
              <w:br/>
            </w:r>
            <w:r w:rsidRPr="004A645B">
              <w:rPr>
                <w:rFonts w:ascii="Aptos" w:eastAsia="Aptos" w:hAnsi="Aptos" w:cs="Aptos"/>
              </w:rPr>
              <w:t xml:space="preserve">$9 </w:t>
            </w:r>
            <w:r w:rsidR="00C17F00">
              <w:rPr>
                <w:rFonts w:ascii="Aptos" w:eastAsia="Aptos" w:hAnsi="Aptos" w:cs="Aptos"/>
              </w:rPr>
              <w:t>–</w:t>
            </w:r>
            <w:r w:rsidRPr="004A645B">
              <w:rPr>
                <w:rFonts w:ascii="Aptos" w:eastAsia="Aptos" w:hAnsi="Aptos" w:cs="Aptos"/>
              </w:rPr>
              <w:t xml:space="preserve">$13 million per annum </w:t>
            </w:r>
            <w:r>
              <w:rPr>
                <w:rFonts w:ascii="Aptos" w:eastAsia="Aptos" w:hAnsi="Aptos" w:cs="Aptos"/>
              </w:rPr>
              <w:t>relative to</w:t>
            </w:r>
            <w:r w:rsidRPr="004A645B">
              <w:rPr>
                <w:rFonts w:ascii="Aptos" w:eastAsia="Aptos" w:hAnsi="Aptos" w:cs="Aptos"/>
              </w:rPr>
              <w:t xml:space="preserve"> </w:t>
            </w:r>
            <w:r>
              <w:rPr>
                <w:rFonts w:ascii="Aptos" w:eastAsia="Aptos" w:hAnsi="Aptos" w:cs="Aptos"/>
              </w:rPr>
              <w:t>the full roll out.</w:t>
            </w:r>
            <w:r w:rsidRPr="004A645B">
              <w:rPr>
                <w:rFonts w:ascii="Aptos" w:eastAsia="Aptos" w:hAnsi="Aptos" w:cs="Aptos"/>
              </w:rPr>
              <w:t xml:space="preserve"> </w:t>
            </w:r>
          </w:p>
          <w:p w14:paraId="57EFD801" w14:textId="77777777" w:rsidR="007530C2" w:rsidRPr="00E3228B" w:rsidRDefault="007530C2" w:rsidP="00015F04">
            <w:pPr>
              <w:tabs>
                <w:tab w:val="num" w:pos="360"/>
              </w:tabs>
              <w:spacing w:before="60" w:after="160" w:line="278" w:lineRule="auto"/>
            </w:pPr>
            <w:r>
              <w:rPr>
                <w:rFonts w:ascii="Aptos" w:eastAsia="Aptos" w:hAnsi="Aptos" w:cs="Aptos"/>
              </w:rPr>
              <w:t>N</w:t>
            </w:r>
            <w:r w:rsidRPr="004A645B">
              <w:rPr>
                <w:rFonts w:ascii="Aptos" w:eastAsia="Aptos" w:hAnsi="Aptos" w:cs="Aptos"/>
              </w:rPr>
              <w:t>et capital savings of up to $350 million over the whole reform period.</w:t>
            </w:r>
          </w:p>
        </w:tc>
      </w:tr>
    </w:tbl>
    <w:p w14:paraId="2684474D" w14:textId="77777777" w:rsidR="007530C2" w:rsidRPr="00B911C5" w:rsidRDefault="007530C2" w:rsidP="007530C2">
      <w:pPr>
        <w:tabs>
          <w:tab w:val="num" w:pos="360"/>
        </w:tabs>
        <w:rPr>
          <w:rFonts w:ascii="Aptos" w:eastAsia="Aptos" w:hAnsi="Aptos" w:cs="Aptos"/>
          <w:lang w:val="en-US"/>
        </w:rPr>
      </w:pPr>
    </w:p>
    <w:p w14:paraId="5BF337D0" w14:textId="77777777" w:rsidR="004830B2" w:rsidRDefault="004830B2" w:rsidP="008D607A">
      <w:pPr>
        <w:pStyle w:val="Heading3"/>
        <w:numPr>
          <w:ilvl w:val="0"/>
          <w:numId w:val="0"/>
        </w:numPr>
        <w:spacing w:before="0"/>
        <w:rPr>
          <w:szCs w:val="26"/>
        </w:rPr>
        <w:sectPr w:rsidR="004830B2" w:rsidSect="00AE6104">
          <w:type w:val="continuous"/>
          <w:pgSz w:w="11906" w:h="16838"/>
          <w:pgMar w:top="1440" w:right="1440" w:bottom="1440" w:left="1440" w:header="708" w:footer="708" w:gutter="0"/>
          <w:cols w:space="708"/>
          <w:docGrid w:linePitch="360"/>
          <w15:footnoteColumns w:val="1"/>
        </w:sectPr>
      </w:pPr>
    </w:p>
    <w:p w14:paraId="3BB0176F" w14:textId="77777777" w:rsidR="007530C2" w:rsidRPr="00A36E92" w:rsidRDefault="007530C2" w:rsidP="008D607A">
      <w:pPr>
        <w:pStyle w:val="Heading3"/>
        <w:numPr>
          <w:ilvl w:val="0"/>
          <w:numId w:val="0"/>
        </w:numPr>
        <w:spacing w:before="0"/>
        <w:rPr>
          <w:szCs w:val="26"/>
        </w:rPr>
      </w:pPr>
      <w:r w:rsidRPr="00A36E92">
        <w:rPr>
          <w:szCs w:val="26"/>
        </w:rPr>
        <w:t>Reducing duplication – Industry support</w:t>
      </w:r>
    </w:p>
    <w:p w14:paraId="6D7FDB95" w14:textId="2FEAC168" w:rsidR="007530C2" w:rsidRDefault="007530C2" w:rsidP="007B6CA7">
      <w:r w:rsidRPr="00691DA5">
        <w:t xml:space="preserve">The Victorian Government provides industry support through a </w:t>
      </w:r>
      <w:r>
        <w:t xml:space="preserve">wide </w:t>
      </w:r>
      <w:r w:rsidRPr="00691DA5">
        <w:t xml:space="preserve">range of </w:t>
      </w:r>
      <w:r>
        <w:t xml:space="preserve">initiatives, delivered by different </w:t>
      </w:r>
      <w:r w:rsidRPr="00691DA5">
        <w:t xml:space="preserve">entities. </w:t>
      </w:r>
      <w:r w:rsidRPr="00E229DB">
        <w:rPr>
          <w:rFonts w:cs="Arial"/>
          <w:lang w:val="en-US"/>
        </w:rPr>
        <w:t xml:space="preserve">In total, the Review has identified more than 25 separate </w:t>
      </w:r>
      <w:r>
        <w:rPr>
          <w:rFonts w:cs="Arial"/>
          <w:lang w:val="en-US"/>
        </w:rPr>
        <w:t>industry</w:t>
      </w:r>
      <w:r w:rsidRPr="00E229DB">
        <w:rPr>
          <w:rFonts w:cs="Arial"/>
          <w:lang w:val="en-US"/>
        </w:rPr>
        <w:t xml:space="preserve"> </w:t>
      </w:r>
      <w:r>
        <w:rPr>
          <w:rFonts w:cs="Arial"/>
          <w:lang w:val="en-US"/>
        </w:rPr>
        <w:t>support</w:t>
      </w:r>
      <w:r w:rsidRPr="00E229DB">
        <w:rPr>
          <w:rFonts w:cs="Arial"/>
          <w:lang w:val="en-US"/>
        </w:rPr>
        <w:t xml:space="preserve"> programs</w:t>
      </w:r>
      <w:r>
        <w:rPr>
          <w:rFonts w:cs="Arial"/>
          <w:lang w:val="en-US"/>
        </w:rPr>
        <w:t xml:space="preserve"> delivered across DJSIR, DEECA and their portfolio entities.</w:t>
      </w:r>
      <w:r w:rsidRPr="006347D3">
        <w:t xml:space="preserve"> </w:t>
      </w:r>
      <w:r w:rsidRPr="00691DA5">
        <w:t xml:space="preserve">Victoria’s </w:t>
      </w:r>
      <w:r w:rsidRPr="00691DA5">
        <w:rPr>
          <w:lang w:val="en-US"/>
        </w:rPr>
        <w:t>industry support</w:t>
      </w:r>
      <w:r w:rsidR="001E1DD5">
        <w:rPr>
          <w:lang w:val="en-US"/>
        </w:rPr>
        <w:t> </w:t>
      </w:r>
      <w:r w:rsidRPr="00691DA5">
        <w:rPr>
          <w:lang w:val="en-US"/>
        </w:rPr>
        <w:t>expenditure has grown considerably in recent years</w:t>
      </w:r>
      <w:r>
        <w:rPr>
          <w:lang w:val="en-US"/>
        </w:rPr>
        <w:t xml:space="preserve"> from </w:t>
      </w:r>
      <w:r w:rsidRPr="001B4649">
        <w:rPr>
          <w:lang w:val="en-US"/>
        </w:rPr>
        <w:t>at least $236 million</w:t>
      </w:r>
      <w:r>
        <w:rPr>
          <w:lang w:val="en-US"/>
        </w:rPr>
        <w:t xml:space="preserve"> in 2014</w:t>
      </w:r>
      <w:r w:rsidRPr="79E46560">
        <w:rPr>
          <w:rFonts w:ascii="Aptos" w:eastAsia="Aptos" w:hAnsi="Aptos" w:cs="Aptos"/>
          <w:color w:val="000000" w:themeColor="text1"/>
        </w:rPr>
        <w:t>–</w:t>
      </w:r>
      <w:r>
        <w:rPr>
          <w:lang w:val="en-US"/>
        </w:rPr>
        <w:t xml:space="preserve">15 to over </w:t>
      </w:r>
      <w:r w:rsidRPr="001B4649">
        <w:rPr>
          <w:lang w:val="en-US"/>
        </w:rPr>
        <w:t>$6</w:t>
      </w:r>
      <w:r w:rsidR="0015368C">
        <w:rPr>
          <w:lang w:val="en-US"/>
        </w:rPr>
        <w:t>6</w:t>
      </w:r>
      <w:r w:rsidRPr="001B4649">
        <w:rPr>
          <w:lang w:val="en-US"/>
        </w:rPr>
        <w:t>0 million in 2024</w:t>
      </w:r>
      <w:r w:rsidRPr="79E46560">
        <w:rPr>
          <w:rFonts w:ascii="Aptos" w:eastAsia="Aptos" w:hAnsi="Aptos" w:cs="Aptos"/>
          <w:color w:val="000000" w:themeColor="text1"/>
        </w:rPr>
        <w:t>–</w:t>
      </w:r>
      <w:r w:rsidRPr="001B4649">
        <w:rPr>
          <w:lang w:val="en-US"/>
        </w:rPr>
        <w:t>25</w:t>
      </w:r>
      <w:r w:rsidRPr="00691DA5">
        <w:rPr>
          <w:lang w:val="en-US"/>
        </w:rPr>
        <w:t>.</w:t>
      </w:r>
      <w:r w:rsidRPr="00691DA5">
        <w:t> </w:t>
      </w:r>
      <w:r>
        <w:t xml:space="preserve">The current spread of programs and entities is duplicative and makes government confusing and difficult for industry to deal with. </w:t>
      </w:r>
    </w:p>
    <w:p w14:paraId="5D17D04C" w14:textId="55A18AB4" w:rsidR="007530C2" w:rsidRPr="00FE344C" w:rsidRDefault="007530C2" w:rsidP="007B6CA7">
      <w:r>
        <w:rPr>
          <w:lang w:val="en-US"/>
        </w:rPr>
        <w:t>For example, t</w:t>
      </w:r>
      <w:r w:rsidRPr="00691DA5">
        <w:rPr>
          <w:lang w:val="en-US"/>
        </w:rPr>
        <w:t>he</w:t>
      </w:r>
      <w:r>
        <w:rPr>
          <w:lang w:val="en-US"/>
        </w:rPr>
        <w:t xml:space="preserve">re are currently different and duplicative entry points for industry to seek Victorian Government support. </w:t>
      </w:r>
      <w:r w:rsidRPr="00691DA5">
        <w:rPr>
          <w:lang w:val="en-US"/>
        </w:rPr>
        <w:t>While Invest Victoria</w:t>
      </w:r>
      <w:r w:rsidRPr="00691DA5" w:rsidDel="00180ECF">
        <w:rPr>
          <w:lang w:val="en-US"/>
        </w:rPr>
        <w:t xml:space="preserve"> </w:t>
      </w:r>
      <w:r w:rsidRPr="00691DA5">
        <w:rPr>
          <w:lang w:val="en-US"/>
        </w:rPr>
        <w:t>provide</w:t>
      </w:r>
      <w:r>
        <w:rPr>
          <w:lang w:val="en-US"/>
        </w:rPr>
        <w:t>s</w:t>
      </w:r>
      <w:r w:rsidRPr="00691DA5">
        <w:rPr>
          <w:lang w:val="en-US"/>
        </w:rPr>
        <w:t xml:space="preserve"> dedicated facilitation support to businesses looking to invest in Victoria, DEECA</w:t>
      </w:r>
      <w:r>
        <w:rPr>
          <w:lang w:val="en-US"/>
        </w:rPr>
        <w:t xml:space="preserve"> has an</w:t>
      </w:r>
      <w:r w:rsidRPr="00691DA5">
        <w:rPr>
          <w:rFonts w:ascii="Arial" w:hAnsi="Arial" w:cs="Arial"/>
          <w:lang w:val="en-US"/>
        </w:rPr>
        <w:t> </w:t>
      </w:r>
      <w:r w:rsidRPr="00691DA5">
        <w:rPr>
          <w:lang w:val="en-US"/>
        </w:rPr>
        <w:t>Innovation, Commercial and Investment</w:t>
      </w:r>
      <w:r>
        <w:rPr>
          <w:lang w:val="en-US"/>
        </w:rPr>
        <w:t xml:space="preserve"> group</w:t>
      </w:r>
      <w:r w:rsidR="00B35D1C">
        <w:rPr>
          <w:lang w:val="en-US"/>
        </w:rPr>
        <w:t xml:space="preserve">. </w:t>
      </w:r>
      <w:r w:rsidR="00B35D1C" w:rsidRPr="00E7238B">
        <w:rPr>
          <w:lang w:val="en-US"/>
        </w:rPr>
        <w:t>This group</w:t>
      </w:r>
      <w:r>
        <w:rPr>
          <w:lang w:val="en-US"/>
        </w:rPr>
        <w:t xml:space="preserve"> undertakes policy development, </w:t>
      </w:r>
      <w:r>
        <w:rPr>
          <w:lang w:val="en-US"/>
        </w:rPr>
        <w:t>stakeholder engagement and investment attraction</w:t>
      </w:r>
      <w:r w:rsidR="00086B88">
        <w:rPr>
          <w:lang w:val="en-US"/>
        </w:rPr>
        <w:t>,</w:t>
      </w:r>
      <w:r>
        <w:rPr>
          <w:lang w:val="en-US"/>
        </w:rPr>
        <w:t xml:space="preserve"> </w:t>
      </w:r>
      <w:r w:rsidR="00086B88">
        <w:rPr>
          <w:lang w:val="en-US"/>
        </w:rPr>
        <w:t>e</w:t>
      </w:r>
      <w:r>
        <w:rPr>
          <w:lang w:val="en-US"/>
        </w:rPr>
        <w:t xml:space="preserve">ngaging </w:t>
      </w:r>
      <w:r w:rsidRPr="00FE344C">
        <w:t>with businesses and industries to encourage investment in Victoria’s energy sector and facilitate commercial transactions</w:t>
      </w:r>
      <w:r w:rsidR="00B522BE">
        <w:t xml:space="preserve">. </w:t>
      </w:r>
      <w:r w:rsidR="00B522BE" w:rsidRPr="00E7238B">
        <w:t>This</w:t>
      </w:r>
      <w:r w:rsidR="00457BB1">
        <w:t xml:space="preserve"> </w:t>
      </w:r>
      <w:r w:rsidRPr="00FE344C">
        <w:t>mirror</w:t>
      </w:r>
      <w:r w:rsidR="00457BB1">
        <w:t>s</w:t>
      </w:r>
      <w:r w:rsidRPr="00FE344C">
        <w:t xml:space="preserve"> functions that </w:t>
      </w:r>
      <w:r>
        <w:t>sit</w:t>
      </w:r>
      <w:r w:rsidRPr="00FE344C">
        <w:t xml:space="preserve"> </w:t>
      </w:r>
      <w:r>
        <w:t>with</w:t>
      </w:r>
      <w:r w:rsidRPr="00FE344C">
        <w:t xml:space="preserve"> </w:t>
      </w:r>
      <w:r w:rsidRPr="00691DA5">
        <w:rPr>
          <w:lang w:val="en-US"/>
        </w:rPr>
        <w:t>Invest Victoria</w:t>
      </w:r>
      <w:r w:rsidRPr="00FE344C">
        <w:t>.</w:t>
      </w:r>
    </w:p>
    <w:p w14:paraId="759EE679" w14:textId="1F366B9E" w:rsidR="007530C2" w:rsidRDefault="007530C2" w:rsidP="007B6CA7">
      <w:r>
        <w:rPr>
          <w:lang w:val="en-US"/>
        </w:rPr>
        <w:t xml:space="preserve">There is also duplication of equity investment activities across government. </w:t>
      </w:r>
      <w:r w:rsidRPr="00691DA5">
        <w:rPr>
          <w:lang w:val="en-US"/>
        </w:rPr>
        <w:t>The activities undertaken by B</w:t>
      </w:r>
      <w:r>
        <w:rPr>
          <w:lang w:val="en-US"/>
        </w:rPr>
        <w:t xml:space="preserve">reakthrough </w:t>
      </w:r>
      <w:r w:rsidRPr="00691DA5">
        <w:rPr>
          <w:lang w:val="en-US"/>
        </w:rPr>
        <w:t>V</w:t>
      </w:r>
      <w:r>
        <w:rPr>
          <w:lang w:val="en-US"/>
        </w:rPr>
        <w:t xml:space="preserve">ictoria </w:t>
      </w:r>
      <w:r w:rsidRPr="00691DA5">
        <w:rPr>
          <w:lang w:val="en-US"/>
        </w:rPr>
        <w:t>overlap with activities undertaken by Invest</w:t>
      </w:r>
      <w:r>
        <w:rPr>
          <w:lang w:val="en-US"/>
        </w:rPr>
        <w:t xml:space="preserve"> </w:t>
      </w:r>
      <w:r w:rsidRPr="00691DA5">
        <w:rPr>
          <w:lang w:val="en-US"/>
        </w:rPr>
        <w:t>Vic</w:t>
      </w:r>
      <w:r>
        <w:rPr>
          <w:lang w:val="en-US"/>
        </w:rPr>
        <w:t>toria</w:t>
      </w:r>
      <w:r w:rsidRPr="00691DA5">
        <w:rPr>
          <w:lang w:val="en-US"/>
        </w:rPr>
        <w:t xml:space="preserve">, such as the </w:t>
      </w:r>
      <w:r>
        <w:rPr>
          <w:lang w:val="en-US"/>
        </w:rPr>
        <w:t xml:space="preserve">$20 million </w:t>
      </w:r>
      <w:r w:rsidRPr="00691DA5">
        <w:rPr>
          <w:lang w:val="en-US"/>
        </w:rPr>
        <w:t xml:space="preserve">Victorian Equity Investment Attraction Fund and the </w:t>
      </w:r>
      <w:r>
        <w:rPr>
          <w:lang w:val="en-US"/>
        </w:rPr>
        <w:t>$25 million </w:t>
      </w:r>
      <w:r w:rsidRPr="00691DA5">
        <w:rPr>
          <w:lang w:val="en-US"/>
        </w:rPr>
        <w:t>Victorian Venture Growth Fund</w:t>
      </w:r>
      <w:r>
        <w:rPr>
          <w:lang w:val="en-US"/>
        </w:rPr>
        <w:t xml:space="preserve">, </w:t>
      </w:r>
      <w:r w:rsidRPr="00691DA5">
        <w:rPr>
          <w:lang w:val="en-US"/>
        </w:rPr>
        <w:t xml:space="preserve">and </w:t>
      </w:r>
      <w:r>
        <w:rPr>
          <w:lang w:val="en-US"/>
        </w:rPr>
        <w:t>DTF</w:t>
      </w:r>
      <w:r w:rsidRPr="00691DA5">
        <w:rPr>
          <w:lang w:val="en-US"/>
        </w:rPr>
        <w:t xml:space="preserve"> with the </w:t>
      </w:r>
      <w:r>
        <w:rPr>
          <w:lang w:val="en-US"/>
        </w:rPr>
        <w:t xml:space="preserve">$250 million </w:t>
      </w:r>
      <w:r w:rsidRPr="00691DA5">
        <w:rPr>
          <w:lang w:val="en-US"/>
        </w:rPr>
        <w:t xml:space="preserve">Victorian </w:t>
      </w:r>
      <w:r>
        <w:rPr>
          <w:lang w:val="en-US"/>
        </w:rPr>
        <w:t>Business</w:t>
      </w:r>
      <w:r w:rsidRPr="00691DA5">
        <w:rPr>
          <w:lang w:val="en-US"/>
        </w:rPr>
        <w:t xml:space="preserve"> Growth Fund.</w:t>
      </w:r>
      <w:r>
        <w:rPr>
          <w:lang w:val="en-US"/>
        </w:rPr>
        <w:t xml:space="preserve"> </w:t>
      </w:r>
      <w:r w:rsidRPr="00691DA5">
        <w:rPr>
          <w:lang w:val="en-US"/>
        </w:rPr>
        <w:t>Th</w:t>
      </w:r>
      <w:r>
        <w:rPr>
          <w:lang w:val="en-US"/>
        </w:rPr>
        <w:t>is</w:t>
      </w:r>
      <w:r w:rsidRPr="00691DA5">
        <w:rPr>
          <w:lang w:val="en-US"/>
        </w:rPr>
        <w:t xml:space="preserve"> </w:t>
      </w:r>
      <w:r>
        <w:rPr>
          <w:lang w:val="en-US"/>
        </w:rPr>
        <w:t xml:space="preserve">duplicative </w:t>
      </w:r>
      <w:r w:rsidRPr="00691DA5">
        <w:rPr>
          <w:lang w:val="en-US"/>
        </w:rPr>
        <w:t xml:space="preserve">activity </w:t>
      </w:r>
      <w:r>
        <w:rPr>
          <w:lang w:val="en-US"/>
        </w:rPr>
        <w:t xml:space="preserve">creates </w:t>
      </w:r>
      <w:r w:rsidRPr="00691DA5">
        <w:rPr>
          <w:lang w:val="en-US"/>
        </w:rPr>
        <w:t>risk</w:t>
      </w:r>
      <w:r>
        <w:rPr>
          <w:lang w:val="en-US"/>
        </w:rPr>
        <w:t xml:space="preserve"> and is costly to deliver, as well as making it confusing for businesses and investors</w:t>
      </w:r>
      <w:r w:rsidRPr="00691DA5">
        <w:rPr>
          <w:lang w:val="en-US"/>
        </w:rPr>
        <w:t>.</w:t>
      </w:r>
      <w:r>
        <w:rPr>
          <w:lang w:val="en-US"/>
        </w:rPr>
        <w:t xml:space="preserve"> </w:t>
      </w:r>
      <w:r w:rsidRPr="00691DA5">
        <w:rPr>
          <w:lang w:val="en-US"/>
        </w:rPr>
        <w:t>While each program has a slightly different goal, they all interact with equity markets and make invest</w:t>
      </w:r>
      <w:r>
        <w:rPr>
          <w:lang w:val="en-US"/>
        </w:rPr>
        <w:t>ment</w:t>
      </w:r>
      <w:r w:rsidRPr="00691DA5">
        <w:rPr>
          <w:lang w:val="en-US"/>
        </w:rPr>
        <w:t xml:space="preserve"> decisions.</w:t>
      </w:r>
      <w:r w:rsidRPr="00691DA5">
        <w:t> </w:t>
      </w:r>
      <w:r>
        <w:t xml:space="preserve"> </w:t>
      </w:r>
    </w:p>
    <w:p w14:paraId="6BFC9B41" w14:textId="77777777" w:rsidR="007530C2" w:rsidRDefault="007530C2" w:rsidP="007B6CA7">
      <w:r>
        <w:rPr>
          <w:lang w:val="en-US"/>
        </w:rPr>
        <w:t>Similarly, t</w:t>
      </w:r>
      <w:r w:rsidRPr="00691DA5">
        <w:rPr>
          <w:lang w:val="en-US"/>
        </w:rPr>
        <w:t xml:space="preserve">he activities undertaken by </w:t>
      </w:r>
      <w:proofErr w:type="spellStart"/>
      <w:r w:rsidRPr="00691DA5">
        <w:rPr>
          <w:lang w:val="en-US"/>
        </w:rPr>
        <w:t>L</w:t>
      </w:r>
      <w:r>
        <w:rPr>
          <w:lang w:val="en-US"/>
        </w:rPr>
        <w:t>aunch</w:t>
      </w:r>
      <w:r w:rsidRPr="00691DA5">
        <w:rPr>
          <w:lang w:val="en-US"/>
        </w:rPr>
        <w:t>V</w:t>
      </w:r>
      <w:r>
        <w:rPr>
          <w:lang w:val="en-US"/>
        </w:rPr>
        <w:t>ic</w:t>
      </w:r>
      <w:proofErr w:type="spellEnd"/>
      <w:r w:rsidRPr="00691DA5">
        <w:rPr>
          <w:lang w:val="en-US"/>
        </w:rPr>
        <w:t xml:space="preserve"> overlap with activities undertaken by Invest</w:t>
      </w:r>
      <w:r>
        <w:rPr>
          <w:lang w:val="en-US"/>
        </w:rPr>
        <w:t xml:space="preserve"> </w:t>
      </w:r>
      <w:r w:rsidRPr="00691DA5">
        <w:rPr>
          <w:lang w:val="en-US"/>
        </w:rPr>
        <w:t>Vic</w:t>
      </w:r>
      <w:r>
        <w:rPr>
          <w:lang w:val="en-US"/>
        </w:rPr>
        <w:t>toria</w:t>
      </w:r>
      <w:r w:rsidRPr="00691DA5">
        <w:rPr>
          <w:lang w:val="en-US"/>
        </w:rPr>
        <w:t xml:space="preserve"> and other </w:t>
      </w:r>
      <w:r w:rsidRPr="00691DA5">
        <w:rPr>
          <w:lang w:val="en-US"/>
        </w:rPr>
        <w:lastRenderedPageBreak/>
        <w:t xml:space="preserve">parts of </w:t>
      </w:r>
      <w:r>
        <w:rPr>
          <w:lang w:val="en-US"/>
        </w:rPr>
        <w:t>g</w:t>
      </w:r>
      <w:r w:rsidRPr="00691DA5">
        <w:rPr>
          <w:lang w:val="en-US"/>
        </w:rPr>
        <w:t xml:space="preserve">overnment, such as offering grants and administering </w:t>
      </w:r>
      <w:r>
        <w:rPr>
          <w:lang w:val="en-US"/>
        </w:rPr>
        <w:t xml:space="preserve">facilitation and capacity uplift </w:t>
      </w:r>
      <w:r w:rsidRPr="00691DA5">
        <w:rPr>
          <w:lang w:val="en-US"/>
        </w:rPr>
        <w:t>programs.</w:t>
      </w:r>
      <w:r w:rsidRPr="00691DA5">
        <w:t> </w:t>
      </w:r>
    </w:p>
    <w:p w14:paraId="54DCEAA6" w14:textId="03AAA8B3" w:rsidR="007530C2" w:rsidRDefault="007530C2" w:rsidP="007B6CA7">
      <w:pPr>
        <w:rPr>
          <w:rStyle w:val="CommentReference"/>
        </w:rPr>
      </w:pPr>
      <w:r w:rsidRPr="00691DA5">
        <w:rPr>
          <w:lang w:val="en-US"/>
        </w:rPr>
        <w:t xml:space="preserve">The 2024 Economic Growth Statement </w:t>
      </w:r>
      <w:r>
        <w:rPr>
          <w:lang w:val="en-US"/>
        </w:rPr>
        <w:t xml:space="preserve">announced a new initiative </w:t>
      </w:r>
      <w:r w:rsidRPr="00691DA5">
        <w:rPr>
          <w:lang w:val="en-US"/>
        </w:rPr>
        <w:t>of a stream</w:t>
      </w:r>
      <w:r w:rsidR="0085441F">
        <w:rPr>
          <w:lang w:val="en-US"/>
        </w:rPr>
        <w:softHyphen/>
      </w:r>
      <w:r w:rsidRPr="00691DA5">
        <w:rPr>
          <w:lang w:val="en-US"/>
        </w:rPr>
        <w:t xml:space="preserve">lined, </w:t>
      </w:r>
      <w:proofErr w:type="gramStart"/>
      <w:r w:rsidRPr="000F2274">
        <w:rPr>
          <w:lang w:val="en-US"/>
        </w:rPr>
        <w:t>single</w:t>
      </w:r>
      <w:r w:rsidR="008F66B5" w:rsidRPr="000F2274">
        <w:rPr>
          <w:lang w:val="en-US"/>
        </w:rPr>
        <w:t xml:space="preserve"> </w:t>
      </w:r>
      <w:r w:rsidRPr="000F2274">
        <w:rPr>
          <w:lang w:val="en-US"/>
        </w:rPr>
        <w:t>entry</w:t>
      </w:r>
      <w:proofErr w:type="gramEnd"/>
      <w:r w:rsidRPr="00691DA5">
        <w:rPr>
          <w:lang w:val="en-US"/>
        </w:rPr>
        <w:t xml:space="preserve"> point for business on all investment-related engagements </w:t>
      </w:r>
      <w:r w:rsidRPr="000F2274">
        <w:rPr>
          <w:lang w:val="en-US"/>
        </w:rPr>
        <w:t>with</w:t>
      </w:r>
      <w:r w:rsidRPr="00691DA5">
        <w:rPr>
          <w:lang w:val="en-US"/>
        </w:rPr>
        <w:t xml:space="preserve"> the Victorian Government.</w:t>
      </w:r>
      <w:r>
        <w:rPr>
          <w:lang w:val="en-US"/>
        </w:rPr>
        <w:t xml:space="preserve"> </w:t>
      </w:r>
      <w:r w:rsidRPr="000A072F">
        <w:rPr>
          <w:lang w:val="en-US"/>
        </w:rPr>
        <w:t xml:space="preserve">This is a positive step, and </w:t>
      </w:r>
      <w:r w:rsidRPr="000A072F">
        <w:t>the 2025/26 Budget funded some</w:t>
      </w:r>
      <w:r w:rsidR="001863B2">
        <w:t> </w:t>
      </w:r>
      <w:r w:rsidRPr="000A072F">
        <w:t xml:space="preserve">small steps towards this, including </w:t>
      </w:r>
      <w:r>
        <w:t>funding to establish a consolidated investment</w:t>
      </w:r>
      <w:r w:rsidR="001863B2">
        <w:t> </w:t>
      </w:r>
      <w:r w:rsidRPr="00B34155">
        <w:t>fund.</w:t>
      </w:r>
      <w:r w:rsidRPr="00B34155">
        <w:rPr>
          <w:rStyle w:val="CommentReference"/>
        </w:rPr>
        <w:t xml:space="preserve"> </w:t>
      </w:r>
    </w:p>
    <w:p w14:paraId="3A22BAA5" w14:textId="27D6924A" w:rsidR="007530C2" w:rsidRPr="008147ED" w:rsidRDefault="007530C2" w:rsidP="007B6CA7">
      <w:pPr>
        <w:rPr>
          <w:rStyle w:val="CommentReference"/>
          <w:sz w:val="22"/>
          <w:szCs w:val="22"/>
        </w:rPr>
      </w:pPr>
      <w:r w:rsidRPr="008147ED">
        <w:rPr>
          <w:rStyle w:val="CommentReference"/>
          <w:sz w:val="22"/>
          <w:szCs w:val="22"/>
        </w:rPr>
        <w:t xml:space="preserve">The Review considers the government should go further and consolidate department and entity industry support functions, expertise and activities. Invest Victoria should be the </w:t>
      </w:r>
      <w:proofErr w:type="gramStart"/>
      <w:r w:rsidRPr="008147ED">
        <w:rPr>
          <w:rStyle w:val="CommentReference"/>
          <w:sz w:val="22"/>
          <w:szCs w:val="22"/>
        </w:rPr>
        <w:t>single</w:t>
      </w:r>
      <w:r w:rsidR="00C807C7">
        <w:rPr>
          <w:rStyle w:val="CommentReference"/>
          <w:sz w:val="22"/>
          <w:szCs w:val="22"/>
        </w:rPr>
        <w:t xml:space="preserve"> </w:t>
      </w:r>
      <w:r w:rsidRPr="008147ED">
        <w:rPr>
          <w:rStyle w:val="CommentReference"/>
          <w:sz w:val="22"/>
          <w:szCs w:val="22"/>
        </w:rPr>
        <w:t>entry</w:t>
      </w:r>
      <w:proofErr w:type="gramEnd"/>
      <w:r w:rsidRPr="008147ED">
        <w:rPr>
          <w:rStyle w:val="CommentReference"/>
          <w:sz w:val="22"/>
          <w:szCs w:val="22"/>
        </w:rPr>
        <w:t xml:space="preserve"> point in government for all industry support provided by government, and the only area in government delivering this function. This includes </w:t>
      </w:r>
      <w:proofErr w:type="spellStart"/>
      <w:r w:rsidRPr="008147ED">
        <w:rPr>
          <w:rStyle w:val="CommentReference"/>
          <w:sz w:val="22"/>
          <w:szCs w:val="22"/>
        </w:rPr>
        <w:t>LaunchVic</w:t>
      </w:r>
      <w:proofErr w:type="spellEnd"/>
      <w:r w:rsidRPr="008147ED">
        <w:rPr>
          <w:rStyle w:val="CommentReference"/>
          <w:sz w:val="22"/>
          <w:szCs w:val="22"/>
        </w:rPr>
        <w:t xml:space="preserve"> being wound up as a standalone entity and necessary functions transferred to Invest Victoria (</w:t>
      </w:r>
      <w:r w:rsidRPr="000F2274">
        <w:rPr>
          <w:rStyle w:val="CommentReference"/>
          <w:sz w:val="22"/>
          <w:szCs w:val="22"/>
        </w:rPr>
        <w:t>see also Chapter 6</w:t>
      </w:r>
      <w:r w:rsidRPr="008147ED">
        <w:rPr>
          <w:rStyle w:val="CommentReference"/>
          <w:sz w:val="22"/>
          <w:szCs w:val="22"/>
        </w:rPr>
        <w:t>). In the context of fiscal capacity and consolidating activity and expertise, the</w:t>
      </w:r>
      <w:r w:rsidR="00EC53FD">
        <w:rPr>
          <w:rStyle w:val="CommentReference"/>
          <w:sz w:val="22"/>
          <w:szCs w:val="22"/>
        </w:rPr>
        <w:t> </w:t>
      </w:r>
      <w:r w:rsidRPr="008147ED">
        <w:rPr>
          <w:rStyle w:val="CommentReference"/>
          <w:sz w:val="22"/>
          <w:szCs w:val="22"/>
        </w:rPr>
        <w:t xml:space="preserve">Review recommends overall funding to industry support activity could be reduced </w:t>
      </w:r>
      <w:r w:rsidRPr="008147ED">
        <w:rPr>
          <w:rStyle w:val="CommentReference"/>
          <w:sz w:val="22"/>
          <w:szCs w:val="22"/>
        </w:rPr>
        <w:t>by at least $350 million over the forward estimates.</w:t>
      </w:r>
    </w:p>
    <w:p w14:paraId="615F2BB3" w14:textId="6A725B13" w:rsidR="007530C2" w:rsidRPr="00FE71DD" w:rsidRDefault="007530C2" w:rsidP="004830B2">
      <w:pPr>
        <w:spacing w:after="120"/>
        <w:rPr>
          <w:lang w:val="en-US"/>
        </w:rPr>
      </w:pPr>
      <w:r>
        <w:rPr>
          <w:lang w:val="en-US"/>
        </w:rPr>
        <w:t xml:space="preserve">The Review </w:t>
      </w:r>
      <w:r w:rsidRPr="00ED6EB2">
        <w:rPr>
          <w:lang w:val="en-US"/>
        </w:rPr>
        <w:t xml:space="preserve">also </w:t>
      </w:r>
      <w:r>
        <w:rPr>
          <w:lang w:val="en-US"/>
        </w:rPr>
        <w:t xml:space="preserve">considers that </w:t>
      </w:r>
      <w:r w:rsidRPr="00ED6EB2">
        <w:rPr>
          <w:lang w:val="en-US"/>
        </w:rPr>
        <w:t>if</w:t>
      </w:r>
      <w:r>
        <w:rPr>
          <w:lang w:val="en-US"/>
        </w:rPr>
        <w:t xml:space="preserve"> the government continues to provide equity funding, it should be consolidated in one entity</w:t>
      </w:r>
      <w:r w:rsidRPr="00ED6EB2">
        <w:rPr>
          <w:lang w:val="en-US"/>
        </w:rPr>
        <w:t>,</w:t>
      </w:r>
      <w:r>
        <w:rPr>
          <w:lang w:val="en-US"/>
        </w:rPr>
        <w:t xml:space="preserve"> the criteria for investment should reduce risk exposure to the state</w:t>
      </w:r>
      <w:r w:rsidRPr="00ED6EB2">
        <w:rPr>
          <w:lang w:val="en-US"/>
        </w:rPr>
        <w:t>,</w:t>
      </w:r>
      <w:r>
        <w:rPr>
          <w:lang w:val="en-US"/>
        </w:rPr>
        <w:t xml:space="preserve"> and the overall level of equity funding should be reduced. The outcome should actively reduce risk to government from this type of</w:t>
      </w:r>
      <w:r w:rsidR="006A6CBC">
        <w:rPr>
          <w:lang w:val="en-US"/>
        </w:rPr>
        <w:t> </w:t>
      </w:r>
      <w:r>
        <w:rPr>
          <w:lang w:val="en-US"/>
        </w:rPr>
        <w:t xml:space="preserve">industry investment and reflect budget capacity. </w:t>
      </w:r>
      <w:r w:rsidRPr="00ED6EB2">
        <w:rPr>
          <w:lang w:val="en-US"/>
        </w:rPr>
        <w:t xml:space="preserve">The Review is aware that the government is currently considering these issues through a </w:t>
      </w:r>
      <w:proofErr w:type="spellStart"/>
      <w:r w:rsidRPr="00ED6EB2">
        <w:rPr>
          <w:lang w:val="en-US"/>
        </w:rPr>
        <w:t>Commercialisation</w:t>
      </w:r>
      <w:proofErr w:type="spellEnd"/>
      <w:r w:rsidRPr="00ED6EB2">
        <w:rPr>
          <w:lang w:val="en-US"/>
        </w:rPr>
        <w:t xml:space="preserve"> and Innovation Review, due to report later in</w:t>
      </w:r>
      <w:r w:rsidR="00C25634">
        <w:rPr>
          <w:lang w:val="en-US"/>
        </w:rPr>
        <w:t> </w:t>
      </w:r>
      <w:r w:rsidRPr="00ED6EB2">
        <w:rPr>
          <w:lang w:val="en-US"/>
        </w:rPr>
        <w:t>2025.</w:t>
      </w:r>
    </w:p>
    <w:p w14:paraId="1B1C511D" w14:textId="77777777" w:rsidR="007530C2" w:rsidRPr="00925CF2" w:rsidRDefault="007530C2" w:rsidP="00203DFA">
      <w:pPr>
        <w:spacing w:after="360"/>
        <w:rPr>
          <w:lang w:val="en-US"/>
        </w:rPr>
      </w:pPr>
      <w:r>
        <w:rPr>
          <w:lang w:val="en-US"/>
        </w:rPr>
        <w:t xml:space="preserve">Consolidation of industry support and engagement will make working with government more straightforward. It will also free up the VPS workforce working in this area to focus on facilitation and strategic opportunities to attract investment and build priority sectors to contribute to economic growth. It could also be expected to streamline implementation of the government’s new </w:t>
      </w:r>
      <w:r w:rsidRPr="000F2274">
        <w:rPr>
          <w:lang w:val="en-US"/>
        </w:rPr>
        <w:t>Victorian Industry Policy</w:t>
      </w:r>
      <w:r>
        <w:rPr>
          <w:lang w:val="en-US"/>
        </w:rPr>
        <w:t>, announced in early June 2025.</w:t>
      </w:r>
    </w:p>
    <w:p w14:paraId="1CB10772" w14:textId="77777777" w:rsidR="004830B2" w:rsidRDefault="004830B2" w:rsidP="00015F04">
      <w:pPr>
        <w:spacing w:before="60"/>
        <w:rPr>
          <w:b/>
        </w:rPr>
        <w:sectPr w:rsidR="004830B2" w:rsidSect="004830B2">
          <w:type w:val="continuous"/>
          <w:pgSz w:w="11906" w:h="16838"/>
          <w:pgMar w:top="1440" w:right="1440" w:bottom="1440" w:left="1440" w:header="708" w:footer="708" w:gutter="0"/>
          <w:cols w:num="2" w:space="708"/>
          <w:docGrid w:linePitch="360"/>
          <w15:footnoteColumns w:val="1"/>
        </w:sectPr>
      </w:pPr>
    </w:p>
    <w:tbl>
      <w:tblPr>
        <w:tblStyle w:val="TableGrid"/>
        <w:tblW w:w="0" w:type="auto"/>
        <w:tblLook w:val="04A0" w:firstRow="1" w:lastRow="0" w:firstColumn="1" w:lastColumn="0" w:noHBand="0" w:noVBand="1"/>
      </w:tblPr>
      <w:tblGrid>
        <w:gridCol w:w="7225"/>
        <w:gridCol w:w="1791"/>
      </w:tblGrid>
      <w:tr w:rsidR="007530C2" w:rsidRPr="00AE23C8" w14:paraId="4FD81521" w14:textId="77777777" w:rsidTr="00350480">
        <w:tc>
          <w:tcPr>
            <w:tcW w:w="7225" w:type="dxa"/>
            <w:tcBorders>
              <w:left w:val="nil"/>
              <w:bottom w:val="single" w:sz="4" w:space="0" w:color="auto"/>
              <w:right w:val="single" w:sz="18" w:space="0" w:color="FFFFFF" w:themeColor="background1"/>
            </w:tcBorders>
            <w:shd w:val="clear" w:color="auto" w:fill="E7E6E6"/>
          </w:tcPr>
          <w:p w14:paraId="28608C45" w14:textId="77777777" w:rsidR="007530C2" w:rsidRPr="00E43248" w:rsidRDefault="007530C2" w:rsidP="00015F04">
            <w:pPr>
              <w:spacing w:before="60" w:after="160" w:line="278" w:lineRule="auto"/>
              <w:rPr>
                <w:b/>
              </w:rPr>
            </w:pPr>
            <w:r w:rsidRPr="00E43248">
              <w:rPr>
                <w:b/>
              </w:rPr>
              <w:t>Recommendation</w:t>
            </w:r>
          </w:p>
        </w:tc>
        <w:tc>
          <w:tcPr>
            <w:tcW w:w="1791" w:type="dxa"/>
            <w:tcBorders>
              <w:left w:val="single" w:sz="18" w:space="0" w:color="FFFFFF" w:themeColor="background1"/>
              <w:bottom w:val="single" w:sz="4" w:space="0" w:color="auto"/>
              <w:right w:val="nil"/>
            </w:tcBorders>
            <w:shd w:val="clear" w:color="auto" w:fill="E7E6E6"/>
          </w:tcPr>
          <w:p w14:paraId="1AF1F887" w14:textId="77777777" w:rsidR="007530C2" w:rsidRPr="00E43248" w:rsidRDefault="007530C2" w:rsidP="00015F04">
            <w:pPr>
              <w:spacing w:before="60" w:after="160" w:line="278" w:lineRule="auto"/>
              <w:rPr>
                <w:b/>
              </w:rPr>
            </w:pPr>
            <w:r w:rsidRPr="00E43248">
              <w:rPr>
                <w:b/>
              </w:rPr>
              <w:t>Savings</w:t>
            </w:r>
          </w:p>
        </w:tc>
      </w:tr>
      <w:tr w:rsidR="007530C2" w14:paraId="5F07F803" w14:textId="77777777" w:rsidTr="000008C0">
        <w:tc>
          <w:tcPr>
            <w:tcW w:w="7225" w:type="dxa"/>
            <w:tcBorders>
              <w:left w:val="nil"/>
              <w:right w:val="single" w:sz="4" w:space="0" w:color="F2F2F2" w:themeColor="background1" w:themeShade="F2"/>
            </w:tcBorders>
          </w:tcPr>
          <w:p w14:paraId="2FAF74C5" w14:textId="2659F3EE" w:rsidR="007530C2" w:rsidRPr="008C36E9" w:rsidRDefault="007530C2" w:rsidP="00015F04">
            <w:pPr>
              <w:pStyle w:val="ListParagraph"/>
              <w:numPr>
                <w:ilvl w:val="1"/>
                <w:numId w:val="53"/>
              </w:numPr>
              <w:spacing w:before="60" w:after="160" w:line="278" w:lineRule="auto"/>
              <w:ind w:left="567" w:hanging="567"/>
              <w:contextualSpacing w:val="0"/>
            </w:pPr>
            <w:r w:rsidRPr="008C36E9">
              <w:t>Consolidate industry support activities currently delivered by DJSIR, DEECA and their portfolio entities into Invest Victoria and reduce overall investment in this activity.</w:t>
            </w:r>
          </w:p>
          <w:p w14:paraId="73EFBC55" w14:textId="057D63A8" w:rsidR="00771EC6" w:rsidRPr="001F34B0" w:rsidRDefault="007530C2" w:rsidP="001F34B0">
            <w:pPr>
              <w:pStyle w:val="ListParagraph"/>
              <w:numPr>
                <w:ilvl w:val="1"/>
                <w:numId w:val="53"/>
              </w:numPr>
              <w:spacing w:before="60" w:after="160" w:line="278" w:lineRule="auto"/>
              <w:ind w:left="567" w:hanging="567"/>
              <w:contextualSpacing w:val="0"/>
            </w:pPr>
            <w:r w:rsidRPr="008C36E9">
              <w:t xml:space="preserve">Consolidate </w:t>
            </w:r>
            <w:proofErr w:type="spellStart"/>
            <w:r w:rsidRPr="008C36E9">
              <w:t>LaunchVic’s</w:t>
            </w:r>
            <w:proofErr w:type="spellEnd"/>
            <w:r w:rsidRPr="008C36E9">
              <w:t xml:space="preserve"> grant and facilitation and capacity uplift program activity into Invest Victoria and abolish </w:t>
            </w:r>
            <w:proofErr w:type="spellStart"/>
            <w:r w:rsidRPr="008C36E9">
              <w:t>LaunchVic</w:t>
            </w:r>
            <w:proofErr w:type="spellEnd"/>
            <w:r w:rsidRPr="008C36E9">
              <w:t xml:space="preserve"> as a standalone entity</w:t>
            </w:r>
            <w:r w:rsidR="00387ED0" w:rsidRPr="008C36E9">
              <w:t>.</w:t>
            </w:r>
          </w:p>
          <w:p w14:paraId="493D5BBD" w14:textId="77777777" w:rsidR="007530C2" w:rsidRPr="00E229DB" w:rsidRDefault="007530C2" w:rsidP="000A20BD">
            <w:pPr>
              <w:pStyle w:val="ListParagraph"/>
              <w:keepNext/>
              <w:numPr>
                <w:ilvl w:val="1"/>
                <w:numId w:val="53"/>
              </w:numPr>
              <w:spacing w:before="60" w:after="160" w:line="278" w:lineRule="auto"/>
              <w:ind w:left="567" w:hanging="567"/>
              <w:contextualSpacing w:val="0"/>
            </w:pPr>
            <w:r>
              <w:lastRenderedPageBreak/>
              <w:t xml:space="preserve">As part of the government’s current </w:t>
            </w:r>
            <w:proofErr w:type="spellStart"/>
            <w:r>
              <w:t>Commercialisation</w:t>
            </w:r>
            <w:proofErr w:type="spellEnd"/>
            <w:r>
              <w:t xml:space="preserve"> and Innovation Review:</w:t>
            </w:r>
          </w:p>
          <w:p w14:paraId="51F5314F" w14:textId="243E8F09" w:rsidR="007530C2" w:rsidRDefault="007530C2" w:rsidP="00015F04">
            <w:pPr>
              <w:pStyle w:val="ListParagraph"/>
              <w:numPr>
                <w:ilvl w:val="0"/>
                <w:numId w:val="54"/>
              </w:numPr>
              <w:spacing w:before="60" w:after="160" w:line="278" w:lineRule="auto"/>
              <w:ind w:left="1021" w:hanging="425"/>
              <w:contextualSpacing w:val="0"/>
            </w:pPr>
            <w:r>
              <w:t xml:space="preserve">consolidate the management of existing equity investments currently with </w:t>
            </w:r>
            <w:proofErr w:type="spellStart"/>
            <w:r>
              <w:t>LaunchVic</w:t>
            </w:r>
            <w:proofErr w:type="spellEnd"/>
            <w:r>
              <w:t xml:space="preserve"> and DTF into one </w:t>
            </w:r>
            <w:r w:rsidRPr="00BF3EC0">
              <w:t>entity</w:t>
            </w:r>
            <w:r w:rsidR="00311D97" w:rsidRPr="00BF3EC0">
              <w:t xml:space="preserve"> </w:t>
            </w:r>
            <w:r w:rsidR="003E6A8C">
              <w:t>–</w:t>
            </w:r>
            <w:r w:rsidR="00311D97">
              <w:t xml:space="preserve"> </w:t>
            </w:r>
            <w:r>
              <w:t>Breakthrough Victoria</w:t>
            </w:r>
          </w:p>
          <w:p w14:paraId="467180C3" w14:textId="77777777" w:rsidR="007530C2" w:rsidRPr="009C0A3D" w:rsidRDefault="007530C2" w:rsidP="00015F04">
            <w:pPr>
              <w:pStyle w:val="ListParagraph"/>
              <w:numPr>
                <w:ilvl w:val="0"/>
                <w:numId w:val="54"/>
              </w:numPr>
              <w:spacing w:before="60" w:after="160" w:line="278" w:lineRule="auto"/>
              <w:ind w:left="1021" w:hanging="425"/>
              <w:contextualSpacing w:val="0"/>
            </w:pPr>
            <w:r>
              <w:t>r</w:t>
            </w:r>
            <w:r w:rsidRPr="00691DA5">
              <w:t>educ</w:t>
            </w:r>
            <w:r>
              <w:t>e overall</w:t>
            </w:r>
            <w:r w:rsidRPr="00691DA5">
              <w:t xml:space="preserve"> investment</w:t>
            </w:r>
            <w:r>
              <w:t xml:space="preserve"> and the level of risk exposure from </w:t>
            </w:r>
            <w:r w:rsidRPr="00691DA5">
              <w:t>equity funds</w:t>
            </w:r>
            <w:r>
              <w:t xml:space="preserve"> investment by government</w:t>
            </w:r>
            <w:r w:rsidRPr="00691DA5">
              <w:t>. </w:t>
            </w:r>
          </w:p>
        </w:tc>
        <w:tc>
          <w:tcPr>
            <w:tcW w:w="1791" w:type="dxa"/>
            <w:tcBorders>
              <w:left w:val="single" w:sz="4" w:space="0" w:color="F2F2F2" w:themeColor="background1" w:themeShade="F2"/>
              <w:right w:val="nil"/>
            </w:tcBorders>
          </w:tcPr>
          <w:p w14:paraId="0B65833F" w14:textId="57DB89A5" w:rsidR="007530C2" w:rsidRDefault="007530C2" w:rsidP="00015F04">
            <w:pPr>
              <w:spacing w:before="60" w:after="160" w:line="278" w:lineRule="auto"/>
            </w:pPr>
            <w:r>
              <w:lastRenderedPageBreak/>
              <w:t>$350 million over 4 years from 2025–26</w:t>
            </w:r>
            <w:r w:rsidR="00492815">
              <w:t>.</w:t>
            </w:r>
            <w:r>
              <w:br/>
            </w:r>
            <w:r>
              <w:br/>
            </w:r>
            <w:r w:rsidRPr="003764D5">
              <w:t xml:space="preserve">See Chapter </w:t>
            </w:r>
            <w:r w:rsidR="001908D2" w:rsidRPr="006C0F4F">
              <w:t>6</w:t>
            </w:r>
            <w:r w:rsidR="00C17F00">
              <w:t>.</w:t>
            </w:r>
            <w:r w:rsidRPr="004D4174">
              <w:t xml:space="preserve"> </w:t>
            </w:r>
          </w:p>
          <w:p w14:paraId="5068C986" w14:textId="77777777" w:rsidR="007530C2" w:rsidRPr="003764D5" w:rsidRDefault="007530C2" w:rsidP="00015F04">
            <w:pPr>
              <w:spacing w:before="60" w:after="160" w:line="278" w:lineRule="auto"/>
              <w:rPr>
                <w:highlight w:val="yellow"/>
              </w:rPr>
            </w:pPr>
          </w:p>
        </w:tc>
      </w:tr>
    </w:tbl>
    <w:p w14:paraId="45235352" w14:textId="77777777" w:rsidR="00A832C7" w:rsidRDefault="00A832C7" w:rsidP="00E450E1"/>
    <w:p w14:paraId="5D11EB76" w14:textId="77777777" w:rsidR="007C6E39" w:rsidRDefault="007C6E39" w:rsidP="007B6CA7">
      <w:pPr>
        <w:pStyle w:val="Heading3"/>
        <w:numPr>
          <w:ilvl w:val="0"/>
          <w:numId w:val="0"/>
        </w:numPr>
        <w:spacing w:before="0" w:after="160"/>
        <w:rPr>
          <w:szCs w:val="26"/>
        </w:rPr>
        <w:sectPr w:rsidR="007C6E39" w:rsidSect="00AE6104">
          <w:type w:val="continuous"/>
          <w:pgSz w:w="11906" w:h="16838"/>
          <w:pgMar w:top="1440" w:right="1440" w:bottom="1440" w:left="1440" w:header="708" w:footer="708" w:gutter="0"/>
          <w:cols w:space="708"/>
          <w:docGrid w:linePitch="360"/>
          <w15:footnoteColumns w:val="1"/>
        </w:sectPr>
      </w:pPr>
    </w:p>
    <w:p w14:paraId="4FC27F3A" w14:textId="6C1028B3" w:rsidR="007530C2" w:rsidRPr="000D590D" w:rsidRDefault="007530C2" w:rsidP="007B6CA7">
      <w:pPr>
        <w:pStyle w:val="Heading3"/>
        <w:numPr>
          <w:ilvl w:val="0"/>
          <w:numId w:val="0"/>
        </w:numPr>
        <w:spacing w:before="0" w:after="160"/>
        <w:rPr>
          <w:szCs w:val="26"/>
        </w:rPr>
      </w:pPr>
      <w:r w:rsidRPr="000D590D">
        <w:rPr>
          <w:szCs w:val="26"/>
        </w:rPr>
        <w:t xml:space="preserve">Improving effectiveness – </w:t>
      </w:r>
      <w:r w:rsidR="00A832C7">
        <w:rPr>
          <w:szCs w:val="26"/>
        </w:rPr>
        <w:t>TAFE</w:t>
      </w:r>
      <w:r w:rsidRPr="000D590D">
        <w:rPr>
          <w:szCs w:val="26"/>
        </w:rPr>
        <w:t xml:space="preserve"> reform</w:t>
      </w:r>
    </w:p>
    <w:p w14:paraId="7397C2BD" w14:textId="0893D7BC" w:rsidR="007530C2" w:rsidRDefault="007530C2" w:rsidP="007B6CA7">
      <w:r w:rsidRPr="5A6CECAE">
        <w:t>Since 2014</w:t>
      </w:r>
      <w:r>
        <w:t>–</w:t>
      </w:r>
      <w:r w:rsidRPr="5A6CECAE">
        <w:t xml:space="preserve">15, </w:t>
      </w:r>
      <w:r>
        <w:t xml:space="preserve">the </w:t>
      </w:r>
      <w:r w:rsidRPr="5A6CECAE">
        <w:t>Victoria</w:t>
      </w:r>
      <w:r>
        <w:t>n</w:t>
      </w:r>
      <w:r w:rsidRPr="5A6CECAE">
        <w:t xml:space="preserve"> </w:t>
      </w:r>
      <w:r>
        <w:t xml:space="preserve">Government </w:t>
      </w:r>
      <w:r w:rsidRPr="5A6CECAE">
        <w:t xml:space="preserve">has invested more than </w:t>
      </w:r>
      <w:r w:rsidRPr="00C01144">
        <w:t>$2</w:t>
      </w:r>
      <w:r w:rsidR="000D37C2">
        <w:t>9</w:t>
      </w:r>
      <w:r w:rsidRPr="00C01144">
        <w:t xml:space="preserve"> billion</w:t>
      </w:r>
      <w:r w:rsidRPr="5A6CECAE">
        <w:t xml:space="preserve"> in the VET system.</w:t>
      </w:r>
      <w:r>
        <w:t xml:space="preserve"> The system is important for equipping individuals with skills for employment and contributes to economic growth. There are currently 12 TAFE institutes and 4 dual-sector universities, spread over more than 80 locations across the state. </w:t>
      </w:r>
    </w:p>
    <w:p w14:paraId="2016B15E" w14:textId="5A1464B1" w:rsidR="007530C2" w:rsidRDefault="007530C2" w:rsidP="007B6CA7">
      <w:r>
        <w:t>P</w:t>
      </w:r>
      <w:r w:rsidRPr="5A6CECAE">
        <w:t xml:space="preserve">erformance of the </w:t>
      </w:r>
      <w:r>
        <w:t xml:space="preserve">VET </w:t>
      </w:r>
      <w:r w:rsidRPr="5A6CECAE">
        <w:t>system is mixed, with continued skills shortages in priority industries</w:t>
      </w:r>
      <w:r>
        <w:rPr>
          <w:szCs w:val="22"/>
        </w:rPr>
        <w:t>,</w:t>
      </w:r>
      <w:r w:rsidRPr="5A6CECAE">
        <w:t xml:space="preserve"> completion levels lower than the national average</w:t>
      </w:r>
      <w:r>
        <w:rPr>
          <w:szCs w:val="22"/>
        </w:rPr>
        <w:t>,</w:t>
      </w:r>
      <w:r w:rsidRPr="5A6CECAE">
        <w:t xml:space="preserve"> and student satisfaction at or below national averages. The system also has financial challenges: the Review</w:t>
      </w:r>
      <w:r>
        <w:t xml:space="preserve"> understands</w:t>
      </w:r>
      <w:r w:rsidRPr="5A6CECAE">
        <w:t xml:space="preserve"> financial viability remains an issue for several TAFEs. </w:t>
      </w:r>
    </w:p>
    <w:p w14:paraId="219F1B6C" w14:textId="1773B517" w:rsidR="007530C2" w:rsidRDefault="007530C2" w:rsidP="007B6CA7">
      <w:r w:rsidRPr="007613E1">
        <w:t xml:space="preserve">TAFEs are individual entities, largely with their own governance and systems. They vary in size and financial strength. They also </w:t>
      </w:r>
      <w:r w:rsidRPr="007613E1">
        <w:t xml:space="preserve">operate as part of a market, </w:t>
      </w:r>
      <w:proofErr w:type="gramStart"/>
      <w:r w:rsidRPr="007613E1">
        <w:t>competing with each other</w:t>
      </w:r>
      <w:proofErr w:type="gramEnd"/>
      <w:r w:rsidRPr="007613E1">
        <w:t xml:space="preserve"> and other training organisations for students and funding. </w:t>
      </w:r>
      <w:r w:rsidR="008F5A8D" w:rsidRPr="007613E1">
        <w:t xml:space="preserve">The </w:t>
      </w:r>
      <w:r w:rsidR="003D4B0D" w:rsidRPr="007613E1">
        <w:t>creation</w:t>
      </w:r>
      <w:r w:rsidR="008F5A8D" w:rsidRPr="007613E1">
        <w:t xml:space="preserve"> of </w:t>
      </w:r>
      <w:r w:rsidR="003D4B0D" w:rsidRPr="007613E1">
        <w:t xml:space="preserve">a </w:t>
      </w:r>
      <w:r w:rsidR="00556210" w:rsidRPr="007613E1">
        <w:t xml:space="preserve">VET </w:t>
      </w:r>
      <w:r w:rsidR="003D4B0D" w:rsidRPr="007613E1">
        <w:t>market</w:t>
      </w:r>
      <w:r w:rsidR="008F5A8D" w:rsidRPr="007613E1">
        <w:t xml:space="preserve"> </w:t>
      </w:r>
      <w:r w:rsidR="00556210" w:rsidRPr="007613E1">
        <w:t xml:space="preserve">where </w:t>
      </w:r>
      <w:r w:rsidR="008F5A8D" w:rsidRPr="007613E1">
        <w:t xml:space="preserve">TAFEs </w:t>
      </w:r>
      <w:r w:rsidR="00556210" w:rsidRPr="007613E1">
        <w:t xml:space="preserve">were incentivised </w:t>
      </w:r>
      <w:r w:rsidR="00AC416A" w:rsidRPr="007613E1">
        <w:t xml:space="preserve">to </w:t>
      </w:r>
      <w:r w:rsidR="00556210" w:rsidRPr="007613E1">
        <w:t xml:space="preserve">compete and innovate to meet industry and student need </w:t>
      </w:r>
      <w:r w:rsidR="007F2370" w:rsidRPr="007613E1">
        <w:t xml:space="preserve">was </w:t>
      </w:r>
      <w:r w:rsidR="00AC416A" w:rsidRPr="007613E1">
        <w:t xml:space="preserve">a </w:t>
      </w:r>
      <w:r w:rsidR="007F2370" w:rsidRPr="007613E1">
        <w:t>necessary reform</w:t>
      </w:r>
      <w:r w:rsidR="00680EAD">
        <w:t> </w:t>
      </w:r>
      <w:r w:rsidR="007F2370" w:rsidRPr="007613E1">
        <w:t>several decades ago</w:t>
      </w:r>
      <w:r w:rsidR="000D2A96" w:rsidRPr="007613E1">
        <w:t>, however circumstances have changed.</w:t>
      </w:r>
      <w:r w:rsidR="00975B61" w:rsidRPr="007613E1">
        <w:t xml:space="preserve"> While TAFEs continue to </w:t>
      </w:r>
      <w:r w:rsidR="008D5117" w:rsidRPr="007613E1">
        <w:t>play a crucial role for industry and students,</w:t>
      </w:r>
      <w:r w:rsidR="00975B61" w:rsidRPr="007613E1">
        <w:t xml:space="preserve"> </w:t>
      </w:r>
      <w:r w:rsidR="007F2559" w:rsidRPr="007613E1">
        <w:t>the system is now</w:t>
      </w:r>
      <w:r w:rsidR="00085E2F" w:rsidRPr="007613E1">
        <w:t xml:space="preserve"> </w:t>
      </w:r>
      <w:r w:rsidR="0091674F" w:rsidRPr="007613E1">
        <w:t xml:space="preserve">too </w:t>
      </w:r>
      <w:r w:rsidR="007F2559" w:rsidRPr="007613E1">
        <w:t>un</w:t>
      </w:r>
      <w:r w:rsidRPr="007613E1">
        <w:t xml:space="preserve">coordinated and diffuse, </w:t>
      </w:r>
      <w:r w:rsidR="00B127AC" w:rsidRPr="007613E1">
        <w:t>as</w:t>
      </w:r>
      <w:r w:rsidRPr="007613E1">
        <w:t xml:space="preserve"> TAFE</w:t>
      </w:r>
      <w:r w:rsidR="00B127AC" w:rsidRPr="007613E1">
        <w:t>s</w:t>
      </w:r>
      <w:r w:rsidRPr="007613E1">
        <w:t xml:space="preserve"> largely</w:t>
      </w:r>
      <w:r w:rsidR="00680EAD">
        <w:t> </w:t>
      </w:r>
      <w:r w:rsidR="004720E4" w:rsidRPr="007613E1">
        <w:t>operat</w:t>
      </w:r>
      <w:r w:rsidR="00B127AC" w:rsidRPr="007613E1">
        <w:t>e</w:t>
      </w:r>
      <w:r w:rsidR="004720E4" w:rsidRPr="007613E1">
        <w:t xml:space="preserve"> unilaterally</w:t>
      </w:r>
      <w:r w:rsidRPr="007613E1">
        <w:t>.</w:t>
      </w:r>
      <w:r>
        <w:t xml:space="preserve"> </w:t>
      </w:r>
    </w:p>
    <w:p w14:paraId="6FEBC184" w14:textId="10795E76" w:rsidR="007530C2" w:rsidRPr="002E6B84" w:rsidRDefault="007530C2" w:rsidP="007B6CA7">
      <w:r>
        <w:t>The government established the Office of</w:t>
      </w:r>
      <w:r w:rsidR="00A81581">
        <w:t> </w:t>
      </w:r>
      <w:r>
        <w:t>TAFE Coordination and Delivery (OTCD) in</w:t>
      </w:r>
      <w:r w:rsidR="00A81581">
        <w:t> </w:t>
      </w:r>
      <w:r>
        <w:t>2021 to work with TAFEs to drive collaboration and better financial performance. Some gains have been made</w:t>
      </w:r>
      <w:r w:rsidR="00A81581">
        <w:t> </w:t>
      </w:r>
      <w:r>
        <w:t xml:space="preserve">to date but there is a real opportunity to do more and faster. Box 8.1 shows how a lack of collaboration leads to TAFEs delivering duplicative systems, creating cost and inefficiency. </w:t>
      </w:r>
    </w:p>
    <w:p w14:paraId="1382FC17" w14:textId="77777777" w:rsidR="007C6E39" w:rsidRDefault="007C6E39">
      <w:pPr>
        <w:sectPr w:rsidR="007C6E39" w:rsidSect="007C6E39">
          <w:type w:val="continuous"/>
          <w:pgSz w:w="11906" w:h="16838"/>
          <w:pgMar w:top="1440" w:right="1440" w:bottom="1440" w:left="1440" w:header="708" w:footer="708" w:gutter="0"/>
          <w:cols w:num="2" w:space="708"/>
          <w:docGrid w:linePitch="360"/>
          <w15:footnoteColumns w:val="1"/>
        </w:sectPr>
      </w:pPr>
    </w:p>
    <w:p w14:paraId="5B7BD745" w14:textId="77777777" w:rsidR="00234D2F" w:rsidRDefault="00234D2F">
      <w:r>
        <w:br w:type="page"/>
      </w:r>
    </w:p>
    <w:tbl>
      <w:tblPr>
        <w:tblStyle w:val="TableGrid"/>
        <w:tblW w:w="0" w:type="auto"/>
        <w:shd w:val="clear" w:color="auto" w:fill="E7E6E6"/>
        <w:tblLook w:val="04A0" w:firstRow="1" w:lastRow="0" w:firstColumn="1" w:lastColumn="0" w:noHBand="0" w:noVBand="1"/>
      </w:tblPr>
      <w:tblGrid>
        <w:gridCol w:w="9016"/>
      </w:tblGrid>
      <w:tr w:rsidR="007530C2" w14:paraId="5744FFBE" w14:textId="77777777" w:rsidTr="00267156">
        <w:tc>
          <w:tcPr>
            <w:tcW w:w="9016" w:type="dxa"/>
            <w:tcBorders>
              <w:top w:val="nil"/>
              <w:left w:val="nil"/>
              <w:bottom w:val="nil"/>
              <w:right w:val="nil"/>
            </w:tcBorders>
            <w:shd w:val="clear" w:color="auto" w:fill="E7E6E6"/>
          </w:tcPr>
          <w:p w14:paraId="40E9B9C7" w14:textId="3848CA0B" w:rsidR="007530C2" w:rsidRPr="001F2E2A" w:rsidRDefault="007530C2" w:rsidP="00B82F43">
            <w:pPr>
              <w:spacing w:before="120" w:after="160" w:line="278" w:lineRule="auto"/>
              <w:rPr>
                <w:b/>
              </w:rPr>
            </w:pPr>
            <w:r w:rsidRPr="001F2E2A">
              <w:rPr>
                <w:b/>
                <w:bCs/>
              </w:rPr>
              <w:lastRenderedPageBreak/>
              <w:t xml:space="preserve">Box </w:t>
            </w:r>
            <w:r>
              <w:rPr>
                <w:b/>
                <w:bCs/>
              </w:rPr>
              <w:t>8</w:t>
            </w:r>
            <w:r w:rsidRPr="001F2E2A">
              <w:rPr>
                <w:b/>
                <w:bCs/>
              </w:rPr>
              <w:t>.</w:t>
            </w:r>
            <w:r>
              <w:rPr>
                <w:b/>
                <w:bCs/>
              </w:rPr>
              <w:t>1</w:t>
            </w:r>
            <w:r w:rsidRPr="001F2E2A">
              <w:rPr>
                <w:b/>
                <w:bCs/>
              </w:rPr>
              <w:t xml:space="preserve">: </w:t>
            </w:r>
            <w:r>
              <w:rPr>
                <w:b/>
                <w:bCs/>
                <w:szCs w:val="22"/>
              </w:rPr>
              <w:t>Student Management System adoption across the TAFE sector</w:t>
            </w:r>
          </w:p>
          <w:p w14:paraId="6188DECF" w14:textId="0793B20D" w:rsidR="007530C2" w:rsidRPr="00727A59" w:rsidRDefault="007530C2" w:rsidP="007B6CA7">
            <w:pPr>
              <w:spacing w:after="160" w:line="278" w:lineRule="auto"/>
            </w:pPr>
            <w:r>
              <w:t xml:space="preserve">Victorian TAFEs each have </w:t>
            </w:r>
            <w:r w:rsidRPr="00727A59">
              <w:t>a Student Management System (SMS). All 12 developed an SMS in</w:t>
            </w:r>
            <w:r w:rsidR="00AF2A77">
              <w:t> </w:t>
            </w:r>
            <w:r w:rsidRPr="00727A59">
              <w:t xml:space="preserve">the past 7 years (10 were in the past 3 years). Today, more than half the TAFEs are in the process of </w:t>
            </w:r>
            <w:r w:rsidR="00D5597D">
              <w:t>developing</w:t>
            </w:r>
            <w:r w:rsidR="00BD4DB5">
              <w:t>,</w:t>
            </w:r>
            <w:r w:rsidRPr="00727A59">
              <w:t xml:space="preserve"> or have recently </w:t>
            </w:r>
            <w:proofErr w:type="gramStart"/>
            <w:r w:rsidRPr="00727A59">
              <w:t>delivered</w:t>
            </w:r>
            <w:r w:rsidR="00BD4DB5">
              <w:t>,</w:t>
            </w:r>
            <w:proofErr w:type="gramEnd"/>
            <w:r w:rsidRPr="00727A59">
              <w:t xml:space="preserve"> separate SMSs, many of them bespoke or heavily </w:t>
            </w:r>
            <w:proofErr w:type="spellStart"/>
            <w:r w:rsidR="00697333">
              <w:t>customi</w:t>
            </w:r>
            <w:r w:rsidR="00A05478">
              <w:t>s</w:t>
            </w:r>
            <w:r w:rsidR="00697333">
              <w:t>ed</w:t>
            </w:r>
            <w:proofErr w:type="spellEnd"/>
            <w:r w:rsidR="00A05478">
              <w:t xml:space="preserve">. </w:t>
            </w:r>
            <w:r w:rsidR="00A05478" w:rsidRPr="00D1004A">
              <w:t xml:space="preserve">This is a </w:t>
            </w:r>
            <w:proofErr w:type="gramStart"/>
            <w:r w:rsidR="00A05478" w:rsidRPr="00D1004A">
              <w:t>significant</w:t>
            </w:r>
            <w:proofErr w:type="gramEnd"/>
            <w:r w:rsidR="00A05478" w:rsidRPr="00D1004A">
              <w:t xml:space="preserve"> missed opportunity</w:t>
            </w:r>
            <w:r w:rsidR="00697333">
              <w:t xml:space="preserve"> and</w:t>
            </w:r>
            <w:r w:rsidRPr="00727A59">
              <w:t xml:space="preserve"> </w:t>
            </w:r>
            <w:proofErr w:type="gramStart"/>
            <w:r w:rsidRPr="00727A59">
              <w:t>resulted</w:t>
            </w:r>
            <w:proofErr w:type="gramEnd"/>
            <w:r w:rsidRPr="00727A59">
              <w:t xml:space="preserve"> in:</w:t>
            </w:r>
          </w:p>
          <w:p w14:paraId="5AD88B08" w14:textId="77777777" w:rsidR="007530C2" w:rsidRPr="00727A59" w:rsidRDefault="007530C2" w:rsidP="00D207B3">
            <w:pPr>
              <w:pStyle w:val="ListParagraph"/>
              <w:numPr>
                <w:ilvl w:val="0"/>
                <w:numId w:val="55"/>
              </w:numPr>
              <w:spacing w:after="160" w:line="278" w:lineRule="auto"/>
              <w:ind w:left="731" w:hanging="425"/>
              <w:contextualSpacing w:val="0"/>
            </w:pPr>
            <w:r w:rsidRPr="00727A59">
              <w:t xml:space="preserve">Lost economies of scale – Individual procurements pushed vendors to </w:t>
            </w:r>
            <w:proofErr w:type="spellStart"/>
            <w:r w:rsidRPr="00727A59">
              <w:t>customise</w:t>
            </w:r>
            <w:proofErr w:type="spellEnd"/>
            <w:r w:rsidRPr="00727A59">
              <w:t xml:space="preserve"> functionality, inflating </w:t>
            </w:r>
            <w:proofErr w:type="spellStart"/>
            <w:r w:rsidRPr="00727A59">
              <w:t>licence</w:t>
            </w:r>
            <w:proofErr w:type="spellEnd"/>
            <w:r w:rsidRPr="00727A59">
              <w:t xml:space="preserve"> and implementation costs compared with a sector-wide deal.</w:t>
            </w:r>
          </w:p>
          <w:p w14:paraId="405A97F5" w14:textId="12B599F4" w:rsidR="007530C2" w:rsidRPr="00727A59" w:rsidRDefault="007530C2" w:rsidP="00D207B3">
            <w:pPr>
              <w:pStyle w:val="ListParagraph"/>
              <w:numPr>
                <w:ilvl w:val="0"/>
                <w:numId w:val="55"/>
              </w:numPr>
              <w:spacing w:after="160" w:line="278" w:lineRule="auto"/>
              <w:ind w:left="731" w:hanging="425"/>
              <w:contextualSpacing w:val="0"/>
            </w:pPr>
            <w:r w:rsidRPr="00727A59">
              <w:t>Duplicated effort</w:t>
            </w:r>
            <w:r>
              <w:t xml:space="preserve"> and cost</w:t>
            </w:r>
            <w:r w:rsidRPr="00727A59">
              <w:t xml:space="preserve"> – TAFEs have run their own business</w:t>
            </w:r>
            <w:r>
              <w:t xml:space="preserve"> </w:t>
            </w:r>
            <w:r w:rsidRPr="00727A59">
              <w:t>case, implementation, change</w:t>
            </w:r>
            <w:r w:rsidR="00D5597D">
              <w:t xml:space="preserve"> </w:t>
            </w:r>
            <w:r w:rsidRPr="00727A59">
              <w:t>management, data-migration and training program</w:t>
            </w:r>
            <w:r w:rsidR="00A05478">
              <w:t>s</w:t>
            </w:r>
            <w:r w:rsidRPr="00727A59">
              <w:t>.</w:t>
            </w:r>
          </w:p>
          <w:p w14:paraId="6E847AFA" w14:textId="0C7EFE80" w:rsidR="007530C2" w:rsidRPr="00E23800" w:rsidRDefault="007530C2" w:rsidP="00D207B3">
            <w:pPr>
              <w:pStyle w:val="ListParagraph"/>
              <w:numPr>
                <w:ilvl w:val="0"/>
                <w:numId w:val="55"/>
              </w:numPr>
              <w:spacing w:after="160" w:line="278" w:lineRule="auto"/>
              <w:ind w:left="731" w:hanging="425"/>
              <w:contextualSpacing w:val="0"/>
            </w:pPr>
            <w:r w:rsidRPr="00727A59">
              <w:t>Inconsistent student experience – Divergent user interfaces, enrolment processes and data standards make it harder for students to move between providers</w:t>
            </w:r>
            <w:r w:rsidR="00F049DF" w:rsidRPr="00E23800">
              <w:t>,</w:t>
            </w:r>
            <w:r w:rsidRPr="00E23800">
              <w:t xml:space="preserve"> and </w:t>
            </w:r>
            <w:r w:rsidR="00F049DF" w:rsidRPr="00E23800">
              <w:t xml:space="preserve">for TAFEs </w:t>
            </w:r>
            <w:r w:rsidRPr="00E23800">
              <w:t>to share insight</w:t>
            </w:r>
            <w:r w:rsidR="00F049DF" w:rsidRPr="00E23800">
              <w:t>s</w:t>
            </w:r>
            <w:r w:rsidRPr="00E23800">
              <w:t>.</w:t>
            </w:r>
          </w:p>
          <w:p w14:paraId="6B6EB504" w14:textId="68125BD9" w:rsidR="007530C2" w:rsidRPr="00727A59" w:rsidRDefault="007530C2" w:rsidP="00D207B3">
            <w:pPr>
              <w:pStyle w:val="ListParagraph"/>
              <w:numPr>
                <w:ilvl w:val="0"/>
                <w:numId w:val="55"/>
              </w:numPr>
              <w:spacing w:after="160" w:line="278" w:lineRule="auto"/>
              <w:ind w:left="731" w:hanging="425"/>
              <w:contextualSpacing w:val="0"/>
            </w:pPr>
            <w:r w:rsidRPr="00727A59">
              <w:t>Delayed benefits – Several projects have exceeded timelines and budgets yet still fall short of the promised operational uplift.</w:t>
            </w:r>
            <w:r>
              <w:t xml:space="preserve"> </w:t>
            </w:r>
          </w:p>
          <w:p w14:paraId="2CE808A9" w14:textId="620F98DC" w:rsidR="00810ED8" w:rsidRPr="00476E6F" w:rsidRDefault="007530C2" w:rsidP="00402A45">
            <w:pPr>
              <w:spacing w:after="160" w:line="278" w:lineRule="auto"/>
              <w:rPr>
                <w:b/>
              </w:rPr>
            </w:pPr>
            <w:r w:rsidRPr="00E23800">
              <w:t>The OTCD has taken steps to address this, designing and going to market for a unified SMS. Without a mandate</w:t>
            </w:r>
            <w:r w:rsidR="009C483B" w:rsidRPr="00E23800">
              <w:t>d approach</w:t>
            </w:r>
            <w:r w:rsidRPr="00E23800">
              <w:t xml:space="preserve"> to compel uptake</w:t>
            </w:r>
            <w:r w:rsidR="001869AF" w:rsidRPr="00E23800">
              <w:t>,</w:t>
            </w:r>
            <w:r w:rsidRPr="00E23800">
              <w:t xml:space="preserve"> the risk remains that the sector ends up with another </w:t>
            </w:r>
            <w:proofErr w:type="spellStart"/>
            <w:r w:rsidRPr="00E23800">
              <w:t>under-utilised</w:t>
            </w:r>
            <w:proofErr w:type="spellEnd"/>
            <w:r w:rsidRPr="00E23800">
              <w:t xml:space="preserve"> system. The better approach would be to select a leading existing or in</w:t>
            </w:r>
            <w:r w:rsidR="00476E6F" w:rsidRPr="00E23800">
              <w:t>-</w:t>
            </w:r>
            <w:r w:rsidRPr="00E23800">
              <w:t>flight SMS and invest in its delivery for the network. This would result in:</w:t>
            </w:r>
          </w:p>
          <w:p w14:paraId="10435FDB" w14:textId="7E050AE7" w:rsidR="007530C2" w:rsidRPr="00727A59" w:rsidRDefault="007530C2" w:rsidP="00D207B3">
            <w:pPr>
              <w:pStyle w:val="ListParagraph"/>
              <w:numPr>
                <w:ilvl w:val="0"/>
                <w:numId w:val="56"/>
              </w:numPr>
              <w:spacing w:after="160" w:line="278" w:lineRule="auto"/>
              <w:ind w:left="731" w:hanging="425"/>
              <w:contextualSpacing w:val="0"/>
              <w:rPr>
                <w:bCs/>
              </w:rPr>
            </w:pPr>
            <w:r w:rsidRPr="00727A59">
              <w:rPr>
                <w:bCs/>
              </w:rPr>
              <w:t xml:space="preserve">lower overall costs through </w:t>
            </w:r>
            <w:r w:rsidRPr="00E23800">
              <w:t>joint procurement</w:t>
            </w:r>
            <w:r w:rsidR="00476E6F" w:rsidRPr="00E23800">
              <w:t xml:space="preserve"> and</w:t>
            </w:r>
            <w:r w:rsidRPr="00E23800">
              <w:t xml:space="preserve"> implementation</w:t>
            </w:r>
            <w:r w:rsidRPr="00727A59">
              <w:rPr>
                <w:bCs/>
              </w:rPr>
              <w:t xml:space="preserve"> </w:t>
            </w:r>
          </w:p>
          <w:p w14:paraId="03C11274" w14:textId="77777777" w:rsidR="007530C2" w:rsidRPr="00727A59" w:rsidRDefault="007530C2" w:rsidP="00D207B3">
            <w:pPr>
              <w:pStyle w:val="ListParagraph"/>
              <w:numPr>
                <w:ilvl w:val="0"/>
                <w:numId w:val="56"/>
              </w:numPr>
              <w:spacing w:after="160" w:line="278" w:lineRule="auto"/>
              <w:ind w:left="731" w:hanging="425"/>
              <w:contextualSpacing w:val="0"/>
              <w:rPr>
                <w:bCs/>
              </w:rPr>
            </w:pPr>
            <w:r w:rsidRPr="00727A59">
              <w:rPr>
                <w:bCs/>
              </w:rPr>
              <w:t>improved system interoperability across providers, enhancing student mobility and data sharing</w:t>
            </w:r>
          </w:p>
          <w:p w14:paraId="20EDA0F8" w14:textId="77777777" w:rsidR="007530C2" w:rsidRDefault="007530C2" w:rsidP="00D207B3">
            <w:pPr>
              <w:pStyle w:val="ListParagraph"/>
              <w:numPr>
                <w:ilvl w:val="0"/>
                <w:numId w:val="56"/>
              </w:numPr>
              <w:spacing w:after="160" w:line="278" w:lineRule="auto"/>
              <w:ind w:left="731" w:hanging="425"/>
              <w:contextualSpacing w:val="0"/>
            </w:pPr>
            <w:r w:rsidRPr="00727A59">
              <w:rPr>
                <w:bCs/>
              </w:rPr>
              <w:t>greater consistency in service</w:t>
            </w:r>
            <w:r>
              <w:t xml:space="preserve"> delivery and student experience across institutions.</w:t>
            </w:r>
          </w:p>
        </w:tc>
      </w:tr>
    </w:tbl>
    <w:p w14:paraId="60889D3F" w14:textId="77777777" w:rsidR="007C6E39" w:rsidRDefault="007C6E39" w:rsidP="00030A0C">
      <w:pPr>
        <w:rPr>
          <w:szCs w:val="22"/>
        </w:rPr>
      </w:pPr>
    </w:p>
    <w:p w14:paraId="74056149" w14:textId="77777777" w:rsidR="007C6E39" w:rsidRDefault="007C6E39" w:rsidP="00030A0C">
      <w:pPr>
        <w:rPr>
          <w:szCs w:val="22"/>
        </w:rPr>
        <w:sectPr w:rsidR="007C6E39" w:rsidSect="00AE6104">
          <w:type w:val="continuous"/>
          <w:pgSz w:w="11906" w:h="16838"/>
          <w:pgMar w:top="1440" w:right="1440" w:bottom="1440" w:left="1440" w:header="708" w:footer="708" w:gutter="0"/>
          <w:cols w:space="708"/>
          <w:docGrid w:linePitch="360"/>
          <w15:footnoteColumns w:val="1"/>
        </w:sectPr>
      </w:pPr>
    </w:p>
    <w:p w14:paraId="521C6D56" w14:textId="230DB940" w:rsidR="007530C2" w:rsidRDefault="007530C2" w:rsidP="00030A0C">
      <w:pPr>
        <w:rPr>
          <w:szCs w:val="22"/>
        </w:rPr>
      </w:pPr>
      <w:r>
        <w:rPr>
          <w:szCs w:val="22"/>
        </w:rPr>
        <w:t>The OTCD is now playing an important role in stronger coordination and building more shared services across TAFEs. The Review considers the government should build on existing efforts and mandate and accelerate shared service reform across TAFEs over the next 3–4 years, focusing on common platforms, digital infrastructure, administrative systems, joint procurement and a unified workforce strategy. This may require some investment but for the most part should be undertaken using existing</w:t>
      </w:r>
      <w:r w:rsidR="00EE5407">
        <w:rPr>
          <w:szCs w:val="22"/>
        </w:rPr>
        <w:t>,</w:t>
      </w:r>
      <w:r>
        <w:rPr>
          <w:szCs w:val="22"/>
        </w:rPr>
        <w:t xml:space="preserve"> best of breed systems. Shared services are </w:t>
      </w:r>
      <w:r>
        <w:rPr>
          <w:szCs w:val="22"/>
        </w:rPr>
        <w:t>estimated to generate $36 million in savings over the forward estimates and boost productivity in the sector.</w:t>
      </w:r>
    </w:p>
    <w:p w14:paraId="279B5555" w14:textId="516AC044" w:rsidR="007530C2" w:rsidRDefault="007530C2" w:rsidP="005F0114">
      <w:pPr>
        <w:rPr>
          <w:szCs w:val="22"/>
        </w:rPr>
      </w:pPr>
      <w:r>
        <w:rPr>
          <w:szCs w:val="22"/>
        </w:rPr>
        <w:t>If progress on shared services is slow over the 3–</w:t>
      </w:r>
      <w:proofErr w:type="gramStart"/>
      <w:r>
        <w:rPr>
          <w:szCs w:val="22"/>
        </w:rPr>
        <w:t>4 year</w:t>
      </w:r>
      <w:proofErr w:type="gramEnd"/>
      <w:r>
        <w:rPr>
          <w:szCs w:val="22"/>
        </w:rPr>
        <w:t xml:space="preserve"> window, the government should consider a more deliberate approach to TAFE consolidation </w:t>
      </w:r>
      <w:r w:rsidR="003E6A8C">
        <w:t>–</w:t>
      </w:r>
      <w:r>
        <w:rPr>
          <w:szCs w:val="22"/>
          <w:lang w:val="en-US"/>
        </w:rPr>
        <w:t xml:space="preserve"> </w:t>
      </w:r>
      <w:r>
        <w:rPr>
          <w:szCs w:val="22"/>
        </w:rPr>
        <w:t xml:space="preserve">with options ranging from TAFE mergers by geography or capability, through to all TAFEs merging into one single entity. Potential savings from these </w:t>
      </w:r>
      <w:r w:rsidR="00C45B59" w:rsidRPr="0025019B">
        <w:rPr>
          <w:szCs w:val="22"/>
        </w:rPr>
        <w:t>future</w:t>
      </w:r>
      <w:r>
        <w:rPr>
          <w:szCs w:val="22"/>
        </w:rPr>
        <w:t xml:space="preserve"> opportunities </w:t>
      </w:r>
      <w:r w:rsidRPr="0025019B">
        <w:rPr>
          <w:szCs w:val="22"/>
        </w:rPr>
        <w:lastRenderedPageBreak/>
        <w:t xml:space="preserve">range from $40 million to $200 million over a </w:t>
      </w:r>
      <w:r w:rsidR="00B318E9" w:rsidRPr="0025019B">
        <w:rPr>
          <w:szCs w:val="22"/>
        </w:rPr>
        <w:t>4</w:t>
      </w:r>
      <w:r w:rsidRPr="0025019B">
        <w:rPr>
          <w:szCs w:val="22"/>
        </w:rPr>
        <w:t>-year period.</w:t>
      </w:r>
    </w:p>
    <w:p w14:paraId="0D257699" w14:textId="0414AC37" w:rsidR="007530C2" w:rsidRPr="00AC3033" w:rsidRDefault="007530C2" w:rsidP="00471765">
      <w:pPr>
        <w:spacing w:after="360"/>
        <w:rPr>
          <w:szCs w:val="22"/>
        </w:rPr>
      </w:pPr>
      <w:r>
        <w:rPr>
          <w:szCs w:val="22"/>
          <w:lang w:val="en-US"/>
        </w:rPr>
        <w:t xml:space="preserve">The Review understands there is significant </w:t>
      </w:r>
      <w:proofErr w:type="spellStart"/>
      <w:r>
        <w:rPr>
          <w:szCs w:val="22"/>
          <w:lang w:val="en-US"/>
        </w:rPr>
        <w:t>under-utilisation</w:t>
      </w:r>
      <w:proofErr w:type="spellEnd"/>
      <w:r>
        <w:rPr>
          <w:szCs w:val="22"/>
          <w:lang w:val="en-US"/>
        </w:rPr>
        <w:t xml:space="preserve"> of assets across the TAFE network</w:t>
      </w:r>
      <w:r w:rsidR="003A1BED">
        <w:rPr>
          <w:szCs w:val="22"/>
          <w:lang w:val="en-US"/>
        </w:rPr>
        <w:t xml:space="preserve"> </w:t>
      </w:r>
      <w:r w:rsidR="003E6A8C">
        <w:t>–</w:t>
      </w:r>
      <w:r w:rsidR="003A1BED">
        <w:rPr>
          <w:szCs w:val="22"/>
          <w:lang w:val="en-US"/>
        </w:rPr>
        <w:t xml:space="preserve"> </w:t>
      </w:r>
      <w:r>
        <w:rPr>
          <w:szCs w:val="22"/>
          <w:lang w:val="en-US"/>
        </w:rPr>
        <w:t xml:space="preserve">with some buildings and land sitting vacant for many years. </w:t>
      </w:r>
      <w:r w:rsidRPr="002E6B84">
        <w:rPr>
          <w:szCs w:val="22"/>
          <w:lang w:val="en-US"/>
        </w:rPr>
        <w:t xml:space="preserve">Selling </w:t>
      </w:r>
      <w:proofErr w:type="spellStart"/>
      <w:r w:rsidRPr="002E6B84">
        <w:rPr>
          <w:szCs w:val="22"/>
          <w:lang w:val="en-US"/>
        </w:rPr>
        <w:t>under-utilised</w:t>
      </w:r>
      <w:proofErr w:type="spellEnd"/>
      <w:r w:rsidRPr="002E6B84">
        <w:rPr>
          <w:szCs w:val="22"/>
          <w:lang w:val="en-US"/>
        </w:rPr>
        <w:t xml:space="preserve"> assets would </w:t>
      </w:r>
      <w:proofErr w:type="spellStart"/>
      <w:r w:rsidRPr="002E6B84">
        <w:rPr>
          <w:szCs w:val="22"/>
          <w:lang w:val="en-US"/>
        </w:rPr>
        <w:t>realise</w:t>
      </w:r>
      <w:proofErr w:type="spellEnd"/>
      <w:r w:rsidRPr="002E6B84">
        <w:rPr>
          <w:szCs w:val="22"/>
          <w:lang w:val="en-US"/>
        </w:rPr>
        <w:t xml:space="preserve"> significant </w:t>
      </w:r>
      <w:r w:rsidRPr="002E6B84">
        <w:rPr>
          <w:szCs w:val="22"/>
          <w:lang w:val="en-US"/>
        </w:rPr>
        <w:t xml:space="preserve">savings or release capital </w:t>
      </w:r>
      <w:r>
        <w:rPr>
          <w:szCs w:val="22"/>
          <w:lang w:val="en-US"/>
        </w:rPr>
        <w:t>for reinvestment</w:t>
      </w:r>
      <w:r w:rsidRPr="002E6B84">
        <w:rPr>
          <w:szCs w:val="22"/>
          <w:lang w:val="en-US"/>
        </w:rPr>
        <w:t>. </w:t>
      </w:r>
      <w:r>
        <w:rPr>
          <w:szCs w:val="22"/>
        </w:rPr>
        <w:t>T</w:t>
      </w:r>
      <w:r w:rsidRPr="002E6B84">
        <w:rPr>
          <w:szCs w:val="22"/>
        </w:rPr>
        <w:t xml:space="preserve">he </w:t>
      </w:r>
      <w:r w:rsidR="00677CAC" w:rsidRPr="002B40FD">
        <w:rPr>
          <w:szCs w:val="22"/>
        </w:rPr>
        <w:t>precise</w:t>
      </w:r>
      <w:r w:rsidRPr="002E6B84">
        <w:rPr>
          <w:szCs w:val="22"/>
        </w:rPr>
        <w:t xml:space="preserve"> current value of under-utilised assets across the TAFE network is unclear, </w:t>
      </w:r>
      <w:r>
        <w:rPr>
          <w:szCs w:val="22"/>
        </w:rPr>
        <w:t xml:space="preserve">but </w:t>
      </w:r>
      <w:r w:rsidRPr="002E6B84">
        <w:rPr>
          <w:szCs w:val="22"/>
        </w:rPr>
        <w:t xml:space="preserve">if 15 per cent of assets fit that definition, this would represent </w:t>
      </w:r>
      <w:r>
        <w:rPr>
          <w:szCs w:val="22"/>
        </w:rPr>
        <w:t xml:space="preserve">approximately </w:t>
      </w:r>
      <w:r w:rsidRPr="00CF2319">
        <w:rPr>
          <w:szCs w:val="22"/>
        </w:rPr>
        <w:t>$525 million</w:t>
      </w:r>
      <w:r w:rsidRPr="002E6B84">
        <w:rPr>
          <w:szCs w:val="22"/>
        </w:rPr>
        <w:t xml:space="preserve"> of property available for sale</w:t>
      </w:r>
      <w:r>
        <w:rPr>
          <w:szCs w:val="22"/>
        </w:rPr>
        <w:t>.</w:t>
      </w:r>
      <w:r w:rsidRPr="002E6B84">
        <w:rPr>
          <w:szCs w:val="22"/>
        </w:rPr>
        <w:t> </w:t>
      </w:r>
      <w:r>
        <w:rPr>
          <w:szCs w:val="22"/>
        </w:rPr>
        <w:t xml:space="preserve"> </w:t>
      </w:r>
    </w:p>
    <w:p w14:paraId="0D7220D6" w14:textId="77777777" w:rsidR="007C6E39" w:rsidRDefault="007C6E39" w:rsidP="00015F04">
      <w:pPr>
        <w:spacing w:before="60"/>
        <w:rPr>
          <w:b/>
          <w:szCs w:val="22"/>
        </w:rPr>
        <w:sectPr w:rsidR="007C6E39" w:rsidSect="007C6E39">
          <w:type w:val="continuous"/>
          <w:pgSz w:w="11906" w:h="16838"/>
          <w:pgMar w:top="1440" w:right="1440" w:bottom="1440" w:left="1440" w:header="708" w:footer="708" w:gutter="0"/>
          <w:cols w:num="2" w:space="708"/>
          <w:docGrid w:linePitch="360"/>
          <w15:footnoteColumns w:val="1"/>
        </w:sectPr>
      </w:pPr>
    </w:p>
    <w:tbl>
      <w:tblPr>
        <w:tblStyle w:val="TableGrid"/>
        <w:tblW w:w="0" w:type="auto"/>
        <w:tblLook w:val="04A0" w:firstRow="1" w:lastRow="0" w:firstColumn="1" w:lastColumn="0" w:noHBand="0" w:noVBand="1"/>
      </w:tblPr>
      <w:tblGrid>
        <w:gridCol w:w="7225"/>
        <w:gridCol w:w="1791"/>
      </w:tblGrid>
      <w:tr w:rsidR="007530C2" w:rsidRPr="002E6B84" w14:paraId="789F9F4D" w14:textId="77777777" w:rsidTr="00350480">
        <w:tc>
          <w:tcPr>
            <w:tcW w:w="7225" w:type="dxa"/>
            <w:tcBorders>
              <w:left w:val="single" w:sz="4" w:space="0" w:color="F2F2F2" w:themeColor="background1" w:themeShade="F2"/>
              <w:bottom w:val="single" w:sz="4" w:space="0" w:color="auto"/>
              <w:right w:val="single" w:sz="18" w:space="0" w:color="FFFFFF" w:themeColor="background1"/>
            </w:tcBorders>
            <w:shd w:val="clear" w:color="auto" w:fill="E7E6E6"/>
          </w:tcPr>
          <w:p w14:paraId="71438174" w14:textId="77777777" w:rsidR="007530C2" w:rsidRPr="008B70FE" w:rsidRDefault="007530C2" w:rsidP="00015F04">
            <w:pPr>
              <w:spacing w:before="60" w:after="160" w:line="278" w:lineRule="auto"/>
              <w:rPr>
                <w:b/>
                <w:szCs w:val="22"/>
              </w:rPr>
            </w:pPr>
            <w:r w:rsidRPr="008B70FE">
              <w:rPr>
                <w:b/>
                <w:szCs w:val="22"/>
              </w:rPr>
              <w:t>Recommendations</w:t>
            </w:r>
          </w:p>
        </w:tc>
        <w:tc>
          <w:tcPr>
            <w:tcW w:w="1791" w:type="dxa"/>
            <w:tcBorders>
              <w:left w:val="single" w:sz="18" w:space="0" w:color="FFFFFF" w:themeColor="background1"/>
              <w:bottom w:val="single" w:sz="4" w:space="0" w:color="auto"/>
              <w:right w:val="single" w:sz="4" w:space="0" w:color="F2F2F2" w:themeColor="background1" w:themeShade="F2"/>
            </w:tcBorders>
            <w:shd w:val="clear" w:color="auto" w:fill="E7E6E6"/>
          </w:tcPr>
          <w:p w14:paraId="45CA2FFC" w14:textId="77777777" w:rsidR="007530C2" w:rsidRPr="008B70FE" w:rsidRDefault="007530C2" w:rsidP="00015F04">
            <w:pPr>
              <w:spacing w:before="60" w:after="160" w:line="278" w:lineRule="auto"/>
              <w:rPr>
                <w:b/>
                <w:szCs w:val="22"/>
              </w:rPr>
            </w:pPr>
            <w:r w:rsidRPr="008B70FE">
              <w:rPr>
                <w:b/>
                <w:szCs w:val="22"/>
              </w:rPr>
              <w:t>Savings</w:t>
            </w:r>
          </w:p>
        </w:tc>
      </w:tr>
      <w:tr w:rsidR="007530C2" w:rsidRPr="002E6B84" w14:paraId="6089FE64" w14:textId="77777777" w:rsidTr="000816CF">
        <w:tc>
          <w:tcPr>
            <w:tcW w:w="7225" w:type="dxa"/>
            <w:tcBorders>
              <w:left w:val="nil"/>
              <w:right w:val="single" w:sz="4" w:space="0" w:color="F2F2F2" w:themeColor="background1" w:themeShade="F2"/>
            </w:tcBorders>
          </w:tcPr>
          <w:p w14:paraId="1EAF3520" w14:textId="3E1537B7" w:rsidR="007530C2" w:rsidRPr="002E6B84" w:rsidRDefault="007530C2" w:rsidP="00015F04">
            <w:pPr>
              <w:pStyle w:val="ListParagraph"/>
              <w:numPr>
                <w:ilvl w:val="1"/>
                <w:numId w:val="53"/>
              </w:numPr>
              <w:spacing w:before="60" w:after="160" w:line="278" w:lineRule="auto"/>
              <w:ind w:left="567" w:hanging="567"/>
              <w:contextualSpacing w:val="0"/>
              <w:rPr>
                <w:szCs w:val="22"/>
              </w:rPr>
            </w:pPr>
            <w:r w:rsidRPr="002E6B84">
              <w:rPr>
                <w:szCs w:val="22"/>
              </w:rPr>
              <w:t>Mandate and accelerate shared service reforms across the TAFE sector over the next 3</w:t>
            </w:r>
            <w:r>
              <w:rPr>
                <w:szCs w:val="22"/>
              </w:rPr>
              <w:t>–</w:t>
            </w:r>
            <w:r w:rsidRPr="002E6B84">
              <w:rPr>
                <w:szCs w:val="22"/>
              </w:rPr>
              <w:t>4 years, focusing on common platforms, digital infrastructure and administrative functions</w:t>
            </w:r>
            <w:r>
              <w:rPr>
                <w:szCs w:val="22"/>
              </w:rPr>
              <w:t xml:space="preserve">, </w:t>
            </w:r>
            <w:r w:rsidRPr="002E6B84">
              <w:rPr>
                <w:szCs w:val="22"/>
              </w:rPr>
              <w:t>build</w:t>
            </w:r>
            <w:r>
              <w:rPr>
                <w:szCs w:val="22"/>
              </w:rPr>
              <w:t>ing</w:t>
            </w:r>
            <w:r w:rsidRPr="002E6B84">
              <w:rPr>
                <w:szCs w:val="22"/>
              </w:rPr>
              <w:t xml:space="preserve"> on existing efforts.</w:t>
            </w:r>
          </w:p>
          <w:p w14:paraId="4295D2AF" w14:textId="22037F9B" w:rsidR="007530C2" w:rsidRPr="00AC3033" w:rsidRDefault="007530C2" w:rsidP="00015F04">
            <w:pPr>
              <w:pStyle w:val="ListParagraph"/>
              <w:numPr>
                <w:ilvl w:val="1"/>
                <w:numId w:val="53"/>
              </w:numPr>
              <w:spacing w:before="60" w:after="160" w:line="278" w:lineRule="auto"/>
              <w:ind w:left="567" w:hanging="567"/>
              <w:contextualSpacing w:val="0"/>
              <w:rPr>
                <w:szCs w:val="22"/>
              </w:rPr>
            </w:pPr>
            <w:r>
              <w:rPr>
                <w:szCs w:val="22"/>
              </w:rPr>
              <w:t>After 3</w:t>
            </w:r>
            <w:r w:rsidR="00C14813">
              <w:rPr>
                <w:szCs w:val="22"/>
              </w:rPr>
              <w:t>–</w:t>
            </w:r>
            <w:r>
              <w:rPr>
                <w:szCs w:val="22"/>
              </w:rPr>
              <w:t>4 years</w:t>
            </w:r>
            <w:r w:rsidRPr="002E6B84">
              <w:rPr>
                <w:szCs w:val="22"/>
              </w:rPr>
              <w:t xml:space="preserve">, and based on progress and outcomes of shared services implementation, consider further </w:t>
            </w:r>
            <w:r w:rsidRPr="00AC3033">
              <w:rPr>
                <w:szCs w:val="22"/>
              </w:rPr>
              <w:t xml:space="preserve">TAFE </w:t>
            </w:r>
            <w:r w:rsidRPr="002E6B84">
              <w:rPr>
                <w:szCs w:val="22"/>
              </w:rPr>
              <w:t>consolidation opportunities</w:t>
            </w:r>
            <w:r w:rsidRPr="00AC3033">
              <w:rPr>
                <w:szCs w:val="22"/>
              </w:rPr>
              <w:t>,</w:t>
            </w:r>
            <w:r w:rsidRPr="002E6B84">
              <w:rPr>
                <w:szCs w:val="22"/>
              </w:rPr>
              <w:t xml:space="preserve"> ranging from</w:t>
            </w:r>
            <w:r>
              <w:rPr>
                <w:szCs w:val="22"/>
              </w:rPr>
              <w:t xml:space="preserve"> targeted</w:t>
            </w:r>
            <w:r w:rsidRPr="002E6B84">
              <w:rPr>
                <w:szCs w:val="22"/>
              </w:rPr>
              <w:t xml:space="preserve"> mergers to a single TAFE entity</w:t>
            </w:r>
            <w:r w:rsidRPr="00AC3033">
              <w:rPr>
                <w:szCs w:val="22"/>
              </w:rPr>
              <w:t xml:space="preserve">. </w:t>
            </w:r>
          </w:p>
          <w:p w14:paraId="08C0570C" w14:textId="77777777" w:rsidR="007530C2" w:rsidRPr="002E6B84" w:rsidRDefault="007530C2" w:rsidP="00015F04">
            <w:pPr>
              <w:pStyle w:val="ListParagraph"/>
              <w:numPr>
                <w:ilvl w:val="1"/>
                <w:numId w:val="53"/>
              </w:numPr>
              <w:spacing w:before="60" w:after="160" w:line="278" w:lineRule="auto"/>
              <w:ind w:left="567" w:hanging="567"/>
              <w:contextualSpacing w:val="0"/>
              <w:rPr>
                <w:szCs w:val="22"/>
              </w:rPr>
            </w:pPr>
            <w:r w:rsidRPr="002E6B84">
              <w:rPr>
                <w:szCs w:val="22"/>
              </w:rPr>
              <w:t xml:space="preserve">Immediately develop and implement a long-term asset strategy to </w:t>
            </w:r>
            <w:r>
              <w:rPr>
                <w:szCs w:val="22"/>
              </w:rPr>
              <w:t xml:space="preserve">sell </w:t>
            </w:r>
            <w:proofErr w:type="spellStart"/>
            <w:r>
              <w:rPr>
                <w:szCs w:val="22"/>
              </w:rPr>
              <w:t>under-utilised</w:t>
            </w:r>
            <w:proofErr w:type="spellEnd"/>
            <w:r>
              <w:rPr>
                <w:szCs w:val="22"/>
              </w:rPr>
              <w:t xml:space="preserve"> TAFE assets.</w:t>
            </w:r>
            <w:r w:rsidRPr="002E6B84">
              <w:rPr>
                <w:szCs w:val="22"/>
              </w:rPr>
              <w:t xml:space="preserve"> </w:t>
            </w:r>
          </w:p>
        </w:tc>
        <w:tc>
          <w:tcPr>
            <w:tcW w:w="1791" w:type="dxa"/>
            <w:tcBorders>
              <w:left w:val="single" w:sz="4" w:space="0" w:color="F2F2F2" w:themeColor="background1" w:themeShade="F2"/>
              <w:right w:val="nil"/>
            </w:tcBorders>
          </w:tcPr>
          <w:p w14:paraId="05BEC834" w14:textId="77777777" w:rsidR="007530C2" w:rsidRDefault="007530C2" w:rsidP="00015F04">
            <w:pPr>
              <w:spacing w:before="60" w:after="160" w:line="278" w:lineRule="auto"/>
              <w:rPr>
                <w:szCs w:val="22"/>
              </w:rPr>
            </w:pPr>
            <w:r w:rsidRPr="007613E1">
              <w:rPr>
                <w:szCs w:val="22"/>
              </w:rPr>
              <w:t>$36 million over 4 years from 2025–26</w:t>
            </w:r>
            <w:r w:rsidR="008B539A" w:rsidRPr="007613E1">
              <w:rPr>
                <w:szCs w:val="22"/>
              </w:rPr>
              <w:t>.</w:t>
            </w:r>
          </w:p>
          <w:p w14:paraId="1085B7E5" w14:textId="77777777" w:rsidR="00095DE1" w:rsidRDefault="00095DE1" w:rsidP="00015F04">
            <w:pPr>
              <w:spacing w:before="60" w:after="160" w:line="278" w:lineRule="auto"/>
              <w:rPr>
                <w:szCs w:val="22"/>
              </w:rPr>
            </w:pPr>
          </w:p>
          <w:p w14:paraId="2E3B7F32" w14:textId="77777777" w:rsidR="00095DE1" w:rsidRDefault="00095DE1" w:rsidP="00015F04">
            <w:pPr>
              <w:spacing w:before="60" w:after="160" w:line="278" w:lineRule="auto"/>
              <w:rPr>
                <w:szCs w:val="22"/>
              </w:rPr>
            </w:pPr>
          </w:p>
          <w:p w14:paraId="47E4D2C3" w14:textId="77777777" w:rsidR="00095DE1" w:rsidRDefault="00095DE1" w:rsidP="00015F04">
            <w:pPr>
              <w:spacing w:before="60" w:after="160" w:line="278" w:lineRule="auto"/>
              <w:rPr>
                <w:szCs w:val="22"/>
              </w:rPr>
            </w:pPr>
          </w:p>
          <w:p w14:paraId="55D8282C" w14:textId="3909CB87" w:rsidR="007530C2" w:rsidRPr="007C11A2" w:rsidRDefault="00095DE1" w:rsidP="00015F04">
            <w:pPr>
              <w:spacing w:before="60" w:after="160" w:line="278" w:lineRule="auto"/>
              <w:rPr>
                <w:szCs w:val="22"/>
              </w:rPr>
            </w:pPr>
            <w:r w:rsidRPr="003C28A4">
              <w:rPr>
                <w:szCs w:val="22"/>
              </w:rPr>
              <w:t xml:space="preserve">$525 </w:t>
            </w:r>
            <w:r w:rsidR="0072607F" w:rsidRPr="003C28A4">
              <w:rPr>
                <w:szCs w:val="22"/>
              </w:rPr>
              <w:t>m</w:t>
            </w:r>
            <w:r w:rsidR="00FA3DFC">
              <w:rPr>
                <w:szCs w:val="22"/>
              </w:rPr>
              <w:t>illion</w:t>
            </w:r>
          </w:p>
        </w:tc>
      </w:tr>
    </w:tbl>
    <w:p w14:paraId="28F13D70" w14:textId="77777777" w:rsidR="007530C2" w:rsidRPr="00CE1CCD" w:rsidRDefault="007530C2" w:rsidP="007530C2"/>
    <w:p w14:paraId="01D5B13F" w14:textId="77777777" w:rsidR="00D41F5E" w:rsidRDefault="00D41F5E" w:rsidP="00193D68">
      <w:pPr>
        <w:pStyle w:val="Heading3"/>
        <w:numPr>
          <w:ilvl w:val="0"/>
          <w:numId w:val="0"/>
        </w:numPr>
        <w:spacing w:before="0"/>
        <w:rPr>
          <w:szCs w:val="26"/>
        </w:rPr>
        <w:sectPr w:rsidR="00D41F5E" w:rsidSect="00AE6104">
          <w:type w:val="continuous"/>
          <w:pgSz w:w="11906" w:h="16838"/>
          <w:pgMar w:top="1440" w:right="1440" w:bottom="1440" w:left="1440" w:header="708" w:footer="708" w:gutter="0"/>
          <w:cols w:space="708"/>
          <w:docGrid w:linePitch="360"/>
          <w15:footnoteColumns w:val="1"/>
        </w:sectPr>
      </w:pPr>
    </w:p>
    <w:p w14:paraId="49CEB5DF" w14:textId="6CD61048" w:rsidR="007530C2" w:rsidRPr="000D590D" w:rsidRDefault="007530C2" w:rsidP="00193D68">
      <w:pPr>
        <w:pStyle w:val="Heading3"/>
        <w:numPr>
          <w:ilvl w:val="0"/>
          <w:numId w:val="0"/>
        </w:numPr>
        <w:spacing w:before="0"/>
        <w:rPr>
          <w:szCs w:val="26"/>
        </w:rPr>
      </w:pPr>
      <w:r w:rsidRPr="000D590D">
        <w:rPr>
          <w:szCs w:val="26"/>
        </w:rPr>
        <w:t>Improving effectiveness – VPS accommodation and flexible work</w:t>
      </w:r>
    </w:p>
    <w:p w14:paraId="1A241118" w14:textId="3BA27340" w:rsidR="007530C2" w:rsidRDefault="007530C2" w:rsidP="000973F2">
      <w:r>
        <w:t xml:space="preserve">In </w:t>
      </w:r>
      <w:r w:rsidRPr="006604EC">
        <w:t xml:space="preserve">March 2021, the Victorian Government announced </w:t>
      </w:r>
      <w:r w:rsidR="001B6E1C">
        <w:t>the</w:t>
      </w:r>
      <w:r w:rsidRPr="006604EC">
        <w:t xml:space="preserve"> </w:t>
      </w:r>
      <w:r>
        <w:t xml:space="preserve">VPS </w:t>
      </w:r>
      <w:r w:rsidRPr="006604EC">
        <w:t>Flexible Work Policy</w:t>
      </w:r>
      <w:r>
        <w:t xml:space="preserve">, with accompanying guidance setting a default assumption that full time VPS office workers work </w:t>
      </w:r>
      <w:r w:rsidR="001B6E1C">
        <w:t>3</w:t>
      </w:r>
      <w:r w:rsidR="00425B5E">
        <w:t> </w:t>
      </w:r>
      <w:r>
        <w:t>days per week in their office</w:t>
      </w:r>
      <w:r w:rsidRPr="006604EC">
        <w:t>.</w:t>
      </w:r>
      <w:r>
        <w:t xml:space="preserve"> The policy and guidance were released as VPS staff were making the </w:t>
      </w:r>
      <w:r w:rsidRPr="009707F6">
        <w:t>return to offices following almost a year of many working remotely</w:t>
      </w:r>
      <w:r>
        <w:t xml:space="preserve"> during the pandemic</w:t>
      </w:r>
      <w:r w:rsidRPr="009707F6">
        <w:t>.</w:t>
      </w:r>
      <w:r>
        <w:t xml:space="preserve"> </w:t>
      </w:r>
      <w:r w:rsidRPr="006604EC">
        <w:t> </w:t>
      </w:r>
      <w:r>
        <w:t xml:space="preserve">  </w:t>
      </w:r>
    </w:p>
    <w:p w14:paraId="74B07A77" w14:textId="0A049E0A" w:rsidR="007530C2" w:rsidRDefault="005C76AA" w:rsidP="000973F2">
      <w:r w:rsidRPr="007613E1">
        <w:t>Anecdotal and other evidence</w:t>
      </w:r>
      <w:r w:rsidR="007530C2">
        <w:t xml:space="preserve"> provided to</w:t>
      </w:r>
      <w:r w:rsidR="00E9144F">
        <w:t> </w:t>
      </w:r>
      <w:r w:rsidR="007530C2">
        <w:t>the Review suggest adherence to the Flexible Work Policy guidance is low, with public servants working in the office, on average</w:t>
      </w:r>
      <w:r w:rsidR="007530C2" w:rsidRPr="007613E1">
        <w:t xml:space="preserve">, </w:t>
      </w:r>
      <w:r w:rsidR="00CF37E8" w:rsidRPr="007613E1">
        <w:t>closer to 2</w:t>
      </w:r>
      <w:r w:rsidR="007530C2" w:rsidRPr="007613E1">
        <w:t xml:space="preserve"> days</w:t>
      </w:r>
      <w:r w:rsidR="007530C2">
        <w:t xml:space="preserve"> per week.</w:t>
      </w:r>
      <w:r w:rsidR="007530C2" w:rsidDel="00BA1369">
        <w:rPr>
          <w:rStyle w:val="FootnoteReference"/>
        </w:rPr>
        <w:t xml:space="preserve"> </w:t>
      </w:r>
      <w:r w:rsidR="007530C2">
        <w:t xml:space="preserve">Secretaries are currently unable to get clear data about how many days their staff are working in their offices to assist with managing the Flexible Work Policy.  </w:t>
      </w:r>
    </w:p>
    <w:p w14:paraId="315722A3" w14:textId="43933AF1" w:rsidR="007530C2" w:rsidRDefault="007530C2" w:rsidP="000973F2">
      <w:r>
        <w:t xml:space="preserve">Most government office buildings are still set up to accommodate a </w:t>
      </w:r>
      <w:r w:rsidR="001E7E7A">
        <w:t>5</w:t>
      </w:r>
      <w:r>
        <w:t xml:space="preserve">-day-per-week in-office presence. In addition, several government office buildings provide weekend access that is used sparingly by staff. This is leading to significant resource wastage, with the </w:t>
      </w:r>
      <w:r w:rsidR="000E070D">
        <w:t>g</w:t>
      </w:r>
      <w:r>
        <w:t>overnment spending around $500 million on accommodation services for the VPS every year.</w:t>
      </w:r>
      <w:r w:rsidDel="00DB6BBB">
        <w:rPr>
          <w:rStyle w:val="FootnoteReference"/>
        </w:rPr>
        <w:t xml:space="preserve"> </w:t>
      </w:r>
    </w:p>
    <w:p w14:paraId="76D8A758" w14:textId="026980B6" w:rsidR="007530C2" w:rsidRDefault="007530C2" w:rsidP="000973F2">
      <w:r>
        <w:t xml:space="preserve">The </w:t>
      </w:r>
      <w:r w:rsidRPr="006604EC">
        <w:t>Flexible Work Policy</w:t>
      </w:r>
      <w:r>
        <w:t xml:space="preserve"> and guidance acknowledge the social and economic benefits of flexible working, and the i</w:t>
      </w:r>
      <w:r w:rsidRPr="00412099">
        <w:t>ntrinsic</w:t>
      </w:r>
      <w:r w:rsidR="0085054A">
        <w:t> </w:t>
      </w:r>
      <w:r w:rsidRPr="00412099">
        <w:t>value of engaging face to face with</w:t>
      </w:r>
      <w:r w:rsidR="00170ABF">
        <w:t> </w:t>
      </w:r>
      <w:r w:rsidRPr="00412099">
        <w:t>teams and colleagues within and across organisations</w:t>
      </w:r>
      <w:r w:rsidRPr="00B93931">
        <w:t xml:space="preserve">. However, </w:t>
      </w:r>
      <w:r>
        <w:t>the guidance</w:t>
      </w:r>
      <w:r w:rsidRPr="00B93931">
        <w:t xml:space="preserve"> has not been updated to reflect post-pandemic</w:t>
      </w:r>
      <w:r w:rsidR="0085054A">
        <w:t> </w:t>
      </w:r>
      <w:r w:rsidRPr="005E0536">
        <w:t>conditions.</w:t>
      </w:r>
    </w:p>
    <w:p w14:paraId="7098DCE4" w14:textId="1DA9DEE9" w:rsidR="007530C2" w:rsidRDefault="007530C2" w:rsidP="000973F2">
      <w:r w:rsidRPr="005E0536">
        <w:t>Given the low adherence to the policy and its outdated references</w:t>
      </w:r>
      <w:r>
        <w:t xml:space="preserve">, the Flexible Work Policy needs to be updated, with clearer </w:t>
      </w:r>
      <w:r w:rsidR="004109D3">
        <w:br w:type="column"/>
      </w:r>
      <w:r>
        <w:lastRenderedPageBreak/>
        <w:t>and stronger expectations about the 3-day default, and practical guidance and tools for managers to support adherence</w:t>
      </w:r>
      <w:r w:rsidR="004A5315">
        <w:t xml:space="preserve"> </w:t>
      </w:r>
      <w:r w:rsidR="004A5315" w:rsidRPr="008C5F81">
        <w:t>(including through Performance Development Plans)</w:t>
      </w:r>
      <w:r>
        <w:t>.</w:t>
      </w:r>
      <w:r>
        <w:rPr>
          <w:rStyle w:val="FootnoteReference"/>
        </w:rPr>
        <w:footnoteReference w:id="23"/>
      </w:r>
      <w:r>
        <w:t xml:space="preserve"> The government should also reduce the VPS accommodation footprint and related expenses accordingly – from a 5 to 3 days per week presence. </w:t>
      </w:r>
    </w:p>
    <w:p w14:paraId="335F15D5" w14:textId="49B2AF79" w:rsidR="007530C2" w:rsidRDefault="007530C2" w:rsidP="000973F2">
      <w:r>
        <w:t xml:space="preserve">A reduction in the accommodation footprint is estimated to </w:t>
      </w:r>
      <w:r w:rsidR="008C5F81">
        <w:t>save</w:t>
      </w:r>
      <w:r w:rsidRPr="00FA5788">
        <w:t xml:space="preserve"> $50 million per</w:t>
      </w:r>
      <w:r>
        <w:t xml:space="preserve"> year.</w:t>
      </w:r>
      <w:r w:rsidDel="00170BFF">
        <w:rPr>
          <w:rStyle w:val="FootnoteReference"/>
        </w:rPr>
        <w:t xml:space="preserve"> </w:t>
      </w:r>
      <w:r>
        <w:t xml:space="preserve"> </w:t>
      </w:r>
    </w:p>
    <w:p w14:paraId="2330C387" w14:textId="1D8482CF" w:rsidR="00015F04" w:rsidRDefault="007530C2" w:rsidP="00D41F5E">
      <w:pPr>
        <w:spacing w:after="360"/>
      </w:pPr>
      <w:r>
        <w:t>There are also immediate actions that can</w:t>
      </w:r>
      <w:r w:rsidR="003734BF">
        <w:t> </w:t>
      </w:r>
      <w:r>
        <w:t>be taken to reduce underutilised buildings costs – for example: mothballing</w:t>
      </w:r>
      <w:r w:rsidR="003734BF">
        <w:t> </w:t>
      </w:r>
      <w:r>
        <w:t>unused floors, consolidating weekend access to only support existing demand, and adjusting building and maintenance services.</w:t>
      </w:r>
    </w:p>
    <w:p w14:paraId="7DFD71BC" w14:textId="77777777" w:rsidR="00D41F5E" w:rsidRDefault="00D41F5E" w:rsidP="00015F04">
      <w:pPr>
        <w:spacing w:before="60"/>
        <w:rPr>
          <w:b/>
        </w:rPr>
        <w:sectPr w:rsidR="00D41F5E" w:rsidSect="00D41F5E">
          <w:type w:val="continuous"/>
          <w:pgSz w:w="11906" w:h="16838"/>
          <w:pgMar w:top="1440" w:right="1440" w:bottom="1440" w:left="1440" w:header="708" w:footer="708" w:gutter="0"/>
          <w:cols w:num="2" w:space="708"/>
          <w:docGrid w:linePitch="360"/>
          <w15:footnoteColumns w:val="1"/>
        </w:sectPr>
      </w:pPr>
    </w:p>
    <w:tbl>
      <w:tblPr>
        <w:tblStyle w:val="TableGrid"/>
        <w:tblW w:w="0" w:type="auto"/>
        <w:tblLook w:val="04A0" w:firstRow="1" w:lastRow="0" w:firstColumn="1" w:lastColumn="0" w:noHBand="0" w:noVBand="1"/>
      </w:tblPr>
      <w:tblGrid>
        <w:gridCol w:w="7225"/>
        <w:gridCol w:w="1791"/>
      </w:tblGrid>
      <w:tr w:rsidR="007530C2" w:rsidRPr="00AE23C8" w14:paraId="11792E88" w14:textId="77777777" w:rsidTr="00350480">
        <w:trPr>
          <w:trHeight w:val="471"/>
        </w:trPr>
        <w:tc>
          <w:tcPr>
            <w:tcW w:w="7225" w:type="dxa"/>
            <w:tcBorders>
              <w:left w:val="nil"/>
              <w:bottom w:val="single" w:sz="4" w:space="0" w:color="auto"/>
              <w:right w:val="single" w:sz="18" w:space="0" w:color="FFFFFF" w:themeColor="background1"/>
            </w:tcBorders>
            <w:shd w:val="clear" w:color="auto" w:fill="E7E6E6"/>
          </w:tcPr>
          <w:p w14:paraId="5212CBC6" w14:textId="77777777" w:rsidR="007530C2" w:rsidRPr="000816CF" w:rsidRDefault="007530C2" w:rsidP="00015F04">
            <w:pPr>
              <w:spacing w:before="60"/>
              <w:rPr>
                <w:b/>
              </w:rPr>
            </w:pPr>
            <w:r w:rsidRPr="000816CF">
              <w:rPr>
                <w:b/>
              </w:rPr>
              <w:t>Recommendation</w:t>
            </w:r>
          </w:p>
        </w:tc>
        <w:tc>
          <w:tcPr>
            <w:tcW w:w="1791" w:type="dxa"/>
            <w:tcBorders>
              <w:left w:val="single" w:sz="18" w:space="0" w:color="FFFFFF" w:themeColor="background1"/>
              <w:bottom w:val="single" w:sz="4" w:space="0" w:color="auto"/>
              <w:right w:val="single" w:sz="4" w:space="0" w:color="F2F2F2" w:themeColor="background1" w:themeShade="F2"/>
            </w:tcBorders>
            <w:shd w:val="clear" w:color="auto" w:fill="E7E6E6"/>
          </w:tcPr>
          <w:p w14:paraId="36205567" w14:textId="77777777" w:rsidR="007530C2" w:rsidRPr="000816CF" w:rsidRDefault="007530C2" w:rsidP="00015F04">
            <w:pPr>
              <w:spacing w:before="60"/>
              <w:rPr>
                <w:b/>
              </w:rPr>
            </w:pPr>
            <w:r w:rsidRPr="000816CF">
              <w:rPr>
                <w:b/>
              </w:rPr>
              <w:t>Savings</w:t>
            </w:r>
          </w:p>
        </w:tc>
      </w:tr>
      <w:tr w:rsidR="007530C2" w14:paraId="4D84F1A4" w14:textId="77777777" w:rsidTr="000816CF">
        <w:tc>
          <w:tcPr>
            <w:tcW w:w="7225" w:type="dxa"/>
            <w:tcBorders>
              <w:left w:val="nil"/>
              <w:right w:val="single" w:sz="4" w:space="0" w:color="F2F2F2" w:themeColor="background1" w:themeShade="F2"/>
            </w:tcBorders>
          </w:tcPr>
          <w:p w14:paraId="70FAD046" w14:textId="40A45E83" w:rsidR="007530C2" w:rsidRPr="00245885" w:rsidRDefault="007530C2" w:rsidP="009464DB">
            <w:pPr>
              <w:pStyle w:val="ListParagraph"/>
              <w:numPr>
                <w:ilvl w:val="1"/>
                <w:numId w:val="53"/>
              </w:numPr>
              <w:spacing w:before="60" w:afterLines="60" w:after="144" w:line="278" w:lineRule="auto"/>
              <w:ind w:left="567" w:hanging="567"/>
              <w:contextualSpacing w:val="0"/>
              <w:rPr>
                <w:rFonts w:ascii="Aptos" w:eastAsia="Aptos" w:hAnsi="Aptos" w:cs="Aptos"/>
              </w:rPr>
            </w:pPr>
            <w:r>
              <w:rPr>
                <w:rFonts w:ascii="Aptos" w:eastAsia="Aptos" w:hAnsi="Aptos" w:cs="Aptos"/>
                <w:color w:val="000000" w:themeColor="text1"/>
              </w:rPr>
              <w:t xml:space="preserve">Update and implement the </w:t>
            </w:r>
            <w:r w:rsidR="00F56382">
              <w:rPr>
                <w:rFonts w:ascii="Aptos" w:eastAsia="Aptos" w:hAnsi="Aptos" w:cs="Aptos"/>
                <w:color w:val="000000" w:themeColor="text1"/>
              </w:rPr>
              <w:t xml:space="preserve">VPS </w:t>
            </w:r>
            <w:r>
              <w:rPr>
                <w:rFonts w:ascii="Aptos" w:eastAsia="Aptos" w:hAnsi="Aptos" w:cs="Aptos"/>
                <w:color w:val="000000" w:themeColor="text1"/>
              </w:rPr>
              <w:t xml:space="preserve">Flexible Work Policy and guidance to set clearer expectations about the default position of 3 days in the </w:t>
            </w:r>
            <w:proofErr w:type="gramStart"/>
            <w:r>
              <w:rPr>
                <w:rFonts w:ascii="Aptos" w:eastAsia="Aptos" w:hAnsi="Aptos" w:cs="Aptos"/>
                <w:color w:val="000000" w:themeColor="text1"/>
              </w:rPr>
              <w:t>office, and</w:t>
            </w:r>
            <w:proofErr w:type="gramEnd"/>
            <w:r>
              <w:rPr>
                <w:rFonts w:ascii="Aptos" w:eastAsia="Aptos" w:hAnsi="Aptos" w:cs="Aptos"/>
                <w:color w:val="000000" w:themeColor="text1"/>
              </w:rPr>
              <w:t xml:space="preserve"> provide practical guidance and tools for managers to</w:t>
            </w:r>
            <w:r w:rsidR="00380498">
              <w:rPr>
                <w:rFonts w:ascii="Aptos" w:eastAsia="Aptos" w:hAnsi="Aptos" w:cs="Aptos"/>
                <w:color w:val="000000" w:themeColor="text1"/>
              </w:rPr>
              <w:t> </w:t>
            </w:r>
            <w:r w:rsidRPr="00245885">
              <w:rPr>
                <w:rFonts w:ascii="Aptos" w:eastAsia="Aptos" w:hAnsi="Aptos" w:cs="Aptos"/>
                <w:color w:val="000000" w:themeColor="text1"/>
              </w:rPr>
              <w:t xml:space="preserve">support adherence. </w:t>
            </w:r>
          </w:p>
          <w:p w14:paraId="61150876" w14:textId="2686FFEE" w:rsidR="007530C2" w:rsidRPr="00245885" w:rsidRDefault="007530C2" w:rsidP="009464DB">
            <w:pPr>
              <w:pStyle w:val="ListParagraph"/>
              <w:numPr>
                <w:ilvl w:val="1"/>
                <w:numId w:val="53"/>
              </w:numPr>
              <w:spacing w:before="60" w:afterLines="60" w:after="144" w:line="278" w:lineRule="auto"/>
              <w:ind w:left="567" w:hanging="567"/>
              <w:contextualSpacing w:val="0"/>
              <w:rPr>
                <w:rFonts w:ascii="Aptos" w:eastAsia="Aptos" w:hAnsi="Aptos" w:cs="Aptos"/>
              </w:rPr>
            </w:pPr>
            <w:r w:rsidRPr="00245885">
              <w:rPr>
                <w:rFonts w:ascii="Aptos" w:eastAsia="Aptos" w:hAnsi="Aptos" w:cs="Aptos"/>
                <w:color w:val="000000" w:themeColor="text1"/>
              </w:rPr>
              <w:t xml:space="preserve">Require DGS to provide </w:t>
            </w:r>
            <w:r w:rsidR="006243C6">
              <w:rPr>
                <w:rFonts w:ascii="Aptos" w:eastAsia="Aptos" w:hAnsi="Aptos" w:cs="Aptos"/>
                <w:color w:val="000000" w:themeColor="text1"/>
              </w:rPr>
              <w:t>S</w:t>
            </w:r>
            <w:r w:rsidRPr="00245885">
              <w:rPr>
                <w:rFonts w:ascii="Aptos" w:eastAsia="Aptos" w:hAnsi="Aptos" w:cs="Aptos"/>
                <w:color w:val="000000" w:themeColor="text1"/>
              </w:rPr>
              <w:t>ecretaries with attendance data for relevant offices on a quarterly basis.</w:t>
            </w:r>
          </w:p>
          <w:p w14:paraId="7EF27A98" w14:textId="77777777" w:rsidR="007530C2" w:rsidRPr="00E14BDF" w:rsidRDefault="007530C2" w:rsidP="009464DB">
            <w:pPr>
              <w:pStyle w:val="ListParagraph"/>
              <w:numPr>
                <w:ilvl w:val="1"/>
                <w:numId w:val="53"/>
              </w:numPr>
              <w:spacing w:before="60" w:afterLines="60" w:after="144" w:line="278" w:lineRule="auto"/>
              <w:ind w:left="567" w:hanging="567"/>
              <w:contextualSpacing w:val="0"/>
              <w:rPr>
                <w:rFonts w:ascii="Aptos" w:eastAsia="Aptos" w:hAnsi="Aptos" w:cs="Aptos"/>
              </w:rPr>
            </w:pPr>
            <w:r>
              <w:rPr>
                <w:rFonts w:ascii="Aptos" w:eastAsia="Aptos" w:hAnsi="Aptos" w:cs="Aptos"/>
                <w:color w:val="000000" w:themeColor="text1"/>
              </w:rPr>
              <w:t>Reduce the current accommodation footprint and related expenses to support a 3 days per week office presence.</w:t>
            </w:r>
          </w:p>
          <w:p w14:paraId="3756105B" w14:textId="2BE05D7C" w:rsidR="007530C2" w:rsidRPr="00684575" w:rsidRDefault="007530C2" w:rsidP="009464DB">
            <w:pPr>
              <w:pStyle w:val="ListParagraph"/>
              <w:numPr>
                <w:ilvl w:val="1"/>
                <w:numId w:val="53"/>
              </w:numPr>
              <w:spacing w:before="60" w:afterLines="60" w:after="144" w:line="278" w:lineRule="auto"/>
              <w:ind w:left="567" w:hanging="567"/>
              <w:contextualSpacing w:val="0"/>
            </w:pPr>
            <w:r w:rsidRPr="003020EF">
              <w:rPr>
                <w:rFonts w:ascii="Aptos" w:eastAsia="Aptos" w:hAnsi="Aptos" w:cs="Aptos"/>
                <w:color w:val="000000" w:themeColor="text1"/>
              </w:rPr>
              <w:t xml:space="preserve">Implement an immediate plan </w:t>
            </w:r>
            <w:r>
              <w:rPr>
                <w:rFonts w:ascii="Aptos" w:eastAsia="Aptos" w:hAnsi="Aptos" w:cs="Aptos"/>
                <w:color w:val="000000" w:themeColor="text1"/>
              </w:rPr>
              <w:t>to reduce costs in current accommodation, including</w:t>
            </w:r>
            <w:r w:rsidRPr="003020EF">
              <w:rPr>
                <w:rFonts w:ascii="Aptos" w:eastAsia="Aptos" w:hAnsi="Aptos" w:cs="Aptos"/>
                <w:color w:val="000000" w:themeColor="text1"/>
              </w:rPr>
              <w:t xml:space="preserve"> mothballing </w:t>
            </w:r>
            <w:r>
              <w:rPr>
                <w:rFonts w:ascii="Aptos" w:eastAsia="Aptos" w:hAnsi="Aptos" w:cs="Aptos"/>
                <w:color w:val="000000" w:themeColor="text1"/>
              </w:rPr>
              <w:t xml:space="preserve">unused </w:t>
            </w:r>
            <w:r w:rsidRPr="003020EF">
              <w:rPr>
                <w:rFonts w:ascii="Aptos" w:eastAsia="Aptos" w:hAnsi="Aptos" w:cs="Aptos"/>
                <w:color w:val="000000" w:themeColor="text1"/>
              </w:rPr>
              <w:t>floors, consolidating weekend access of all buildings to only support existing demand, and adjusting building and maintenance services</w:t>
            </w:r>
            <w:r w:rsidR="00055959">
              <w:rPr>
                <w:rFonts w:ascii="Aptos" w:eastAsia="Aptos" w:hAnsi="Aptos" w:cs="Aptos"/>
                <w:color w:val="000000" w:themeColor="text1"/>
              </w:rPr>
              <w:t> </w:t>
            </w:r>
            <w:r w:rsidRPr="003020EF">
              <w:rPr>
                <w:rFonts w:ascii="Aptos" w:eastAsia="Aptos" w:hAnsi="Aptos" w:cs="Aptos"/>
                <w:color w:val="000000" w:themeColor="text1"/>
              </w:rPr>
              <w:t>accordingly.</w:t>
            </w:r>
            <w:r>
              <w:rPr>
                <w:rFonts w:ascii="Aptos" w:eastAsia="Aptos" w:hAnsi="Aptos" w:cs="Aptos"/>
                <w:color w:val="000000" w:themeColor="text1"/>
              </w:rPr>
              <w:t xml:space="preserve"> </w:t>
            </w:r>
          </w:p>
        </w:tc>
        <w:tc>
          <w:tcPr>
            <w:tcW w:w="1791" w:type="dxa"/>
            <w:tcBorders>
              <w:left w:val="single" w:sz="4" w:space="0" w:color="F2F2F2" w:themeColor="background1" w:themeShade="F2"/>
              <w:right w:val="nil"/>
            </w:tcBorders>
          </w:tcPr>
          <w:p w14:paraId="7BBE45B4" w14:textId="446055C4" w:rsidR="007530C2" w:rsidRPr="003764D5" w:rsidRDefault="007530C2" w:rsidP="009464DB">
            <w:pPr>
              <w:spacing w:before="60" w:afterLines="60" w:after="144"/>
              <w:rPr>
                <w:highlight w:val="yellow"/>
              </w:rPr>
            </w:pPr>
            <w:r w:rsidRPr="00FA5788">
              <w:t>$175 million over 4 years from 2025–26, and $50 million per annum ongoing</w:t>
            </w:r>
            <w:r w:rsidR="004F02CE">
              <w:t>.</w:t>
            </w:r>
          </w:p>
        </w:tc>
      </w:tr>
    </w:tbl>
    <w:p w14:paraId="0037061C" w14:textId="77777777" w:rsidR="007530C2" w:rsidRPr="00E75B83" w:rsidRDefault="007530C2" w:rsidP="00EE2B51">
      <w:pPr>
        <w:spacing w:after="120"/>
      </w:pPr>
    </w:p>
    <w:p w14:paraId="59F2185E" w14:textId="08C93AA7" w:rsidR="007530C2" w:rsidRDefault="00BE3B05" w:rsidP="007530C2">
      <w:pPr>
        <w:pStyle w:val="Heading2"/>
      </w:pPr>
      <w:bookmarkStart w:id="110" w:name="_Toc202524005"/>
      <w:bookmarkStart w:id="111" w:name="_Toc214912025"/>
      <w:r>
        <w:t xml:space="preserve">8.3   </w:t>
      </w:r>
      <w:r w:rsidR="007530C2">
        <w:t>Additional savings opportunities</w:t>
      </w:r>
      <w:bookmarkEnd w:id="110"/>
      <w:bookmarkEnd w:id="111"/>
    </w:p>
    <w:p w14:paraId="0E45EB56" w14:textId="77777777" w:rsidR="00EE2B51" w:rsidRDefault="00EE2B51" w:rsidP="00A01D06">
      <w:pPr>
        <w:sectPr w:rsidR="00EE2B51" w:rsidSect="00AE6104">
          <w:type w:val="continuous"/>
          <w:pgSz w:w="11906" w:h="16838"/>
          <w:pgMar w:top="1440" w:right="1440" w:bottom="1440" w:left="1440" w:header="708" w:footer="708" w:gutter="0"/>
          <w:cols w:space="708"/>
          <w:docGrid w:linePitch="360"/>
          <w15:footnoteColumns w:val="1"/>
        </w:sectPr>
      </w:pPr>
      <w:bookmarkStart w:id="112" w:name="_Hlk200906280"/>
    </w:p>
    <w:p w14:paraId="379DB0D5" w14:textId="77777777" w:rsidR="007530C2" w:rsidRDefault="007530C2" w:rsidP="00A01D06">
      <w:r>
        <w:t xml:space="preserve">The Review has applied its criteria to identify additional savings opportunities. </w:t>
      </w:r>
    </w:p>
    <w:p w14:paraId="3795A5B5" w14:textId="471141E9" w:rsidR="007530C2" w:rsidRDefault="007530C2" w:rsidP="00A01D06">
      <w:r>
        <w:t>The following opportunities identify and recommend specific improvements and</w:t>
      </w:r>
      <w:r w:rsidR="00231AE3">
        <w:t> </w:t>
      </w:r>
      <w:r>
        <w:t>savings.</w:t>
      </w:r>
    </w:p>
    <w:p w14:paraId="0302F1CA" w14:textId="49409928" w:rsidR="007530C2" w:rsidRDefault="007530C2" w:rsidP="00A01D06">
      <w:r>
        <w:t xml:space="preserve">The savings identified here also serve as examples for the type of ideas and reforms that could be included in the recommended annual savings plan to be prepared by departments as an alternative to the GED (see Chapter </w:t>
      </w:r>
      <w:r w:rsidRPr="00EE0732">
        <w:t>3</w:t>
      </w:r>
      <w:r>
        <w:t xml:space="preserve">, </w:t>
      </w:r>
      <w:r w:rsidR="0076597D">
        <w:t>rule</w:t>
      </w:r>
      <w:r>
        <w:t xml:space="preserve"> </w:t>
      </w:r>
      <w:r w:rsidRPr="00EE0732">
        <w:t>7</w:t>
      </w:r>
      <w:r>
        <w:t xml:space="preserve">). </w:t>
      </w:r>
    </w:p>
    <w:p w14:paraId="2B61FE69" w14:textId="77777777" w:rsidR="00EE2B51" w:rsidRDefault="00EE2B51" w:rsidP="00186F19">
      <w:pPr>
        <w:pStyle w:val="Heading3"/>
        <w:sectPr w:rsidR="00EE2B51" w:rsidSect="00EE2B51">
          <w:type w:val="continuous"/>
          <w:pgSz w:w="11906" w:h="16838"/>
          <w:pgMar w:top="1440" w:right="1440" w:bottom="1440" w:left="1440" w:header="708" w:footer="708" w:gutter="0"/>
          <w:cols w:num="2" w:space="708"/>
          <w:docGrid w:linePitch="360"/>
          <w15:footnoteColumns w:val="1"/>
        </w:sectPr>
      </w:pPr>
    </w:p>
    <w:p w14:paraId="561CCF0D" w14:textId="77777777" w:rsidR="00042AE7" w:rsidRDefault="00042AE7" w:rsidP="00186F19">
      <w:pPr>
        <w:pStyle w:val="Heading3"/>
      </w:pPr>
      <w:r>
        <w:br w:type="page"/>
      </w:r>
    </w:p>
    <w:p w14:paraId="296429F5" w14:textId="7D7394B5" w:rsidR="00186F19" w:rsidRPr="00186F19" w:rsidRDefault="007530C2" w:rsidP="00186F19">
      <w:pPr>
        <w:pStyle w:val="Heading3"/>
        <w:rPr>
          <w:bCs/>
        </w:rPr>
      </w:pPr>
      <w:r>
        <w:lastRenderedPageBreak/>
        <w:t xml:space="preserve">Improving </w:t>
      </w:r>
      <w:r w:rsidRPr="004343B1">
        <w:t>effectiveness</w:t>
      </w:r>
      <w:bookmarkEnd w:id="112"/>
    </w:p>
    <w:p w14:paraId="6969D683" w14:textId="77777777" w:rsidR="00EE2B51" w:rsidRDefault="00EE2B51" w:rsidP="00496678">
      <w:pPr>
        <w:pStyle w:val="Heading4"/>
        <w:rPr>
          <w:b/>
          <w:bCs/>
        </w:rPr>
        <w:sectPr w:rsidR="00EE2B51" w:rsidSect="00AE6104">
          <w:type w:val="continuous"/>
          <w:pgSz w:w="11906" w:h="16838"/>
          <w:pgMar w:top="1440" w:right="1440" w:bottom="1440" w:left="1440" w:header="708" w:footer="708" w:gutter="0"/>
          <w:cols w:space="708"/>
          <w:docGrid w:linePitch="360"/>
          <w15:footnoteColumns w:val="1"/>
        </w:sectPr>
      </w:pPr>
    </w:p>
    <w:p w14:paraId="3420ABBA" w14:textId="45F993D1" w:rsidR="007530C2" w:rsidRPr="00496678" w:rsidRDefault="007530C2" w:rsidP="006C2027">
      <w:pPr>
        <w:pStyle w:val="Heading4"/>
        <w:spacing w:before="0"/>
        <w:rPr>
          <w:b/>
          <w:bCs/>
        </w:rPr>
      </w:pPr>
      <w:r w:rsidRPr="00496678">
        <w:rPr>
          <w:b/>
          <w:bCs/>
        </w:rPr>
        <w:t>Outdated budget lines</w:t>
      </w:r>
      <w:r w:rsidR="005F2360">
        <w:rPr>
          <w:b/>
          <w:bCs/>
        </w:rPr>
        <w:t xml:space="preserve"> </w:t>
      </w:r>
      <w:r w:rsidR="004873EC" w:rsidRPr="00496678">
        <w:rPr>
          <w:b/>
          <w:bCs/>
        </w:rPr>
        <w:t>–</w:t>
      </w:r>
      <w:r w:rsidRPr="00496678">
        <w:rPr>
          <w:b/>
          <w:bCs/>
        </w:rPr>
        <w:t xml:space="preserve"> Student Resource Package </w:t>
      </w:r>
    </w:p>
    <w:p w14:paraId="439D474A" w14:textId="1FA0BC17" w:rsidR="00015F04" w:rsidRPr="00455808" w:rsidRDefault="007530C2" w:rsidP="00042AE7">
      <w:pPr>
        <w:spacing w:after="360"/>
        <w:rPr>
          <w:szCs w:val="22"/>
        </w:rPr>
      </w:pPr>
      <w:r w:rsidRPr="00455808">
        <w:rPr>
          <w:szCs w:val="22"/>
        </w:rPr>
        <w:t>The Student Resource Package (SRP) is the main funding mechanism for Victorian government schools, distributing over $9.7</w:t>
      </w:r>
      <w:r w:rsidR="009F19AE">
        <w:rPr>
          <w:szCs w:val="22"/>
        </w:rPr>
        <w:t> </w:t>
      </w:r>
      <w:r w:rsidRPr="00455808">
        <w:rPr>
          <w:szCs w:val="22"/>
        </w:rPr>
        <w:t xml:space="preserve">billion in 2024. </w:t>
      </w:r>
      <w:r>
        <w:rPr>
          <w:szCs w:val="22"/>
        </w:rPr>
        <w:t xml:space="preserve">Funding is provided </w:t>
      </w:r>
      <w:r w:rsidR="00193978">
        <w:rPr>
          <w:szCs w:val="22"/>
        </w:rPr>
        <w:t>for</w:t>
      </w:r>
      <w:r>
        <w:rPr>
          <w:szCs w:val="22"/>
        </w:rPr>
        <w:t xml:space="preserve"> specific activities set out in a funding line. At least 12</w:t>
      </w:r>
      <w:r w:rsidRPr="00455808">
        <w:rPr>
          <w:szCs w:val="22"/>
        </w:rPr>
        <w:t xml:space="preserve"> SRP funding lines </w:t>
      </w:r>
      <w:r>
        <w:rPr>
          <w:szCs w:val="22"/>
        </w:rPr>
        <w:t xml:space="preserve">have been </w:t>
      </w:r>
      <w:r>
        <w:rPr>
          <w:szCs w:val="22"/>
        </w:rPr>
        <w:t>identified as</w:t>
      </w:r>
      <w:r w:rsidRPr="00455808">
        <w:rPr>
          <w:szCs w:val="22"/>
        </w:rPr>
        <w:t xml:space="preserve"> outdated, misaligned with current policy or duplicative</w:t>
      </w:r>
      <w:r>
        <w:rPr>
          <w:szCs w:val="22"/>
        </w:rPr>
        <w:t xml:space="preserve"> – for example, changes to bus coordination where this is now being managed centrally.</w:t>
      </w:r>
      <w:r w:rsidRPr="00455808">
        <w:rPr>
          <w:szCs w:val="22"/>
        </w:rPr>
        <w:t xml:space="preserve"> These </w:t>
      </w:r>
      <w:r>
        <w:rPr>
          <w:szCs w:val="22"/>
        </w:rPr>
        <w:t>funding lines should cease</w:t>
      </w:r>
      <w:r w:rsidRPr="00455808">
        <w:rPr>
          <w:szCs w:val="22"/>
        </w:rPr>
        <w:t xml:space="preserve">, with funding redirected to support </w:t>
      </w:r>
      <w:r>
        <w:rPr>
          <w:szCs w:val="22"/>
        </w:rPr>
        <w:t>alternative, higher-priority</w:t>
      </w:r>
      <w:r w:rsidRPr="00455808">
        <w:rPr>
          <w:szCs w:val="22"/>
        </w:rPr>
        <w:t xml:space="preserve"> school needs.</w:t>
      </w:r>
      <w:r w:rsidRPr="003D4CAD">
        <w:rPr>
          <w:rStyle w:val="FootnoteReference"/>
          <w:b/>
        </w:rPr>
        <w:t xml:space="preserve"> </w:t>
      </w:r>
      <w:r w:rsidR="003D4CAD" w:rsidRPr="00657840">
        <w:rPr>
          <w:rStyle w:val="FootnoteReference"/>
          <w:bCs/>
        </w:rPr>
        <w:footnoteReference w:id="24"/>
      </w:r>
      <w:r w:rsidR="003D4CAD" w:rsidRPr="00657840">
        <w:rPr>
          <w:bCs/>
        </w:rPr>
        <w:t xml:space="preserve"> </w:t>
      </w:r>
      <w:r>
        <w:rPr>
          <w:szCs w:val="22"/>
        </w:rPr>
        <w:t>This would reduce the call on the central budget.</w:t>
      </w:r>
    </w:p>
    <w:p w14:paraId="1C574DA9" w14:textId="77777777" w:rsidR="00EE2B51" w:rsidRDefault="00EE2B51" w:rsidP="00015F04">
      <w:pPr>
        <w:spacing w:before="60"/>
        <w:rPr>
          <w:b/>
        </w:rPr>
        <w:sectPr w:rsidR="00EE2B51" w:rsidSect="00EE2B51">
          <w:type w:val="continuous"/>
          <w:pgSz w:w="11906" w:h="16838"/>
          <w:pgMar w:top="1440" w:right="1440" w:bottom="1440" w:left="1440" w:header="708" w:footer="708" w:gutter="0"/>
          <w:cols w:num="2" w:space="708"/>
          <w:docGrid w:linePitch="360"/>
          <w15:footnoteColumns w:val="1"/>
        </w:sectPr>
      </w:pPr>
    </w:p>
    <w:tbl>
      <w:tblPr>
        <w:tblStyle w:val="TableGrid"/>
        <w:tblW w:w="0" w:type="auto"/>
        <w:tblLook w:val="04A0" w:firstRow="1" w:lastRow="0" w:firstColumn="1" w:lastColumn="0" w:noHBand="0" w:noVBand="1"/>
      </w:tblPr>
      <w:tblGrid>
        <w:gridCol w:w="7088"/>
        <w:gridCol w:w="1928"/>
      </w:tblGrid>
      <w:tr w:rsidR="007530C2" w:rsidRPr="00E3228B" w14:paraId="3C5572C6" w14:textId="77777777" w:rsidTr="00D86662">
        <w:trPr>
          <w:trHeight w:val="471"/>
        </w:trPr>
        <w:tc>
          <w:tcPr>
            <w:tcW w:w="7088" w:type="dxa"/>
            <w:tcBorders>
              <w:left w:val="nil"/>
              <w:bottom w:val="single" w:sz="4" w:space="0" w:color="auto"/>
              <w:right w:val="single" w:sz="18" w:space="0" w:color="FFFFFF" w:themeColor="background1"/>
            </w:tcBorders>
            <w:shd w:val="clear" w:color="auto" w:fill="E7E6E6"/>
          </w:tcPr>
          <w:p w14:paraId="3B70D72D" w14:textId="77777777" w:rsidR="007530C2" w:rsidRPr="000816CF" w:rsidRDefault="007530C2" w:rsidP="00015F04">
            <w:pPr>
              <w:spacing w:before="60"/>
              <w:rPr>
                <w:b/>
              </w:rPr>
            </w:pPr>
            <w:r w:rsidRPr="000816CF">
              <w:rPr>
                <w:b/>
              </w:rPr>
              <w:t>Recommendation</w:t>
            </w:r>
          </w:p>
        </w:tc>
        <w:tc>
          <w:tcPr>
            <w:tcW w:w="1928" w:type="dxa"/>
            <w:tcBorders>
              <w:left w:val="single" w:sz="18" w:space="0" w:color="FFFFFF" w:themeColor="background1"/>
              <w:bottom w:val="single" w:sz="4" w:space="0" w:color="auto"/>
              <w:right w:val="nil"/>
            </w:tcBorders>
            <w:shd w:val="clear" w:color="auto" w:fill="E7E6E6"/>
          </w:tcPr>
          <w:p w14:paraId="72FBAE2A" w14:textId="77777777" w:rsidR="007530C2" w:rsidRPr="000816CF" w:rsidRDefault="007530C2" w:rsidP="00015F04">
            <w:pPr>
              <w:spacing w:before="60"/>
              <w:rPr>
                <w:b/>
              </w:rPr>
            </w:pPr>
            <w:r w:rsidRPr="000816CF">
              <w:rPr>
                <w:b/>
              </w:rPr>
              <w:t>Savings</w:t>
            </w:r>
          </w:p>
        </w:tc>
      </w:tr>
      <w:tr w:rsidR="007530C2" w:rsidRPr="003764D5" w14:paraId="7517F50D" w14:textId="77777777" w:rsidTr="00D86662">
        <w:tc>
          <w:tcPr>
            <w:tcW w:w="7088" w:type="dxa"/>
            <w:tcBorders>
              <w:left w:val="nil"/>
              <w:right w:val="single" w:sz="4" w:space="0" w:color="F2F2F2" w:themeColor="background1" w:themeShade="F2"/>
            </w:tcBorders>
          </w:tcPr>
          <w:p w14:paraId="3520F6F6" w14:textId="691540AA" w:rsidR="007530C2" w:rsidRPr="00684575" w:rsidRDefault="007530C2" w:rsidP="009464DB">
            <w:pPr>
              <w:pStyle w:val="ListParagraph"/>
              <w:numPr>
                <w:ilvl w:val="1"/>
                <w:numId w:val="53"/>
              </w:numPr>
              <w:spacing w:before="60" w:after="60" w:line="278" w:lineRule="auto"/>
              <w:ind w:left="567" w:hanging="567"/>
              <w:contextualSpacing w:val="0"/>
            </w:pPr>
            <w:r>
              <w:rPr>
                <w:szCs w:val="22"/>
              </w:rPr>
              <w:t>Cease</w:t>
            </w:r>
            <w:r w:rsidRPr="00AE7A3F">
              <w:rPr>
                <w:szCs w:val="22"/>
              </w:rPr>
              <w:t xml:space="preserve"> </w:t>
            </w:r>
            <w:r w:rsidR="00C223BB">
              <w:rPr>
                <w:szCs w:val="22"/>
              </w:rPr>
              <w:t>outdated</w:t>
            </w:r>
            <w:r w:rsidRPr="00AE7A3F">
              <w:rPr>
                <w:szCs w:val="22"/>
              </w:rPr>
              <w:t xml:space="preserve"> Student Resource </w:t>
            </w:r>
            <w:r>
              <w:rPr>
                <w:szCs w:val="22"/>
              </w:rPr>
              <w:t xml:space="preserve">Package </w:t>
            </w:r>
            <w:r w:rsidRPr="00AE7A3F">
              <w:rPr>
                <w:szCs w:val="22"/>
              </w:rPr>
              <w:t>funding lines</w:t>
            </w:r>
            <w:r>
              <w:rPr>
                <w:szCs w:val="22"/>
              </w:rPr>
              <w:t xml:space="preserve"> and</w:t>
            </w:r>
            <w:r w:rsidR="00A02F0C">
              <w:rPr>
                <w:szCs w:val="22"/>
              </w:rPr>
              <w:t> </w:t>
            </w:r>
            <w:r>
              <w:rPr>
                <w:szCs w:val="22"/>
              </w:rPr>
              <w:t xml:space="preserve">redirect funding to </w:t>
            </w:r>
            <w:r w:rsidRPr="00455808">
              <w:rPr>
                <w:szCs w:val="22"/>
              </w:rPr>
              <w:t xml:space="preserve">support </w:t>
            </w:r>
            <w:r>
              <w:rPr>
                <w:szCs w:val="22"/>
              </w:rPr>
              <w:t>alternative, higher-priority</w:t>
            </w:r>
            <w:r w:rsidRPr="00455808">
              <w:rPr>
                <w:szCs w:val="22"/>
              </w:rPr>
              <w:t xml:space="preserve"> school</w:t>
            </w:r>
            <w:r w:rsidR="00A02F0C">
              <w:rPr>
                <w:szCs w:val="22"/>
              </w:rPr>
              <w:t> </w:t>
            </w:r>
            <w:r w:rsidRPr="00455808">
              <w:rPr>
                <w:szCs w:val="22"/>
              </w:rPr>
              <w:t>needs</w:t>
            </w:r>
            <w:r w:rsidRPr="00AE7A3F">
              <w:rPr>
                <w:szCs w:val="22"/>
              </w:rPr>
              <w:t>.</w:t>
            </w:r>
          </w:p>
        </w:tc>
        <w:tc>
          <w:tcPr>
            <w:tcW w:w="1928" w:type="dxa"/>
            <w:tcBorders>
              <w:left w:val="single" w:sz="4" w:space="0" w:color="F2F2F2" w:themeColor="background1" w:themeShade="F2"/>
              <w:right w:val="nil"/>
            </w:tcBorders>
          </w:tcPr>
          <w:p w14:paraId="4CAF1DD3" w14:textId="1CC75240" w:rsidR="007530C2" w:rsidRPr="00AE7A3F" w:rsidRDefault="007530C2" w:rsidP="009464DB">
            <w:pPr>
              <w:spacing w:before="60" w:after="60"/>
              <w:rPr>
                <w:szCs w:val="22"/>
                <w:highlight w:val="yellow"/>
              </w:rPr>
            </w:pPr>
            <w:r w:rsidRPr="00AE7A3F">
              <w:rPr>
                <w:szCs w:val="22"/>
              </w:rPr>
              <w:t>$</w:t>
            </w:r>
            <w:r w:rsidR="00532852">
              <w:rPr>
                <w:szCs w:val="22"/>
              </w:rPr>
              <w:t>96.6</w:t>
            </w:r>
            <w:r w:rsidRPr="00AE7A3F">
              <w:rPr>
                <w:szCs w:val="22"/>
              </w:rPr>
              <w:t xml:space="preserve"> million</w:t>
            </w:r>
            <w:r w:rsidR="003E6A8C">
              <w:rPr>
                <w:szCs w:val="22"/>
              </w:rPr>
              <w:t xml:space="preserve"> over 4 years</w:t>
            </w:r>
            <w:r w:rsidR="006E7138">
              <w:rPr>
                <w:szCs w:val="22"/>
              </w:rPr>
              <w:t>,</w:t>
            </w:r>
            <w:r w:rsidRPr="00AE7A3F">
              <w:rPr>
                <w:szCs w:val="22"/>
              </w:rPr>
              <w:t xml:space="preserve"> and $29.7</w:t>
            </w:r>
            <w:r w:rsidR="00D86662">
              <w:rPr>
                <w:szCs w:val="22"/>
              </w:rPr>
              <w:t> </w:t>
            </w:r>
            <w:r w:rsidRPr="00AE7A3F">
              <w:rPr>
                <w:szCs w:val="22"/>
              </w:rPr>
              <w:t>million ongoing</w:t>
            </w:r>
            <w:r>
              <w:rPr>
                <w:szCs w:val="22"/>
              </w:rPr>
              <w:t>.</w:t>
            </w:r>
          </w:p>
        </w:tc>
      </w:tr>
    </w:tbl>
    <w:p w14:paraId="3320E5EA" w14:textId="77777777" w:rsidR="007530C2" w:rsidRDefault="007530C2" w:rsidP="007530C2"/>
    <w:p w14:paraId="2A4003C2" w14:textId="77777777" w:rsidR="00042AE7" w:rsidRDefault="00042AE7" w:rsidP="00657840">
      <w:pPr>
        <w:pStyle w:val="Heading4"/>
        <w:spacing w:before="0"/>
        <w:rPr>
          <w:b/>
        </w:rPr>
        <w:sectPr w:rsidR="00042AE7" w:rsidSect="00AE6104">
          <w:type w:val="continuous"/>
          <w:pgSz w:w="11906" w:h="16838"/>
          <w:pgMar w:top="1440" w:right="1440" w:bottom="1440" w:left="1440" w:header="708" w:footer="708" w:gutter="0"/>
          <w:cols w:space="708"/>
          <w:docGrid w:linePitch="360"/>
          <w15:footnoteColumns w:val="1"/>
        </w:sectPr>
      </w:pPr>
    </w:p>
    <w:p w14:paraId="102114F5" w14:textId="7BA4E999" w:rsidR="007530C2" w:rsidRPr="008D19BE" w:rsidRDefault="007530C2" w:rsidP="00657840">
      <w:pPr>
        <w:pStyle w:val="Heading4"/>
        <w:spacing w:before="0"/>
        <w:rPr>
          <w:b/>
        </w:rPr>
      </w:pPr>
      <w:r>
        <w:rPr>
          <w:b/>
        </w:rPr>
        <w:t xml:space="preserve">Outdated funding model </w:t>
      </w:r>
      <w:r w:rsidR="004873EC">
        <w:rPr>
          <w:b/>
        </w:rPr>
        <w:t>–</w:t>
      </w:r>
      <w:r>
        <w:rPr>
          <w:b/>
        </w:rPr>
        <w:t xml:space="preserve"> Secondary Instrumental Music Program  </w:t>
      </w:r>
    </w:p>
    <w:p w14:paraId="602DB166" w14:textId="02FE5C06" w:rsidR="007530C2" w:rsidRDefault="007530C2" w:rsidP="00D34363">
      <w:pPr>
        <w:spacing w:after="640"/>
      </w:pPr>
      <w:r w:rsidRPr="004D7B9E">
        <w:t xml:space="preserve">The Secondary Instrumental Music Program </w:t>
      </w:r>
      <w:r>
        <w:t>(SIMP) funds</w:t>
      </w:r>
      <w:r w:rsidRPr="000E6813">
        <w:t xml:space="preserve"> government secondary schools to</w:t>
      </w:r>
      <w:r>
        <w:t xml:space="preserve"> assist with</w:t>
      </w:r>
      <w:r w:rsidRPr="000E6813">
        <w:t xml:space="preserve"> the</w:t>
      </w:r>
      <w:r>
        <w:t xml:space="preserve"> additional</w:t>
      </w:r>
      <w:r w:rsidRPr="000E6813">
        <w:t xml:space="preserve"> cost of</w:t>
      </w:r>
      <w:r>
        <w:t xml:space="preserve"> running an </w:t>
      </w:r>
      <w:r w:rsidRPr="000E6813">
        <w:t xml:space="preserve">instrumental music </w:t>
      </w:r>
      <w:r>
        <w:t>program</w:t>
      </w:r>
      <w:r w:rsidRPr="000E6813">
        <w:t>.</w:t>
      </w:r>
      <w:r>
        <w:t xml:space="preserve"> The SRP provides funding for core music subjects.</w:t>
      </w:r>
      <w:r w:rsidRPr="000E6813">
        <w:t xml:space="preserve"> </w:t>
      </w:r>
      <w:r w:rsidRPr="50C3A64E">
        <w:rPr>
          <w:rFonts w:eastAsiaTheme="minorEastAsia"/>
        </w:rPr>
        <w:t xml:space="preserve">In 2024, </w:t>
      </w:r>
      <w:r>
        <w:rPr>
          <w:rFonts w:eastAsiaTheme="minorEastAsia"/>
        </w:rPr>
        <w:t xml:space="preserve">the SIMP allocated </w:t>
      </w:r>
      <w:r w:rsidRPr="50C3A64E">
        <w:rPr>
          <w:rFonts w:eastAsiaTheme="minorEastAsia"/>
        </w:rPr>
        <w:t>$37.9</w:t>
      </w:r>
      <w:r w:rsidR="008552FC">
        <w:rPr>
          <w:rFonts w:eastAsiaTheme="minorEastAsia"/>
        </w:rPr>
        <w:t> </w:t>
      </w:r>
      <w:r w:rsidRPr="50C3A64E">
        <w:rPr>
          <w:rFonts w:eastAsiaTheme="minorEastAsia"/>
        </w:rPr>
        <w:t>million to schools.</w:t>
      </w:r>
      <w:r>
        <w:t xml:space="preserve"> Funding </w:t>
      </w:r>
      <w:r w:rsidRPr="004D7B9E">
        <w:t>has not kept pace with enrolment growth</w:t>
      </w:r>
      <w:r>
        <w:t xml:space="preserve"> </w:t>
      </w:r>
      <w:r w:rsidR="007B7FC9" w:rsidRPr="00412D4A">
        <w:t xml:space="preserve">and </w:t>
      </w:r>
      <w:r w:rsidR="007B7FC9" w:rsidRPr="00412D4A">
        <w:t xml:space="preserve">funding </w:t>
      </w:r>
      <w:r w:rsidRPr="00412D4A">
        <w:t>allocations</w:t>
      </w:r>
      <w:r>
        <w:t xml:space="preserve"> are historically based, creating inequitable allocations. That is, around 10 per cent of schools receive 25</w:t>
      </w:r>
      <w:r w:rsidR="005B7E7A">
        <w:t> </w:t>
      </w:r>
      <w:r>
        <w:t xml:space="preserve">per cent of program funding. The Review recommends </w:t>
      </w:r>
      <w:r w:rsidR="002A65C2">
        <w:t>funding to</w:t>
      </w:r>
      <w:r>
        <w:t xml:space="preserve"> the program be ceased, </w:t>
      </w:r>
      <w:r w:rsidRPr="00455808">
        <w:rPr>
          <w:szCs w:val="22"/>
        </w:rPr>
        <w:t xml:space="preserve">with funding redirected to support </w:t>
      </w:r>
      <w:r>
        <w:rPr>
          <w:szCs w:val="22"/>
        </w:rPr>
        <w:t>alternative, higher-priority</w:t>
      </w:r>
      <w:r w:rsidRPr="00455808">
        <w:rPr>
          <w:szCs w:val="22"/>
        </w:rPr>
        <w:t xml:space="preserve"> school needs. </w:t>
      </w:r>
      <w:r>
        <w:rPr>
          <w:szCs w:val="22"/>
        </w:rPr>
        <w:t>Schools could consider alternative sources to fund an instrumental program.</w:t>
      </w:r>
    </w:p>
    <w:p w14:paraId="74DD01BD" w14:textId="77777777" w:rsidR="00042AE7" w:rsidRDefault="00042AE7" w:rsidP="00015F04">
      <w:pPr>
        <w:spacing w:before="60"/>
        <w:rPr>
          <w:b/>
        </w:rPr>
        <w:sectPr w:rsidR="00042AE7" w:rsidSect="00042AE7">
          <w:type w:val="continuous"/>
          <w:pgSz w:w="11906" w:h="16838"/>
          <w:pgMar w:top="1440" w:right="1440" w:bottom="1440" w:left="1440" w:header="708" w:footer="708" w:gutter="0"/>
          <w:cols w:num="2" w:space="708"/>
          <w:docGrid w:linePitch="360"/>
          <w15:footnoteColumns w:val="1"/>
        </w:sectPr>
      </w:pPr>
    </w:p>
    <w:tbl>
      <w:tblPr>
        <w:tblStyle w:val="TableGrid"/>
        <w:tblW w:w="0" w:type="auto"/>
        <w:tblLook w:val="04A0" w:firstRow="1" w:lastRow="0" w:firstColumn="1" w:lastColumn="0" w:noHBand="0" w:noVBand="1"/>
      </w:tblPr>
      <w:tblGrid>
        <w:gridCol w:w="7088"/>
        <w:gridCol w:w="1928"/>
      </w:tblGrid>
      <w:tr w:rsidR="007530C2" w:rsidRPr="00E3228B" w14:paraId="7B62F3E8" w14:textId="77777777" w:rsidTr="00D86662">
        <w:trPr>
          <w:trHeight w:val="471"/>
        </w:trPr>
        <w:tc>
          <w:tcPr>
            <w:tcW w:w="7088" w:type="dxa"/>
            <w:tcBorders>
              <w:left w:val="nil"/>
              <w:bottom w:val="single" w:sz="4" w:space="0" w:color="auto"/>
              <w:right w:val="single" w:sz="18" w:space="0" w:color="FFFFFF" w:themeColor="background1"/>
            </w:tcBorders>
            <w:shd w:val="clear" w:color="auto" w:fill="E7E6E6"/>
          </w:tcPr>
          <w:p w14:paraId="53FB9150" w14:textId="77777777" w:rsidR="007530C2" w:rsidRPr="00F55D05" w:rsidRDefault="007530C2" w:rsidP="00015F04">
            <w:pPr>
              <w:spacing w:before="60"/>
              <w:rPr>
                <w:b/>
              </w:rPr>
            </w:pPr>
            <w:r w:rsidRPr="00F55D05">
              <w:rPr>
                <w:b/>
              </w:rPr>
              <w:t>Recommendation</w:t>
            </w:r>
          </w:p>
        </w:tc>
        <w:tc>
          <w:tcPr>
            <w:tcW w:w="1928" w:type="dxa"/>
            <w:tcBorders>
              <w:left w:val="single" w:sz="18" w:space="0" w:color="FFFFFF" w:themeColor="background1"/>
              <w:bottom w:val="single" w:sz="4" w:space="0" w:color="auto"/>
              <w:right w:val="nil"/>
            </w:tcBorders>
            <w:shd w:val="clear" w:color="auto" w:fill="E7E6E6"/>
          </w:tcPr>
          <w:p w14:paraId="75027C2E" w14:textId="77777777" w:rsidR="007530C2" w:rsidRPr="00F55D05" w:rsidRDefault="007530C2" w:rsidP="00015F04">
            <w:pPr>
              <w:spacing w:before="60"/>
              <w:rPr>
                <w:b/>
              </w:rPr>
            </w:pPr>
            <w:r w:rsidRPr="00F55D05">
              <w:rPr>
                <w:b/>
              </w:rPr>
              <w:t>Savings</w:t>
            </w:r>
          </w:p>
        </w:tc>
      </w:tr>
      <w:tr w:rsidR="007530C2" w:rsidRPr="003764D5" w14:paraId="0666920C" w14:textId="77777777" w:rsidTr="00D86662">
        <w:tc>
          <w:tcPr>
            <w:tcW w:w="7088" w:type="dxa"/>
            <w:tcBorders>
              <w:left w:val="nil"/>
              <w:right w:val="single" w:sz="4" w:space="0" w:color="F2F2F2" w:themeColor="background1" w:themeShade="F2"/>
            </w:tcBorders>
          </w:tcPr>
          <w:p w14:paraId="1E340D95" w14:textId="48EB0E3B" w:rsidR="007530C2" w:rsidRPr="00684575" w:rsidRDefault="007530C2" w:rsidP="009464DB">
            <w:pPr>
              <w:pStyle w:val="ListParagraph"/>
              <w:numPr>
                <w:ilvl w:val="1"/>
                <w:numId w:val="53"/>
              </w:numPr>
              <w:spacing w:before="60" w:after="60" w:line="278" w:lineRule="auto"/>
              <w:ind w:left="567" w:hanging="567"/>
              <w:contextualSpacing w:val="0"/>
            </w:pPr>
            <w:r w:rsidRPr="004D7B9E">
              <w:t>Cease Secondary Instrumental Music Program funding.</w:t>
            </w:r>
          </w:p>
        </w:tc>
        <w:tc>
          <w:tcPr>
            <w:tcW w:w="1928" w:type="dxa"/>
            <w:tcBorders>
              <w:left w:val="single" w:sz="4" w:space="0" w:color="F2F2F2" w:themeColor="background1" w:themeShade="F2"/>
              <w:right w:val="nil"/>
            </w:tcBorders>
          </w:tcPr>
          <w:p w14:paraId="4DF9E22C" w14:textId="03C6DE53" w:rsidR="007530C2" w:rsidRPr="003B7C0B" w:rsidRDefault="007530C2" w:rsidP="009464DB">
            <w:pPr>
              <w:spacing w:before="60" w:after="60"/>
            </w:pPr>
            <w:r w:rsidRPr="004D7B9E">
              <w:t>$1</w:t>
            </w:r>
            <w:r w:rsidR="005E4AD1">
              <w:t>25</w:t>
            </w:r>
            <w:r w:rsidRPr="004D7B9E">
              <w:t>.</w:t>
            </w:r>
            <w:r w:rsidR="005E4AD1">
              <w:t>7</w:t>
            </w:r>
            <w:r w:rsidRPr="004D7B9E">
              <w:t xml:space="preserve"> million over 4 years, </w:t>
            </w:r>
            <w:r>
              <w:t>from</w:t>
            </w:r>
            <w:r w:rsidRPr="004D7B9E">
              <w:t xml:space="preserve"> 2026 calendar year,</w:t>
            </w:r>
            <w:r w:rsidR="00F83ADF">
              <w:t xml:space="preserve"> and </w:t>
            </w:r>
            <w:r w:rsidRPr="004D7B9E">
              <w:t>$38.7</w:t>
            </w:r>
            <w:r w:rsidR="003329BF">
              <w:t> </w:t>
            </w:r>
            <w:r w:rsidRPr="004D7B9E">
              <w:t>million ongoing</w:t>
            </w:r>
            <w:r>
              <w:t>.</w:t>
            </w:r>
          </w:p>
        </w:tc>
      </w:tr>
    </w:tbl>
    <w:p w14:paraId="27FD8498" w14:textId="77777777" w:rsidR="007530C2" w:rsidRDefault="007530C2" w:rsidP="007530C2"/>
    <w:p w14:paraId="6786C36F" w14:textId="77777777" w:rsidR="00D34363" w:rsidRDefault="00D34363" w:rsidP="00744DD7">
      <w:pPr>
        <w:pStyle w:val="Heading4"/>
        <w:spacing w:before="0"/>
        <w:rPr>
          <w:b/>
        </w:rPr>
        <w:sectPr w:rsidR="00D34363" w:rsidSect="00AE6104">
          <w:type w:val="continuous"/>
          <w:pgSz w:w="11906" w:h="16838"/>
          <w:pgMar w:top="1440" w:right="1440" w:bottom="1440" w:left="1440" w:header="708" w:footer="708" w:gutter="0"/>
          <w:cols w:space="708"/>
          <w:docGrid w:linePitch="360"/>
          <w15:footnoteColumns w:val="1"/>
        </w:sectPr>
      </w:pPr>
    </w:p>
    <w:p w14:paraId="43D47178" w14:textId="78A3B23A" w:rsidR="007530C2" w:rsidRDefault="007530C2" w:rsidP="00744DD7">
      <w:pPr>
        <w:pStyle w:val="Heading4"/>
        <w:spacing w:before="0"/>
        <w:rPr>
          <w:b/>
        </w:rPr>
      </w:pPr>
      <w:r>
        <w:rPr>
          <w:b/>
        </w:rPr>
        <w:lastRenderedPageBreak/>
        <w:t xml:space="preserve">Historical funding not achieving outcomes </w:t>
      </w:r>
      <w:r w:rsidR="004873EC">
        <w:rPr>
          <w:b/>
        </w:rPr>
        <w:t>–</w:t>
      </w:r>
      <w:r>
        <w:rPr>
          <w:b/>
        </w:rPr>
        <w:t xml:space="preserve"> Local Learning and Employment Networks </w:t>
      </w:r>
    </w:p>
    <w:p w14:paraId="4811CF8D" w14:textId="165B0C4A" w:rsidR="007530C2" w:rsidRDefault="007530C2" w:rsidP="00D34363">
      <w:pPr>
        <w:spacing w:after="640"/>
      </w:pPr>
      <w:r>
        <w:t>Local Learning and Employment Networks (</w:t>
      </w:r>
      <w:r w:rsidRPr="00026077">
        <w:t>LLENs</w:t>
      </w:r>
      <w:r>
        <w:t>)</w:t>
      </w:r>
      <w:r w:rsidRPr="00026077">
        <w:t xml:space="preserve"> </w:t>
      </w:r>
      <w:r>
        <w:t>were established in around 2001 and</w:t>
      </w:r>
      <w:r w:rsidRPr="005A2A23">
        <w:t xml:space="preserve"> act as an intermediary between schools and industry </w:t>
      </w:r>
      <w:r w:rsidRPr="00026077">
        <w:t xml:space="preserve">to </w:t>
      </w:r>
      <w:r w:rsidRPr="009115DB">
        <w:t xml:space="preserve">connect students with work-based learning opportunities. The Victorian Government currently spends </w:t>
      </w:r>
      <w:r w:rsidRPr="009115DB">
        <w:t>$15</w:t>
      </w:r>
      <w:r w:rsidR="00441004">
        <w:t> </w:t>
      </w:r>
      <w:r w:rsidRPr="009115DB">
        <w:t>million per annum</w:t>
      </w:r>
      <w:r>
        <w:t xml:space="preserve"> on 31 networks. The current model appears</w:t>
      </w:r>
      <w:r w:rsidRPr="00026077">
        <w:t xml:space="preserve"> to </w:t>
      </w:r>
      <w:r>
        <w:t>be inefficient and ineffective, with only a small proportion of all</w:t>
      </w:r>
      <w:r w:rsidRPr="00026077">
        <w:t xml:space="preserve"> placements</w:t>
      </w:r>
      <w:r>
        <w:t xml:space="preserve"> in work-based learning opportunities being the result of LLENs’ work.</w:t>
      </w:r>
      <w:r w:rsidRPr="00026077">
        <w:t xml:space="preserve"> </w:t>
      </w:r>
      <w:r>
        <w:t xml:space="preserve">A </w:t>
      </w:r>
      <w:r w:rsidRPr="00026077">
        <w:t>new</w:t>
      </w:r>
      <w:r>
        <w:t>, cost-effective</w:t>
      </w:r>
      <w:r w:rsidRPr="00026077">
        <w:t xml:space="preserve"> model should be considered to improve school-industry connections.</w:t>
      </w:r>
    </w:p>
    <w:p w14:paraId="38046AC4" w14:textId="77777777" w:rsidR="00D34363" w:rsidRDefault="00D34363" w:rsidP="00015F04">
      <w:pPr>
        <w:spacing w:before="60"/>
        <w:rPr>
          <w:b/>
        </w:rPr>
        <w:sectPr w:rsidR="00D34363" w:rsidSect="00D34363">
          <w:type w:val="continuous"/>
          <w:pgSz w:w="11906" w:h="16838"/>
          <w:pgMar w:top="1440" w:right="1440" w:bottom="1440" w:left="1440" w:header="708" w:footer="708" w:gutter="0"/>
          <w:cols w:num="2" w:space="708"/>
          <w:docGrid w:linePitch="360"/>
          <w15:footnoteColumns w:val="1"/>
        </w:sect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7088"/>
        <w:gridCol w:w="1928"/>
      </w:tblGrid>
      <w:tr w:rsidR="007530C2" w:rsidRPr="00E3228B" w14:paraId="4DCB6CBF" w14:textId="77777777" w:rsidTr="0051505C">
        <w:trPr>
          <w:trHeight w:val="471"/>
        </w:trPr>
        <w:tc>
          <w:tcPr>
            <w:tcW w:w="7088" w:type="dxa"/>
            <w:tcBorders>
              <w:bottom w:val="single" w:sz="4" w:space="0" w:color="auto"/>
              <w:right w:val="single" w:sz="18" w:space="0" w:color="FFFFFF" w:themeColor="background1"/>
            </w:tcBorders>
            <w:shd w:val="clear" w:color="auto" w:fill="E7E6E6"/>
          </w:tcPr>
          <w:p w14:paraId="6E542E95" w14:textId="77777777" w:rsidR="007530C2" w:rsidRPr="00F55D05" w:rsidRDefault="007530C2" w:rsidP="00015F04">
            <w:pPr>
              <w:spacing w:before="60"/>
              <w:rPr>
                <w:b/>
              </w:rPr>
            </w:pPr>
            <w:r w:rsidRPr="00F55D05">
              <w:rPr>
                <w:b/>
              </w:rPr>
              <w:t>Recommendation</w:t>
            </w:r>
          </w:p>
        </w:tc>
        <w:tc>
          <w:tcPr>
            <w:tcW w:w="1928" w:type="dxa"/>
            <w:tcBorders>
              <w:left w:val="single" w:sz="18" w:space="0" w:color="FFFFFF" w:themeColor="background1"/>
              <w:bottom w:val="single" w:sz="4" w:space="0" w:color="auto"/>
            </w:tcBorders>
            <w:shd w:val="clear" w:color="auto" w:fill="E7E6E6"/>
          </w:tcPr>
          <w:p w14:paraId="2E8C0C95" w14:textId="77777777" w:rsidR="007530C2" w:rsidRPr="00F55D05" w:rsidRDefault="007530C2" w:rsidP="00015F04">
            <w:pPr>
              <w:spacing w:before="60"/>
              <w:rPr>
                <w:b/>
              </w:rPr>
            </w:pPr>
            <w:r w:rsidRPr="00F55D05">
              <w:rPr>
                <w:b/>
              </w:rPr>
              <w:t>Savings</w:t>
            </w:r>
          </w:p>
        </w:tc>
      </w:tr>
      <w:tr w:rsidR="007530C2" w:rsidRPr="003764D5" w14:paraId="30167E5E" w14:textId="77777777" w:rsidTr="0051505C">
        <w:tc>
          <w:tcPr>
            <w:tcW w:w="7088" w:type="dxa"/>
            <w:tcBorders>
              <w:right w:val="single" w:sz="4" w:space="0" w:color="F2F2F2" w:themeColor="background1" w:themeShade="F2"/>
            </w:tcBorders>
          </w:tcPr>
          <w:p w14:paraId="1017B335" w14:textId="2BEA7085" w:rsidR="007530C2" w:rsidRPr="00684575" w:rsidRDefault="007530C2" w:rsidP="009464DB">
            <w:pPr>
              <w:pStyle w:val="ListParagraph"/>
              <w:numPr>
                <w:ilvl w:val="1"/>
                <w:numId w:val="53"/>
              </w:numPr>
              <w:spacing w:before="60" w:after="60" w:line="278" w:lineRule="auto"/>
              <w:ind w:left="567" w:hanging="567"/>
              <w:contextualSpacing w:val="0"/>
            </w:pPr>
            <w:r w:rsidRPr="00026077">
              <w:t>Cease</w:t>
            </w:r>
            <w:r w:rsidR="002A65C2">
              <w:t xml:space="preserve"> the</w:t>
            </w:r>
            <w:r w:rsidRPr="00026077">
              <w:t xml:space="preserve"> current funding model for Victoria’s 31 </w:t>
            </w:r>
            <w:r>
              <w:t>Local Learning and Employment Networks</w:t>
            </w:r>
            <w:r w:rsidRPr="00026077">
              <w:t>.</w:t>
            </w:r>
          </w:p>
        </w:tc>
        <w:tc>
          <w:tcPr>
            <w:tcW w:w="1928" w:type="dxa"/>
            <w:tcBorders>
              <w:left w:val="single" w:sz="4" w:space="0" w:color="F2F2F2" w:themeColor="background1" w:themeShade="F2"/>
            </w:tcBorders>
          </w:tcPr>
          <w:p w14:paraId="7842A73B" w14:textId="60ED981C" w:rsidR="007530C2" w:rsidRPr="003764D5" w:rsidRDefault="007530C2" w:rsidP="009464DB">
            <w:pPr>
              <w:spacing w:before="60" w:after="60"/>
              <w:rPr>
                <w:highlight w:val="yellow"/>
              </w:rPr>
            </w:pPr>
            <w:r w:rsidRPr="00026077">
              <w:t xml:space="preserve">$44.4 million over </w:t>
            </w:r>
            <w:r w:rsidR="0019431F">
              <w:t>3</w:t>
            </w:r>
            <w:r>
              <w:t xml:space="preserve"> years</w:t>
            </w:r>
            <w:r w:rsidRPr="00026077">
              <w:t xml:space="preserve"> </w:t>
            </w:r>
            <w:r>
              <w:t>from 202</w:t>
            </w:r>
            <w:r w:rsidR="0019431F">
              <w:t>6</w:t>
            </w:r>
            <w:r>
              <w:t>–2</w:t>
            </w:r>
            <w:r w:rsidR="008172DB">
              <w:t>7</w:t>
            </w:r>
            <w:r w:rsidR="002F75B3">
              <w:t>, and $15</w:t>
            </w:r>
            <w:r w:rsidR="002E305E">
              <w:t> </w:t>
            </w:r>
            <w:r w:rsidR="002F75B3">
              <w:t xml:space="preserve">million </w:t>
            </w:r>
            <w:r w:rsidR="008172DB">
              <w:t>per annum</w:t>
            </w:r>
            <w:r w:rsidR="002F75B3">
              <w:t xml:space="preserve"> ongoing</w:t>
            </w:r>
            <w:r>
              <w:t>.</w:t>
            </w:r>
          </w:p>
        </w:tc>
      </w:tr>
    </w:tbl>
    <w:p w14:paraId="6FDDA69D" w14:textId="77777777" w:rsidR="00A832C7" w:rsidRDefault="00A832C7" w:rsidP="007530C2"/>
    <w:p w14:paraId="0AAA6BC9" w14:textId="77777777" w:rsidR="00186F19" w:rsidRPr="00186F19" w:rsidRDefault="007530C2" w:rsidP="00186F19">
      <w:pPr>
        <w:pStyle w:val="Heading3"/>
      </w:pPr>
      <w:r>
        <w:t>Alternative service delivery model</w:t>
      </w:r>
      <w:r w:rsidR="00A46967">
        <w:t>s</w:t>
      </w:r>
    </w:p>
    <w:p w14:paraId="1C80BB32" w14:textId="77777777" w:rsidR="00D34363" w:rsidRDefault="00D34363" w:rsidP="0073517D">
      <w:pPr>
        <w:pStyle w:val="Heading4"/>
        <w:spacing w:before="0"/>
        <w:rPr>
          <w:b/>
        </w:rPr>
        <w:sectPr w:rsidR="00D34363" w:rsidSect="00AE6104">
          <w:type w:val="continuous"/>
          <w:pgSz w:w="11906" w:h="16838"/>
          <w:pgMar w:top="1440" w:right="1440" w:bottom="1440" w:left="1440" w:header="708" w:footer="708" w:gutter="0"/>
          <w:cols w:space="708"/>
          <w:docGrid w:linePitch="360"/>
          <w15:footnoteColumns w:val="1"/>
        </w:sectPr>
      </w:pPr>
    </w:p>
    <w:p w14:paraId="4D951902" w14:textId="27052007" w:rsidR="007530C2" w:rsidRPr="008D19BE" w:rsidRDefault="007530C2" w:rsidP="0073517D">
      <w:pPr>
        <w:pStyle w:val="Heading4"/>
        <w:spacing w:before="0"/>
        <w:rPr>
          <w:b/>
        </w:rPr>
      </w:pPr>
      <w:r>
        <w:rPr>
          <w:b/>
        </w:rPr>
        <w:t xml:space="preserve">Better targeting need </w:t>
      </w:r>
      <w:r w:rsidR="004873EC">
        <w:rPr>
          <w:b/>
        </w:rPr>
        <w:t>–</w:t>
      </w:r>
      <w:r>
        <w:rPr>
          <w:b/>
        </w:rPr>
        <w:t xml:space="preserve"> English as an Additional Language program for students </w:t>
      </w:r>
    </w:p>
    <w:p w14:paraId="6A481156" w14:textId="1606F705" w:rsidR="007530C2" w:rsidRDefault="007530C2" w:rsidP="00D34363">
      <w:pPr>
        <w:spacing w:after="640"/>
      </w:pPr>
      <w:r w:rsidRPr="00026077">
        <w:t xml:space="preserve">The </w:t>
      </w:r>
      <w:r>
        <w:t>English as an Additional Language (</w:t>
      </w:r>
      <w:r w:rsidRPr="00026077">
        <w:t>EAL</w:t>
      </w:r>
      <w:r>
        <w:t>)</w:t>
      </w:r>
      <w:r w:rsidRPr="00026077">
        <w:t xml:space="preserve"> program supports schools to assist students developing English language skills</w:t>
      </w:r>
      <w:r>
        <w:t xml:space="preserve">. </w:t>
      </w:r>
      <w:r w:rsidRPr="004B45AA">
        <w:rPr>
          <w:lang w:val="en-US"/>
        </w:rPr>
        <w:t xml:space="preserve">The </w:t>
      </w:r>
      <w:r>
        <w:rPr>
          <w:lang w:val="en-US"/>
        </w:rPr>
        <w:t>program cost $192 million</w:t>
      </w:r>
      <w:r w:rsidRPr="004B45AA">
        <w:rPr>
          <w:lang w:val="en-US"/>
        </w:rPr>
        <w:t xml:space="preserve"> in 2024-25.</w:t>
      </w:r>
      <w:r w:rsidRPr="00026077">
        <w:t xml:space="preserve"> </w:t>
      </w:r>
      <w:r>
        <w:t>The Review understands previous</w:t>
      </w:r>
      <w:r w:rsidRPr="00026077">
        <w:t xml:space="preserve"> review</w:t>
      </w:r>
      <w:r>
        <w:t>s have</w:t>
      </w:r>
      <w:r w:rsidRPr="00026077">
        <w:t xml:space="preserve"> found</w:t>
      </w:r>
      <w:r>
        <w:t xml:space="preserve"> that</w:t>
      </w:r>
      <w:r w:rsidRPr="00026077">
        <w:t xml:space="preserve"> the curr</w:t>
      </w:r>
      <w:r>
        <w:t>ent</w:t>
      </w:r>
      <w:r w:rsidRPr="00026077">
        <w:t xml:space="preserve"> funding model </w:t>
      </w:r>
      <w:r>
        <w:t>does not</w:t>
      </w:r>
      <w:r w:rsidRPr="00026077">
        <w:t xml:space="preserve"> target need</w:t>
      </w:r>
      <w:r>
        <w:t xml:space="preserve"> </w:t>
      </w:r>
      <w:r w:rsidRPr="00A15A53">
        <w:t>as effectively as it could</w:t>
      </w:r>
      <w:r w:rsidRPr="00026077">
        <w:t>,</w:t>
      </w:r>
      <w:r>
        <w:t xml:space="preserve"> and that</w:t>
      </w:r>
      <w:r w:rsidRPr="00026077">
        <w:t xml:space="preserve"> transitioning to a proficiency-based </w:t>
      </w:r>
      <w:r>
        <w:t xml:space="preserve">funding </w:t>
      </w:r>
      <w:r w:rsidRPr="00026077">
        <w:t xml:space="preserve">model </w:t>
      </w:r>
      <w:r w:rsidR="003E4FE0" w:rsidRPr="00A91E05">
        <w:t>w</w:t>
      </w:r>
      <w:r w:rsidRPr="00A91E05">
        <w:t>ould</w:t>
      </w:r>
      <w:r w:rsidRPr="00026077">
        <w:t xml:space="preserve"> improve </w:t>
      </w:r>
      <w:r>
        <w:t xml:space="preserve">efficiency and </w:t>
      </w:r>
      <w:r w:rsidRPr="00026077">
        <w:t>effectiveness.</w:t>
      </w:r>
      <w:r>
        <w:t xml:space="preserve"> </w:t>
      </w:r>
    </w:p>
    <w:p w14:paraId="119A266A" w14:textId="77777777" w:rsidR="00D34363" w:rsidRDefault="00D34363" w:rsidP="00015F04">
      <w:pPr>
        <w:spacing w:before="60"/>
        <w:rPr>
          <w:b/>
        </w:rPr>
        <w:sectPr w:rsidR="00D34363" w:rsidSect="00D34363">
          <w:type w:val="continuous"/>
          <w:pgSz w:w="11906" w:h="16838"/>
          <w:pgMar w:top="1440" w:right="1440" w:bottom="1440" w:left="1440" w:header="708" w:footer="708" w:gutter="0"/>
          <w:cols w:num="2" w:space="708"/>
          <w:docGrid w:linePitch="360"/>
          <w15:footnoteColumns w:val="1"/>
        </w:sectPr>
      </w:pPr>
    </w:p>
    <w:tbl>
      <w:tblPr>
        <w:tblStyle w:val="TableGrid"/>
        <w:tblW w:w="0" w:type="auto"/>
        <w:tblLook w:val="04A0" w:firstRow="1" w:lastRow="0" w:firstColumn="1" w:lastColumn="0" w:noHBand="0" w:noVBand="1"/>
      </w:tblPr>
      <w:tblGrid>
        <w:gridCol w:w="7088"/>
        <w:gridCol w:w="1928"/>
      </w:tblGrid>
      <w:tr w:rsidR="007530C2" w:rsidRPr="00E3228B" w14:paraId="1D9137AA" w14:textId="77777777" w:rsidTr="0051505C">
        <w:trPr>
          <w:trHeight w:val="471"/>
        </w:trPr>
        <w:tc>
          <w:tcPr>
            <w:tcW w:w="7088" w:type="dxa"/>
            <w:tcBorders>
              <w:left w:val="nil"/>
              <w:right w:val="single" w:sz="18" w:space="0" w:color="FFFFFF" w:themeColor="background1"/>
            </w:tcBorders>
            <w:shd w:val="clear" w:color="auto" w:fill="E7E6E6"/>
          </w:tcPr>
          <w:p w14:paraId="69CE0E32" w14:textId="77777777" w:rsidR="007530C2" w:rsidRPr="00F55D05" w:rsidRDefault="007530C2" w:rsidP="00015F04">
            <w:pPr>
              <w:spacing w:before="60"/>
              <w:rPr>
                <w:b/>
              </w:rPr>
            </w:pPr>
            <w:r w:rsidRPr="00F55D05">
              <w:rPr>
                <w:b/>
              </w:rPr>
              <w:t>Recommendation</w:t>
            </w:r>
          </w:p>
        </w:tc>
        <w:tc>
          <w:tcPr>
            <w:tcW w:w="1928" w:type="dxa"/>
            <w:tcBorders>
              <w:left w:val="single" w:sz="18" w:space="0" w:color="FFFFFF" w:themeColor="background1"/>
              <w:right w:val="nil"/>
            </w:tcBorders>
            <w:shd w:val="clear" w:color="auto" w:fill="E7E6E6"/>
          </w:tcPr>
          <w:p w14:paraId="21037AF8" w14:textId="77777777" w:rsidR="007530C2" w:rsidRPr="00F55D05" w:rsidRDefault="007530C2" w:rsidP="00015F04">
            <w:pPr>
              <w:spacing w:before="60"/>
              <w:rPr>
                <w:b/>
              </w:rPr>
            </w:pPr>
            <w:r w:rsidRPr="00F55D05">
              <w:rPr>
                <w:b/>
              </w:rPr>
              <w:t>Savings</w:t>
            </w:r>
          </w:p>
        </w:tc>
      </w:tr>
      <w:tr w:rsidR="007530C2" w:rsidRPr="003764D5" w14:paraId="48B50F5A" w14:textId="77777777" w:rsidTr="0051505C">
        <w:tc>
          <w:tcPr>
            <w:tcW w:w="7088" w:type="dxa"/>
            <w:tcBorders>
              <w:left w:val="nil"/>
              <w:right w:val="single" w:sz="4" w:space="0" w:color="F2F2F2" w:themeColor="background1" w:themeShade="F2"/>
            </w:tcBorders>
          </w:tcPr>
          <w:p w14:paraId="671137BE" w14:textId="5E28B30D" w:rsidR="007530C2" w:rsidRPr="00684575" w:rsidRDefault="007530C2" w:rsidP="009464DB">
            <w:pPr>
              <w:pStyle w:val="ListParagraph"/>
              <w:numPr>
                <w:ilvl w:val="1"/>
                <w:numId w:val="53"/>
              </w:numPr>
              <w:spacing w:before="60" w:after="60" w:line="278" w:lineRule="auto"/>
              <w:ind w:left="567" w:hanging="567"/>
              <w:contextualSpacing w:val="0"/>
            </w:pPr>
            <w:r w:rsidRPr="00026077">
              <w:t xml:space="preserve">Change the funding model for </w:t>
            </w:r>
            <w:r w:rsidR="003E4FE0" w:rsidRPr="00A15A53">
              <w:t>the</w:t>
            </w:r>
            <w:r w:rsidR="003E4FE0">
              <w:t xml:space="preserve"> </w:t>
            </w:r>
            <w:r w:rsidRPr="00026077">
              <w:t xml:space="preserve">English as an Additional </w:t>
            </w:r>
            <w:r w:rsidR="0051505C">
              <w:br/>
            </w:r>
            <w:r w:rsidRPr="00026077">
              <w:t xml:space="preserve">Language program from a proxy-based funding model to a </w:t>
            </w:r>
            <w:r w:rsidR="0051505C">
              <w:br/>
            </w:r>
            <w:r w:rsidRPr="00026077">
              <w:t>student proficiency-based funding model.</w:t>
            </w:r>
          </w:p>
        </w:tc>
        <w:tc>
          <w:tcPr>
            <w:tcW w:w="1928" w:type="dxa"/>
            <w:tcBorders>
              <w:left w:val="single" w:sz="4" w:space="0" w:color="F2F2F2" w:themeColor="background1" w:themeShade="F2"/>
              <w:right w:val="nil"/>
            </w:tcBorders>
          </w:tcPr>
          <w:p w14:paraId="1A945CB3" w14:textId="19075CB9" w:rsidR="007530C2" w:rsidRPr="003764D5" w:rsidRDefault="007530C2" w:rsidP="009464DB">
            <w:pPr>
              <w:spacing w:before="60" w:after="60"/>
              <w:rPr>
                <w:highlight w:val="yellow"/>
              </w:rPr>
            </w:pPr>
            <w:r w:rsidRPr="00026077">
              <w:t>$1</w:t>
            </w:r>
            <w:r w:rsidR="00F13C9B">
              <w:t>2</w:t>
            </w:r>
            <w:r w:rsidRPr="00026077">
              <w:t>5.</w:t>
            </w:r>
            <w:r w:rsidR="00E6772A">
              <w:t>5</w:t>
            </w:r>
            <w:r w:rsidRPr="00026077">
              <w:t xml:space="preserve"> million over </w:t>
            </w:r>
            <w:r>
              <w:t>4</w:t>
            </w:r>
            <w:r w:rsidRPr="00026077">
              <w:t xml:space="preserve"> years from 2025</w:t>
            </w:r>
            <w:r>
              <w:t>–</w:t>
            </w:r>
            <w:r w:rsidRPr="00026077">
              <w:t>26, and $44.</w:t>
            </w:r>
            <w:r>
              <w:t>5</w:t>
            </w:r>
            <w:r w:rsidR="003329BF">
              <w:t> </w:t>
            </w:r>
            <w:r w:rsidRPr="00026077">
              <w:t xml:space="preserve">million </w:t>
            </w:r>
            <w:r>
              <w:t>per annum</w:t>
            </w:r>
            <w:r w:rsidRPr="00026077">
              <w:t xml:space="preserve"> ongoing.</w:t>
            </w:r>
          </w:p>
        </w:tc>
      </w:tr>
    </w:tbl>
    <w:p w14:paraId="6A3D88C6" w14:textId="77777777" w:rsidR="00F321A1" w:rsidRDefault="00F321A1" w:rsidP="00F61476"/>
    <w:p w14:paraId="5CC425E2" w14:textId="77777777" w:rsidR="00B9412B" w:rsidRDefault="00B9412B" w:rsidP="00B9412B">
      <w:pPr>
        <w:pStyle w:val="Heading3"/>
        <w:numPr>
          <w:ilvl w:val="0"/>
          <w:numId w:val="0"/>
        </w:numPr>
        <w:spacing w:before="0"/>
      </w:pPr>
      <w:r>
        <w:br w:type="page"/>
      </w:r>
    </w:p>
    <w:p w14:paraId="1C3E7FCD" w14:textId="77777777" w:rsidR="00186F19" w:rsidRPr="00186F19" w:rsidRDefault="00A46967" w:rsidP="00186F19">
      <w:pPr>
        <w:pStyle w:val="Heading3"/>
      </w:pPr>
      <w:r>
        <w:lastRenderedPageBreak/>
        <w:t>Reducing d</w:t>
      </w:r>
      <w:r w:rsidR="007530C2">
        <w:t>uplication</w:t>
      </w:r>
    </w:p>
    <w:p w14:paraId="61C05B4A" w14:textId="77777777" w:rsidR="00D34363" w:rsidRDefault="00D34363" w:rsidP="00677CA7">
      <w:pPr>
        <w:pStyle w:val="Heading4"/>
        <w:spacing w:before="0"/>
        <w:rPr>
          <w:b/>
        </w:rPr>
        <w:sectPr w:rsidR="00D34363" w:rsidSect="00AE6104">
          <w:type w:val="continuous"/>
          <w:pgSz w:w="11906" w:h="16838"/>
          <w:pgMar w:top="1440" w:right="1440" w:bottom="1440" w:left="1440" w:header="708" w:footer="708" w:gutter="0"/>
          <w:cols w:space="708"/>
          <w:docGrid w:linePitch="360"/>
          <w15:footnoteColumns w:val="1"/>
        </w:sectPr>
      </w:pPr>
    </w:p>
    <w:p w14:paraId="4E147110" w14:textId="3F182489" w:rsidR="007530C2" w:rsidRPr="003A63A2" w:rsidRDefault="005326A6" w:rsidP="00677CA7">
      <w:pPr>
        <w:pStyle w:val="Heading4"/>
        <w:spacing w:before="0"/>
        <w:rPr>
          <w:b/>
        </w:rPr>
      </w:pPr>
      <w:r>
        <w:rPr>
          <w:b/>
        </w:rPr>
        <w:t xml:space="preserve">Overlapping with a Commonwealth responsibility – </w:t>
      </w:r>
      <w:r w:rsidR="007530C2">
        <w:rPr>
          <w:b/>
        </w:rPr>
        <w:t xml:space="preserve">Doctors in Secondary Schools </w:t>
      </w:r>
    </w:p>
    <w:p w14:paraId="01425E30" w14:textId="5D24C272" w:rsidR="007530C2" w:rsidRPr="00A200BD" w:rsidRDefault="007530C2" w:rsidP="007530C2">
      <w:pPr>
        <w:rPr>
          <w:rFonts w:ascii="Aptos" w:eastAsia="Aptos" w:hAnsi="Aptos" w:cs="Aptos"/>
          <w:color w:val="000000" w:themeColor="text1"/>
        </w:rPr>
      </w:pPr>
      <w:r>
        <w:rPr>
          <w:rFonts w:ascii="Aptos" w:eastAsia="Aptos" w:hAnsi="Aptos" w:cs="Aptos"/>
          <w:color w:val="000000" w:themeColor="text1"/>
        </w:rPr>
        <w:t>The Victorian Government established t</w:t>
      </w:r>
      <w:r w:rsidRPr="73CF0A74">
        <w:rPr>
          <w:rFonts w:ascii="Aptos" w:eastAsia="Aptos" w:hAnsi="Aptos" w:cs="Aptos"/>
          <w:color w:val="000000" w:themeColor="text1"/>
        </w:rPr>
        <w:t xml:space="preserve">he </w:t>
      </w:r>
      <w:r>
        <w:rPr>
          <w:rFonts w:ascii="Aptos" w:eastAsia="Aptos" w:hAnsi="Aptos" w:cs="Aptos"/>
          <w:color w:val="000000" w:themeColor="text1"/>
        </w:rPr>
        <w:t>Doctors in Secondary Schools (</w:t>
      </w:r>
      <w:proofErr w:type="spellStart"/>
      <w:r>
        <w:rPr>
          <w:rFonts w:ascii="Aptos" w:eastAsia="Aptos" w:hAnsi="Aptos" w:cs="Aptos"/>
          <w:color w:val="000000" w:themeColor="text1"/>
        </w:rPr>
        <w:t>D</w:t>
      </w:r>
      <w:r w:rsidR="00EC2D45">
        <w:rPr>
          <w:rFonts w:ascii="Aptos" w:eastAsia="Aptos" w:hAnsi="Aptos" w:cs="Aptos"/>
          <w:color w:val="000000" w:themeColor="text1"/>
        </w:rPr>
        <w:t>i</w:t>
      </w:r>
      <w:r>
        <w:rPr>
          <w:rFonts w:ascii="Aptos" w:eastAsia="Aptos" w:hAnsi="Aptos" w:cs="Aptos"/>
          <w:color w:val="000000" w:themeColor="text1"/>
        </w:rPr>
        <w:t>SS</w:t>
      </w:r>
      <w:proofErr w:type="spellEnd"/>
      <w:r>
        <w:rPr>
          <w:rFonts w:ascii="Aptos" w:eastAsia="Aptos" w:hAnsi="Aptos" w:cs="Aptos"/>
          <w:color w:val="000000" w:themeColor="text1"/>
        </w:rPr>
        <w:t xml:space="preserve">) </w:t>
      </w:r>
      <w:r w:rsidRPr="73CF0A74">
        <w:rPr>
          <w:rFonts w:ascii="Aptos" w:eastAsia="Aptos" w:hAnsi="Aptos" w:cs="Aptos"/>
          <w:color w:val="000000" w:themeColor="text1"/>
        </w:rPr>
        <w:t>program in 2017</w:t>
      </w:r>
      <w:r>
        <w:rPr>
          <w:rFonts w:ascii="Aptos" w:eastAsia="Aptos" w:hAnsi="Aptos" w:cs="Aptos"/>
          <w:color w:val="000000" w:themeColor="text1"/>
        </w:rPr>
        <w:t xml:space="preserve"> to </w:t>
      </w:r>
      <w:r w:rsidRPr="73CF0A74">
        <w:rPr>
          <w:rFonts w:ascii="Aptos" w:eastAsia="Aptos" w:hAnsi="Aptos" w:cs="Aptos"/>
          <w:color w:val="000000" w:themeColor="text1"/>
        </w:rPr>
        <w:t>provid</w:t>
      </w:r>
      <w:r>
        <w:rPr>
          <w:rFonts w:ascii="Aptos" w:eastAsia="Aptos" w:hAnsi="Aptos" w:cs="Aptos"/>
          <w:color w:val="000000" w:themeColor="text1"/>
        </w:rPr>
        <w:t>e</w:t>
      </w:r>
      <w:r w:rsidRPr="73CF0A74">
        <w:rPr>
          <w:rFonts w:ascii="Aptos" w:eastAsia="Aptos" w:hAnsi="Aptos" w:cs="Aptos"/>
          <w:color w:val="000000" w:themeColor="text1"/>
        </w:rPr>
        <w:t xml:space="preserve"> free primary </w:t>
      </w:r>
      <w:r w:rsidRPr="00201549">
        <w:rPr>
          <w:rFonts w:ascii="Aptos" w:eastAsia="Aptos" w:hAnsi="Aptos" w:cs="Aptos"/>
          <w:color w:val="000000" w:themeColor="text1"/>
        </w:rPr>
        <w:t>health</w:t>
      </w:r>
      <w:r w:rsidR="00573E3E" w:rsidRPr="00201549">
        <w:rPr>
          <w:rFonts w:ascii="Aptos" w:eastAsia="Aptos" w:hAnsi="Aptos" w:cs="Aptos"/>
          <w:color w:val="000000" w:themeColor="text1"/>
        </w:rPr>
        <w:t xml:space="preserve"> </w:t>
      </w:r>
      <w:r w:rsidRPr="00201549">
        <w:rPr>
          <w:rFonts w:ascii="Aptos" w:eastAsia="Aptos" w:hAnsi="Aptos" w:cs="Aptos"/>
          <w:color w:val="000000" w:themeColor="text1"/>
        </w:rPr>
        <w:t>care</w:t>
      </w:r>
      <w:r w:rsidRPr="73CF0A74">
        <w:rPr>
          <w:rFonts w:ascii="Aptos" w:eastAsia="Aptos" w:hAnsi="Aptos" w:cs="Aptos"/>
          <w:color w:val="000000" w:themeColor="text1"/>
        </w:rPr>
        <w:t xml:space="preserve"> services to students through GP consultation facilities</w:t>
      </w:r>
      <w:r>
        <w:rPr>
          <w:rFonts w:ascii="Aptos" w:eastAsia="Aptos" w:hAnsi="Aptos" w:cs="Aptos"/>
          <w:color w:val="000000" w:themeColor="text1"/>
        </w:rPr>
        <w:t xml:space="preserve"> </w:t>
      </w:r>
      <w:r w:rsidRPr="73CF0A74">
        <w:rPr>
          <w:rFonts w:ascii="Aptos" w:eastAsia="Aptos" w:hAnsi="Aptos" w:cs="Aptos"/>
          <w:color w:val="000000" w:themeColor="text1"/>
        </w:rPr>
        <w:t xml:space="preserve">in 100 government secondary </w:t>
      </w:r>
      <w:r w:rsidRPr="00FA5725">
        <w:rPr>
          <w:rFonts w:ascii="Aptos" w:eastAsia="Aptos" w:hAnsi="Aptos" w:cs="Aptos"/>
          <w:color w:val="000000" w:themeColor="text1"/>
        </w:rPr>
        <w:t xml:space="preserve">schools. The </w:t>
      </w:r>
      <w:proofErr w:type="spellStart"/>
      <w:r w:rsidRPr="00FA5725">
        <w:rPr>
          <w:rFonts w:ascii="Aptos" w:eastAsia="Aptos" w:hAnsi="Aptos" w:cs="Aptos"/>
          <w:color w:val="000000" w:themeColor="text1"/>
        </w:rPr>
        <w:t>D</w:t>
      </w:r>
      <w:r w:rsidR="00EC2D45">
        <w:rPr>
          <w:rFonts w:ascii="Aptos" w:eastAsia="Aptos" w:hAnsi="Aptos" w:cs="Aptos"/>
          <w:color w:val="000000" w:themeColor="text1"/>
        </w:rPr>
        <w:t>i</w:t>
      </w:r>
      <w:r w:rsidRPr="00FA5725">
        <w:rPr>
          <w:rFonts w:ascii="Aptos" w:eastAsia="Aptos" w:hAnsi="Aptos" w:cs="Aptos"/>
          <w:color w:val="000000" w:themeColor="text1"/>
        </w:rPr>
        <w:t>SS</w:t>
      </w:r>
      <w:proofErr w:type="spellEnd"/>
      <w:r>
        <w:rPr>
          <w:rFonts w:ascii="Aptos" w:eastAsia="Aptos" w:hAnsi="Aptos" w:cs="Aptos"/>
          <w:color w:val="000000" w:themeColor="text1"/>
        </w:rPr>
        <w:t xml:space="preserve"> </w:t>
      </w:r>
      <w:r w:rsidRPr="00FA5725">
        <w:rPr>
          <w:rFonts w:ascii="Aptos" w:eastAsia="Aptos" w:hAnsi="Aptos" w:cs="Aptos"/>
          <w:color w:val="000000" w:themeColor="text1"/>
        </w:rPr>
        <w:t>program received ongoing funding of around $12</w:t>
      </w:r>
      <w:r w:rsidR="002A43D5">
        <w:rPr>
          <w:rFonts w:ascii="Aptos" w:eastAsia="Aptos" w:hAnsi="Aptos" w:cs="Aptos"/>
          <w:color w:val="000000" w:themeColor="text1"/>
        </w:rPr>
        <w:t> </w:t>
      </w:r>
      <w:r w:rsidRPr="00FA5725">
        <w:rPr>
          <w:rFonts w:ascii="Aptos" w:eastAsia="Aptos" w:hAnsi="Aptos" w:cs="Aptos"/>
          <w:color w:val="000000" w:themeColor="text1"/>
        </w:rPr>
        <w:t>million per annum through the 2021/22</w:t>
      </w:r>
      <w:r w:rsidR="002A43D5">
        <w:rPr>
          <w:rFonts w:ascii="Aptos" w:eastAsia="Aptos" w:hAnsi="Aptos" w:cs="Aptos"/>
          <w:color w:val="000000" w:themeColor="text1"/>
        </w:rPr>
        <w:t> </w:t>
      </w:r>
      <w:r w:rsidRPr="00FA5725">
        <w:rPr>
          <w:rFonts w:ascii="Aptos" w:eastAsia="Aptos" w:hAnsi="Aptos" w:cs="Aptos"/>
          <w:color w:val="000000" w:themeColor="text1"/>
        </w:rPr>
        <w:t>Budget.</w:t>
      </w:r>
      <w:r w:rsidRPr="00FA5725" w:rsidDel="004A5914">
        <w:rPr>
          <w:rStyle w:val="FootnoteReference"/>
        </w:rPr>
        <w:t xml:space="preserve"> </w:t>
      </w:r>
    </w:p>
    <w:p w14:paraId="6A241613" w14:textId="77777777" w:rsidR="007530C2" w:rsidRDefault="007530C2" w:rsidP="007530C2">
      <w:r>
        <w:t xml:space="preserve">This initiative was initiated in response to lack of access to primary care for young </w:t>
      </w:r>
      <w:r>
        <w:t xml:space="preserve">people in some areas of the state. Schools were identified as the platform to reach young people easily.  </w:t>
      </w:r>
    </w:p>
    <w:p w14:paraId="056FD16A" w14:textId="0AFDA338" w:rsidR="007530C2" w:rsidRPr="00453F1B" w:rsidRDefault="007530C2" w:rsidP="00883507">
      <w:pPr>
        <w:pStyle w:val="FootnoteText"/>
        <w:spacing w:after="360" w:line="278" w:lineRule="auto"/>
        <w:rPr>
          <w:sz w:val="22"/>
          <w:szCs w:val="22"/>
        </w:rPr>
      </w:pPr>
      <w:r>
        <w:rPr>
          <w:sz w:val="22"/>
          <w:szCs w:val="22"/>
        </w:rPr>
        <w:t>T</w:t>
      </w:r>
      <w:r w:rsidRPr="00A84CA5">
        <w:rPr>
          <w:sz w:val="22"/>
          <w:szCs w:val="22"/>
        </w:rPr>
        <w:t>he Commonwealth</w:t>
      </w:r>
      <w:r>
        <w:rPr>
          <w:sz w:val="22"/>
          <w:szCs w:val="22"/>
        </w:rPr>
        <w:t xml:space="preserve"> has recently committed to additional investment</w:t>
      </w:r>
      <w:r w:rsidRPr="00A84CA5">
        <w:rPr>
          <w:sz w:val="22"/>
          <w:szCs w:val="22"/>
        </w:rPr>
        <w:t xml:space="preserve"> in primary health care</w:t>
      </w:r>
      <w:r>
        <w:rPr>
          <w:sz w:val="22"/>
          <w:szCs w:val="22"/>
        </w:rPr>
        <w:t xml:space="preserve"> – providing</w:t>
      </w:r>
      <w:r w:rsidRPr="00A84CA5">
        <w:rPr>
          <w:sz w:val="22"/>
          <w:szCs w:val="22"/>
        </w:rPr>
        <w:t xml:space="preserve"> access to free health advice and after-hours GP telehealth services and tripling the number of fully bulk billed </w:t>
      </w:r>
      <w:r w:rsidR="003E6A8C">
        <w:rPr>
          <w:sz w:val="22"/>
          <w:szCs w:val="22"/>
        </w:rPr>
        <w:t>GP</w:t>
      </w:r>
      <w:r w:rsidRPr="00A84CA5">
        <w:rPr>
          <w:sz w:val="22"/>
          <w:szCs w:val="22"/>
        </w:rPr>
        <w:t xml:space="preserve"> practices to arou</w:t>
      </w:r>
      <w:r w:rsidRPr="00453F1B">
        <w:rPr>
          <w:sz w:val="22"/>
          <w:szCs w:val="22"/>
        </w:rPr>
        <w:t>nd 4,800 nationally.</w:t>
      </w:r>
      <w:r w:rsidRPr="00453F1B">
        <w:rPr>
          <w:rStyle w:val="FootnoteReference"/>
          <w:sz w:val="22"/>
          <w:szCs w:val="22"/>
        </w:rPr>
        <w:t xml:space="preserve"> </w:t>
      </w:r>
      <w:r w:rsidRPr="00453F1B">
        <w:rPr>
          <w:sz w:val="22"/>
          <w:szCs w:val="22"/>
        </w:rPr>
        <w:t>This will provide greater access to GP services, including for young people. This presents an opportunity for Victoria to transition out of funding this area of Commonwealth responsibility.</w:t>
      </w:r>
    </w:p>
    <w:p w14:paraId="2B7B1B39" w14:textId="77777777" w:rsidR="00D34363" w:rsidRDefault="00D34363" w:rsidP="00015F04">
      <w:pPr>
        <w:spacing w:before="60"/>
        <w:rPr>
          <w:b/>
        </w:rPr>
        <w:sectPr w:rsidR="00D34363" w:rsidSect="00D34363">
          <w:type w:val="continuous"/>
          <w:pgSz w:w="11906" w:h="16838"/>
          <w:pgMar w:top="1440" w:right="1440" w:bottom="1440" w:left="1440" w:header="708" w:footer="708" w:gutter="0"/>
          <w:cols w:num="2" w:space="708"/>
          <w:docGrid w:linePitch="360"/>
          <w15:footnoteColumns w:val="1"/>
        </w:sectPr>
      </w:pPr>
    </w:p>
    <w:tbl>
      <w:tblPr>
        <w:tblStyle w:val="TableGrid"/>
        <w:tblW w:w="9014" w:type="dxa"/>
        <w:tblLook w:val="04A0" w:firstRow="1" w:lastRow="0" w:firstColumn="1" w:lastColumn="0" w:noHBand="0" w:noVBand="1"/>
      </w:tblPr>
      <w:tblGrid>
        <w:gridCol w:w="7223"/>
        <w:gridCol w:w="1791"/>
      </w:tblGrid>
      <w:tr w:rsidR="007530C2" w:rsidRPr="00E3228B" w14:paraId="4E1800FD" w14:textId="77777777" w:rsidTr="00350480">
        <w:tc>
          <w:tcPr>
            <w:tcW w:w="7223" w:type="dxa"/>
            <w:tcBorders>
              <w:left w:val="nil"/>
              <w:bottom w:val="single" w:sz="4" w:space="0" w:color="auto"/>
              <w:right w:val="single" w:sz="18" w:space="0" w:color="FFFFFF" w:themeColor="background1"/>
            </w:tcBorders>
            <w:shd w:val="clear" w:color="auto" w:fill="E7E6E6"/>
          </w:tcPr>
          <w:p w14:paraId="2DC18DC6" w14:textId="77777777" w:rsidR="007530C2" w:rsidRPr="00A61CB7" w:rsidRDefault="007530C2" w:rsidP="00015F04">
            <w:pPr>
              <w:spacing w:before="60" w:after="160" w:line="278" w:lineRule="auto"/>
              <w:rPr>
                <w:b/>
              </w:rPr>
            </w:pPr>
            <w:r w:rsidRPr="00A61CB7">
              <w:rPr>
                <w:b/>
              </w:rPr>
              <w:t>Recommendation</w:t>
            </w:r>
          </w:p>
        </w:tc>
        <w:tc>
          <w:tcPr>
            <w:tcW w:w="1791" w:type="dxa"/>
            <w:tcBorders>
              <w:left w:val="single" w:sz="18" w:space="0" w:color="FFFFFF" w:themeColor="background1"/>
              <w:bottom w:val="single" w:sz="4" w:space="0" w:color="auto"/>
              <w:right w:val="nil"/>
            </w:tcBorders>
            <w:shd w:val="clear" w:color="auto" w:fill="E7E6E6"/>
          </w:tcPr>
          <w:p w14:paraId="7568BC98" w14:textId="77777777" w:rsidR="007530C2" w:rsidRPr="00A61CB7" w:rsidRDefault="007530C2" w:rsidP="00015F04">
            <w:pPr>
              <w:spacing w:before="60" w:after="160" w:line="278" w:lineRule="auto"/>
              <w:rPr>
                <w:b/>
              </w:rPr>
            </w:pPr>
            <w:r w:rsidRPr="00A61CB7">
              <w:rPr>
                <w:b/>
              </w:rPr>
              <w:t>Savings</w:t>
            </w:r>
          </w:p>
        </w:tc>
      </w:tr>
      <w:tr w:rsidR="007530C2" w:rsidRPr="00EE311B" w14:paraId="00C754B9" w14:textId="77777777" w:rsidTr="00824231">
        <w:trPr>
          <w:trHeight w:val="980"/>
        </w:trPr>
        <w:tc>
          <w:tcPr>
            <w:tcW w:w="7223" w:type="dxa"/>
            <w:tcBorders>
              <w:left w:val="nil"/>
              <w:right w:val="single" w:sz="4" w:space="0" w:color="F2F2F2" w:themeColor="background1" w:themeShade="F2"/>
            </w:tcBorders>
          </w:tcPr>
          <w:p w14:paraId="09EAC7CD" w14:textId="77777777" w:rsidR="007530C2" w:rsidRDefault="007530C2" w:rsidP="009464DB">
            <w:pPr>
              <w:pStyle w:val="ListParagraph"/>
              <w:numPr>
                <w:ilvl w:val="1"/>
                <w:numId w:val="53"/>
              </w:numPr>
              <w:spacing w:before="60" w:afterLines="60" w:after="144"/>
              <w:ind w:left="567" w:hanging="567"/>
              <w:contextualSpacing w:val="0"/>
            </w:pPr>
            <w:r>
              <w:t>Cease the Doctors in Secondary Schools program.</w:t>
            </w:r>
          </w:p>
        </w:tc>
        <w:tc>
          <w:tcPr>
            <w:tcW w:w="1791" w:type="dxa"/>
            <w:tcBorders>
              <w:left w:val="single" w:sz="4" w:space="0" w:color="F2F2F2" w:themeColor="background1" w:themeShade="F2"/>
              <w:right w:val="nil"/>
            </w:tcBorders>
          </w:tcPr>
          <w:p w14:paraId="0EFFA771" w14:textId="77777777" w:rsidR="007530C2" w:rsidRPr="00EE311B" w:rsidRDefault="007530C2" w:rsidP="009464DB">
            <w:pPr>
              <w:tabs>
                <w:tab w:val="num" w:pos="360"/>
              </w:tabs>
              <w:spacing w:before="60" w:afterLines="60" w:after="144" w:line="278" w:lineRule="auto"/>
              <w:rPr>
                <w:rFonts w:ascii="Aptos" w:eastAsia="Aptos" w:hAnsi="Aptos" w:cs="Aptos"/>
              </w:rPr>
            </w:pPr>
            <w:r>
              <w:rPr>
                <w:rFonts w:ascii="Aptos" w:eastAsia="Aptos" w:hAnsi="Aptos" w:cs="Aptos"/>
              </w:rPr>
              <w:t>$42 million over four years from 2025–26, and</w:t>
            </w:r>
            <w:r w:rsidRPr="004A645B">
              <w:rPr>
                <w:rFonts w:ascii="Aptos" w:eastAsia="Aptos" w:hAnsi="Aptos" w:cs="Aptos"/>
              </w:rPr>
              <w:t xml:space="preserve"> </w:t>
            </w:r>
            <w:r>
              <w:rPr>
                <w:rFonts w:ascii="Aptos" w:eastAsia="Aptos" w:hAnsi="Aptos" w:cs="Aptos"/>
              </w:rPr>
              <w:t>$12 million per annum ongoing.</w:t>
            </w:r>
          </w:p>
        </w:tc>
      </w:tr>
    </w:tbl>
    <w:p w14:paraId="3E7E1C5C" w14:textId="77777777" w:rsidR="00F321A1" w:rsidRDefault="00F321A1" w:rsidP="00F61476"/>
    <w:p w14:paraId="73390D96" w14:textId="77777777" w:rsidR="00186F19" w:rsidRPr="00186F19" w:rsidRDefault="007530C2" w:rsidP="00186F19">
      <w:pPr>
        <w:pStyle w:val="Heading3"/>
      </w:pPr>
      <w:r>
        <w:t>Efficiency and impact</w:t>
      </w:r>
    </w:p>
    <w:p w14:paraId="0697C843" w14:textId="77777777" w:rsidR="00883507" w:rsidRDefault="00883507" w:rsidP="007530C2">
      <w:pPr>
        <w:pStyle w:val="Heading4"/>
        <w:rPr>
          <w:b/>
        </w:rPr>
        <w:sectPr w:rsidR="00883507" w:rsidSect="00AE6104">
          <w:type w:val="continuous"/>
          <w:pgSz w:w="11906" w:h="16838"/>
          <w:pgMar w:top="1440" w:right="1440" w:bottom="1440" w:left="1440" w:header="708" w:footer="708" w:gutter="0"/>
          <w:cols w:space="708"/>
          <w:docGrid w:linePitch="360"/>
          <w15:footnoteColumns w:val="1"/>
        </w:sectPr>
      </w:pPr>
    </w:p>
    <w:p w14:paraId="05865652" w14:textId="565E1ADA" w:rsidR="007530C2" w:rsidRDefault="007530C2" w:rsidP="002F1F17">
      <w:pPr>
        <w:pStyle w:val="Heading4"/>
        <w:spacing w:before="0"/>
        <w:rPr>
          <w:b/>
        </w:rPr>
      </w:pPr>
      <w:r>
        <w:rPr>
          <w:b/>
        </w:rPr>
        <w:t xml:space="preserve">No longer needed </w:t>
      </w:r>
      <w:r w:rsidR="00364B05">
        <w:rPr>
          <w:b/>
        </w:rPr>
        <w:t>–</w:t>
      </w:r>
      <w:r>
        <w:rPr>
          <w:b/>
        </w:rPr>
        <w:t xml:space="preserve"> COVID</w:t>
      </w:r>
      <w:r w:rsidR="005326A6">
        <w:rPr>
          <w:b/>
        </w:rPr>
        <w:t>-19</w:t>
      </w:r>
      <w:r>
        <w:rPr>
          <w:b/>
        </w:rPr>
        <w:t xml:space="preserve"> special leave for health workers </w:t>
      </w:r>
    </w:p>
    <w:p w14:paraId="0DAA3A5E" w14:textId="506782F6" w:rsidR="007530C2" w:rsidRDefault="007530C2" w:rsidP="009842C5">
      <w:pPr>
        <w:spacing w:after="720"/>
      </w:pPr>
      <w:r w:rsidRPr="005972D7">
        <w:t xml:space="preserve">COVID-19 paid special leave was introduced during the pandemic to support health workers required to isolate under public health directions or pandemic </w:t>
      </w:r>
      <w:r w:rsidR="009842C5">
        <w:br w:type="column"/>
      </w:r>
      <w:r w:rsidRPr="005972D7">
        <w:t>orders</w:t>
      </w:r>
      <w:r>
        <w:t>.</w:t>
      </w:r>
      <w:r w:rsidRPr="005972D7">
        <w:t> Th</w:t>
      </w:r>
      <w:r>
        <w:t xml:space="preserve">is </w:t>
      </w:r>
      <w:r w:rsidRPr="005972D7">
        <w:t xml:space="preserve">special leave should cease, particularly in a COVID-19 endemic setting. </w:t>
      </w:r>
      <w:r>
        <w:t>Health workers continue to have access to alternative leave arrangements, including personal sick leave.</w:t>
      </w:r>
    </w:p>
    <w:p w14:paraId="07EA5842" w14:textId="77777777" w:rsidR="00883507" w:rsidRDefault="00883507" w:rsidP="00015F04">
      <w:pPr>
        <w:spacing w:before="60"/>
        <w:rPr>
          <w:b/>
        </w:rPr>
        <w:sectPr w:rsidR="00883507" w:rsidSect="00883507">
          <w:type w:val="continuous"/>
          <w:pgSz w:w="11906" w:h="16838"/>
          <w:pgMar w:top="1440" w:right="1440" w:bottom="1440" w:left="1440" w:header="708" w:footer="708" w:gutter="0"/>
          <w:cols w:num="2" w:space="708"/>
          <w:docGrid w:linePitch="360"/>
          <w15:footnoteColumns w:val="1"/>
        </w:sectPr>
      </w:pPr>
    </w:p>
    <w:tbl>
      <w:tblPr>
        <w:tblStyle w:val="TableGrid"/>
        <w:tblW w:w="0" w:type="auto"/>
        <w:tblLook w:val="04A0" w:firstRow="1" w:lastRow="0" w:firstColumn="1" w:lastColumn="0" w:noHBand="0" w:noVBand="1"/>
      </w:tblPr>
      <w:tblGrid>
        <w:gridCol w:w="7225"/>
        <w:gridCol w:w="1791"/>
      </w:tblGrid>
      <w:tr w:rsidR="007530C2" w:rsidRPr="00E3228B" w14:paraId="7A45C17E" w14:textId="77777777" w:rsidTr="00350480">
        <w:trPr>
          <w:trHeight w:val="471"/>
        </w:trPr>
        <w:tc>
          <w:tcPr>
            <w:tcW w:w="7225" w:type="dxa"/>
            <w:tcBorders>
              <w:left w:val="nil"/>
              <w:bottom w:val="single" w:sz="4" w:space="0" w:color="auto"/>
              <w:right w:val="single" w:sz="18" w:space="0" w:color="FFFFFF" w:themeColor="background1"/>
            </w:tcBorders>
            <w:shd w:val="clear" w:color="auto" w:fill="E7E6E6"/>
          </w:tcPr>
          <w:p w14:paraId="568DF2ED" w14:textId="77777777" w:rsidR="007530C2" w:rsidRPr="00CF6F0B" w:rsidRDefault="007530C2" w:rsidP="00015F04">
            <w:pPr>
              <w:spacing w:before="60"/>
              <w:rPr>
                <w:b/>
              </w:rPr>
            </w:pPr>
            <w:r w:rsidRPr="00CF6F0B">
              <w:rPr>
                <w:b/>
              </w:rPr>
              <w:t>Recommendation</w:t>
            </w:r>
          </w:p>
        </w:tc>
        <w:tc>
          <w:tcPr>
            <w:tcW w:w="1791" w:type="dxa"/>
            <w:tcBorders>
              <w:left w:val="single" w:sz="18" w:space="0" w:color="FFFFFF" w:themeColor="background1"/>
              <w:bottom w:val="single" w:sz="4" w:space="0" w:color="auto"/>
              <w:right w:val="nil"/>
            </w:tcBorders>
            <w:shd w:val="clear" w:color="auto" w:fill="E7E6E6"/>
          </w:tcPr>
          <w:p w14:paraId="1EAD5294" w14:textId="77777777" w:rsidR="007530C2" w:rsidRPr="00CF6F0B" w:rsidRDefault="007530C2" w:rsidP="00015F04">
            <w:pPr>
              <w:spacing w:before="60"/>
              <w:rPr>
                <w:b/>
              </w:rPr>
            </w:pPr>
            <w:r w:rsidRPr="00CF6F0B">
              <w:rPr>
                <w:b/>
              </w:rPr>
              <w:t>Savings</w:t>
            </w:r>
          </w:p>
        </w:tc>
      </w:tr>
      <w:tr w:rsidR="007530C2" w:rsidRPr="003764D5" w14:paraId="70BB54CB" w14:textId="77777777" w:rsidTr="008058C3">
        <w:tc>
          <w:tcPr>
            <w:tcW w:w="7225" w:type="dxa"/>
            <w:tcBorders>
              <w:left w:val="nil"/>
              <w:right w:val="single" w:sz="4" w:space="0" w:color="F2F2F2" w:themeColor="background1" w:themeShade="F2"/>
            </w:tcBorders>
          </w:tcPr>
          <w:p w14:paraId="611CF4C9" w14:textId="4A5D30F3" w:rsidR="007530C2" w:rsidRPr="00684575" w:rsidRDefault="007530C2" w:rsidP="009464DB">
            <w:pPr>
              <w:pStyle w:val="ListParagraph"/>
              <w:numPr>
                <w:ilvl w:val="1"/>
                <w:numId w:val="53"/>
              </w:numPr>
              <w:spacing w:before="60" w:after="60" w:line="278" w:lineRule="auto"/>
              <w:ind w:left="567" w:hanging="567"/>
              <w:contextualSpacing w:val="0"/>
            </w:pPr>
            <w:r w:rsidRPr="00351970">
              <w:t>Cease the COVID-19 paid special leave</w:t>
            </w:r>
            <w:r w:rsidR="002930E3">
              <w:t xml:space="preserve"> for health workers</w:t>
            </w:r>
            <w:r w:rsidRPr="00351970">
              <w:t>.</w:t>
            </w:r>
          </w:p>
          <w:p w14:paraId="2EE7A028" w14:textId="77777777" w:rsidR="007530C2" w:rsidRPr="00684575" w:rsidRDefault="007530C2" w:rsidP="009464DB">
            <w:pPr>
              <w:spacing w:before="60" w:after="60" w:line="279" w:lineRule="auto"/>
            </w:pPr>
          </w:p>
        </w:tc>
        <w:tc>
          <w:tcPr>
            <w:tcW w:w="1791" w:type="dxa"/>
            <w:tcBorders>
              <w:left w:val="single" w:sz="4" w:space="0" w:color="F2F2F2" w:themeColor="background1" w:themeShade="F2"/>
              <w:right w:val="nil"/>
            </w:tcBorders>
          </w:tcPr>
          <w:p w14:paraId="06F7EFE8" w14:textId="77777777" w:rsidR="007530C2" w:rsidRPr="003764D5" w:rsidRDefault="007530C2" w:rsidP="009464DB">
            <w:pPr>
              <w:spacing w:before="60" w:after="60"/>
              <w:rPr>
                <w:highlight w:val="yellow"/>
              </w:rPr>
            </w:pPr>
            <w:r w:rsidRPr="007575B9">
              <w:t>$</w:t>
            </w:r>
            <w:r>
              <w:t>28.5</w:t>
            </w:r>
            <w:r w:rsidRPr="007575B9">
              <w:t xml:space="preserve"> million over </w:t>
            </w:r>
            <w:r>
              <w:t xml:space="preserve">4 years from 2025–26, </w:t>
            </w:r>
            <w:r w:rsidRPr="007575B9">
              <w:t xml:space="preserve">and $8.1 million </w:t>
            </w:r>
            <w:r>
              <w:t>per annum</w:t>
            </w:r>
            <w:r w:rsidRPr="007575B9">
              <w:t xml:space="preserve"> ongoing</w:t>
            </w:r>
            <w:r>
              <w:t>.</w:t>
            </w:r>
          </w:p>
        </w:tc>
      </w:tr>
    </w:tbl>
    <w:p w14:paraId="4E80F9DC" w14:textId="77777777" w:rsidR="00F321A1" w:rsidRDefault="00F321A1" w:rsidP="00F61476"/>
    <w:p w14:paraId="44488C01" w14:textId="77777777" w:rsidR="00883507" w:rsidRDefault="00883507" w:rsidP="00364B05">
      <w:pPr>
        <w:spacing w:before="240"/>
        <w:rPr>
          <w:rFonts w:eastAsiaTheme="majorEastAsia" w:cstheme="majorBidi"/>
          <w:b/>
          <w:bCs/>
          <w:i/>
          <w:iCs/>
          <w:color w:val="0F4761" w:themeColor="accent1" w:themeShade="BF"/>
        </w:rPr>
        <w:sectPr w:rsidR="00883507" w:rsidSect="00AE6104">
          <w:type w:val="continuous"/>
          <w:pgSz w:w="11906" w:h="16838"/>
          <w:pgMar w:top="1440" w:right="1440" w:bottom="1440" w:left="1440" w:header="708" w:footer="708" w:gutter="0"/>
          <w:cols w:space="708"/>
          <w:docGrid w:linePitch="360"/>
          <w15:footnoteColumns w:val="1"/>
        </w:sectPr>
      </w:pPr>
    </w:p>
    <w:p w14:paraId="68ACE68A" w14:textId="46370B6F" w:rsidR="007530C2" w:rsidRDefault="007530C2" w:rsidP="004D734C">
      <w:pPr>
        <w:rPr>
          <w:rFonts w:eastAsiaTheme="majorEastAsia" w:cstheme="majorBidi"/>
          <w:b/>
          <w:bCs/>
          <w:i/>
          <w:iCs/>
          <w:color w:val="0F4761" w:themeColor="accent1" w:themeShade="BF"/>
        </w:rPr>
      </w:pPr>
      <w:r>
        <w:rPr>
          <w:rFonts w:eastAsiaTheme="majorEastAsia" w:cstheme="majorBidi"/>
          <w:b/>
          <w:bCs/>
          <w:i/>
          <w:iCs/>
          <w:color w:val="0F4761" w:themeColor="accent1" w:themeShade="BF"/>
        </w:rPr>
        <w:lastRenderedPageBreak/>
        <w:t xml:space="preserve">Refocus and cap funding to align with core responsibilities </w:t>
      </w:r>
      <w:r w:rsidR="00364B05">
        <w:rPr>
          <w:b/>
        </w:rPr>
        <w:t>–</w:t>
      </w:r>
      <w:r>
        <w:rPr>
          <w:rFonts w:eastAsiaTheme="majorEastAsia" w:cstheme="majorBidi"/>
          <w:b/>
          <w:bCs/>
          <w:i/>
          <w:iCs/>
          <w:color w:val="0F4761" w:themeColor="accent1" w:themeShade="BF"/>
        </w:rPr>
        <w:t xml:space="preserve"> </w:t>
      </w:r>
      <w:r w:rsidRPr="00B5657D">
        <w:rPr>
          <w:rFonts w:eastAsiaTheme="majorEastAsia" w:cstheme="majorBidi"/>
          <w:b/>
          <w:bCs/>
          <w:i/>
          <w:iCs/>
          <w:color w:val="0F4761" w:themeColor="accent1" w:themeShade="BF"/>
        </w:rPr>
        <w:t xml:space="preserve">Smile Squad </w:t>
      </w:r>
    </w:p>
    <w:p w14:paraId="4C153C8F" w14:textId="70BC362D" w:rsidR="007530C2" w:rsidRPr="00DB651C" w:rsidRDefault="007530C2" w:rsidP="00883507">
      <w:pPr>
        <w:spacing w:after="360"/>
        <w:rPr>
          <w:b/>
          <w:i/>
        </w:rPr>
      </w:pPr>
      <w:r w:rsidRPr="004B76ED">
        <w:t xml:space="preserve">Smile Squad provides free dental care and oral health promotion to </w:t>
      </w:r>
      <w:r>
        <w:t>all</w:t>
      </w:r>
      <w:r w:rsidRPr="004B76ED">
        <w:t xml:space="preserve"> students in government schools, with </w:t>
      </w:r>
      <w:r>
        <w:t>a</w:t>
      </w:r>
      <w:r w:rsidRPr="004B76ED">
        <w:t xml:space="preserve"> planned </w:t>
      </w:r>
      <w:r>
        <w:t>future</w:t>
      </w:r>
      <w:r w:rsidRPr="004B76ED">
        <w:t xml:space="preserve"> expansion to low-fee non-government schools. The program currently receives </w:t>
      </w:r>
      <w:r w:rsidRPr="004B76ED">
        <w:t>$75.5 million in annual funding</w:t>
      </w:r>
      <w:r>
        <w:t xml:space="preserve">. Like </w:t>
      </w:r>
      <w:proofErr w:type="gramStart"/>
      <w:r>
        <w:t>a number of</w:t>
      </w:r>
      <w:proofErr w:type="gramEnd"/>
      <w:r>
        <w:t xml:space="preserve"> other programs discussed in this report, Smile Squad could be reviewed</w:t>
      </w:r>
      <w:r w:rsidRPr="004B76ED">
        <w:t xml:space="preserve"> and </w:t>
      </w:r>
      <w:r>
        <w:t>better</w:t>
      </w:r>
      <w:r w:rsidRPr="004B76ED">
        <w:t xml:space="preserve"> targeted </w:t>
      </w:r>
      <w:r>
        <w:t>if the state had better data about family and child</w:t>
      </w:r>
      <w:r w:rsidRPr="004B76ED">
        <w:t xml:space="preserve"> need</w:t>
      </w:r>
      <w:r>
        <w:t xml:space="preserve"> (see Chapter</w:t>
      </w:r>
      <w:r w:rsidR="00936F0D">
        <w:t> </w:t>
      </w:r>
      <w:r w:rsidR="00E042C6" w:rsidRPr="008E10BB">
        <w:t>4</w:t>
      </w:r>
      <w:r>
        <w:t>). In the meantime, the</w:t>
      </w:r>
      <w:r w:rsidRPr="004B76ED">
        <w:t xml:space="preserve"> Review recommends capping funding </w:t>
      </w:r>
      <w:proofErr w:type="gramStart"/>
      <w:r w:rsidRPr="004B76ED">
        <w:t>at</w:t>
      </w:r>
      <w:proofErr w:type="gramEnd"/>
      <w:r w:rsidRPr="004B76ED">
        <w:t xml:space="preserve"> 2024–25 levels</w:t>
      </w:r>
      <w:r>
        <w:t xml:space="preserve"> and</w:t>
      </w:r>
      <w:r w:rsidRPr="004B76ED">
        <w:t xml:space="preserve"> </w:t>
      </w:r>
      <w:r w:rsidR="00EA00D9" w:rsidRPr="00A91E05">
        <w:t>focus</w:t>
      </w:r>
      <w:r w:rsidR="003E6A8C">
        <w:t>ing</w:t>
      </w:r>
      <w:r w:rsidR="00EA00D9" w:rsidRPr="00A91E05">
        <w:t xml:space="preserve"> on core service delivery</w:t>
      </w:r>
      <w:r w:rsidRPr="00A91E05">
        <w:t>.</w:t>
      </w:r>
    </w:p>
    <w:p w14:paraId="2E2FECC3" w14:textId="77777777" w:rsidR="00883507" w:rsidRDefault="00883507" w:rsidP="009464DB">
      <w:pPr>
        <w:spacing w:before="60"/>
        <w:rPr>
          <w:b/>
        </w:rPr>
        <w:sectPr w:rsidR="00883507" w:rsidSect="00883507">
          <w:type w:val="continuous"/>
          <w:pgSz w:w="11906" w:h="16838"/>
          <w:pgMar w:top="1440" w:right="1440" w:bottom="1440" w:left="1440" w:header="708" w:footer="708" w:gutter="0"/>
          <w:cols w:num="2" w:space="708"/>
          <w:docGrid w:linePitch="360"/>
          <w15:footnoteColumns w:val="1"/>
        </w:sectPr>
      </w:pPr>
    </w:p>
    <w:tbl>
      <w:tblPr>
        <w:tblStyle w:val="TableGrid"/>
        <w:tblW w:w="0" w:type="auto"/>
        <w:tblLook w:val="04A0" w:firstRow="1" w:lastRow="0" w:firstColumn="1" w:lastColumn="0" w:noHBand="0" w:noVBand="1"/>
      </w:tblPr>
      <w:tblGrid>
        <w:gridCol w:w="7225"/>
        <w:gridCol w:w="1791"/>
      </w:tblGrid>
      <w:tr w:rsidR="007530C2" w:rsidRPr="00E3228B" w14:paraId="368189E4" w14:textId="77777777" w:rsidTr="00350480">
        <w:trPr>
          <w:trHeight w:val="471"/>
        </w:trPr>
        <w:tc>
          <w:tcPr>
            <w:tcW w:w="7225" w:type="dxa"/>
            <w:tcBorders>
              <w:left w:val="nil"/>
              <w:bottom w:val="single" w:sz="4" w:space="0" w:color="auto"/>
              <w:right w:val="single" w:sz="18" w:space="0" w:color="FFFFFF" w:themeColor="background1"/>
            </w:tcBorders>
            <w:shd w:val="clear" w:color="auto" w:fill="E7E6E6"/>
          </w:tcPr>
          <w:p w14:paraId="65C12086" w14:textId="77777777" w:rsidR="007530C2" w:rsidRPr="002C0857" w:rsidRDefault="007530C2" w:rsidP="009464DB">
            <w:pPr>
              <w:spacing w:before="60"/>
              <w:rPr>
                <w:b/>
              </w:rPr>
            </w:pPr>
            <w:r w:rsidRPr="002C0857">
              <w:rPr>
                <w:b/>
              </w:rPr>
              <w:t>Recommendation</w:t>
            </w:r>
          </w:p>
        </w:tc>
        <w:tc>
          <w:tcPr>
            <w:tcW w:w="1791" w:type="dxa"/>
            <w:tcBorders>
              <w:left w:val="single" w:sz="18" w:space="0" w:color="FFFFFF" w:themeColor="background1"/>
              <w:bottom w:val="single" w:sz="4" w:space="0" w:color="auto"/>
              <w:right w:val="nil"/>
            </w:tcBorders>
            <w:shd w:val="clear" w:color="auto" w:fill="E7E6E6"/>
          </w:tcPr>
          <w:p w14:paraId="3D09A812" w14:textId="77777777" w:rsidR="007530C2" w:rsidRPr="002C0857" w:rsidRDefault="007530C2" w:rsidP="009464DB">
            <w:pPr>
              <w:spacing w:before="60"/>
              <w:rPr>
                <w:b/>
              </w:rPr>
            </w:pPr>
            <w:r w:rsidRPr="002C0857">
              <w:rPr>
                <w:b/>
              </w:rPr>
              <w:t>Savings</w:t>
            </w:r>
          </w:p>
        </w:tc>
      </w:tr>
      <w:tr w:rsidR="007530C2" w:rsidRPr="003764D5" w14:paraId="2CD80D1C" w14:textId="77777777" w:rsidTr="002C0857">
        <w:tc>
          <w:tcPr>
            <w:tcW w:w="7225" w:type="dxa"/>
            <w:tcBorders>
              <w:left w:val="nil"/>
              <w:right w:val="single" w:sz="4" w:space="0" w:color="F2F2F2" w:themeColor="background1" w:themeShade="F2"/>
            </w:tcBorders>
          </w:tcPr>
          <w:p w14:paraId="2293B105" w14:textId="0083D36D" w:rsidR="007530C2" w:rsidRPr="001C5530" w:rsidRDefault="007530C2" w:rsidP="009464DB">
            <w:pPr>
              <w:pStyle w:val="ListParagraph"/>
              <w:numPr>
                <w:ilvl w:val="1"/>
                <w:numId w:val="57"/>
              </w:numPr>
              <w:spacing w:before="60" w:after="60" w:line="279" w:lineRule="auto"/>
              <w:ind w:left="589" w:hanging="589"/>
              <w:contextualSpacing w:val="0"/>
              <w:rPr>
                <w:rFonts w:ascii="Aptos" w:eastAsia="Aptos" w:hAnsi="Aptos" w:cs="Aptos"/>
                <w:szCs w:val="22"/>
              </w:rPr>
            </w:pPr>
            <w:r w:rsidRPr="001C5530">
              <w:rPr>
                <w:rFonts w:ascii="Aptos" w:eastAsia="Aptos" w:hAnsi="Aptos" w:cs="Aptos"/>
                <w:color w:val="000000" w:themeColor="text1"/>
                <w:szCs w:val="22"/>
              </w:rPr>
              <w:t>Maintain Smile Squad activity and funding at 2024-25 levels</w:t>
            </w:r>
            <w:r>
              <w:rPr>
                <w:rFonts w:ascii="Aptos" w:eastAsia="Aptos" w:hAnsi="Aptos" w:cs="Aptos"/>
                <w:color w:val="000000" w:themeColor="text1"/>
                <w:szCs w:val="22"/>
              </w:rPr>
              <w:t xml:space="preserve"> and</w:t>
            </w:r>
            <w:r w:rsidRPr="001C5530">
              <w:rPr>
                <w:rFonts w:ascii="Aptos" w:eastAsia="Aptos" w:hAnsi="Aptos" w:cs="Aptos"/>
                <w:color w:val="000000" w:themeColor="text1"/>
                <w:szCs w:val="22"/>
              </w:rPr>
              <w:t xml:space="preserve"> </w:t>
            </w:r>
            <w:r w:rsidR="00255EF8" w:rsidRPr="00A91E05">
              <w:rPr>
                <w:rFonts w:ascii="Aptos" w:eastAsia="Aptos" w:hAnsi="Aptos" w:cs="Aptos"/>
                <w:color w:val="000000" w:themeColor="text1"/>
                <w:szCs w:val="22"/>
              </w:rPr>
              <w:t>focus on core service delivery</w:t>
            </w:r>
            <w:r w:rsidRPr="001C5530">
              <w:rPr>
                <w:rFonts w:ascii="Aptos" w:eastAsia="Aptos" w:hAnsi="Aptos" w:cs="Aptos"/>
                <w:color w:val="000000" w:themeColor="text1"/>
                <w:szCs w:val="22"/>
              </w:rPr>
              <w:t xml:space="preserve">. </w:t>
            </w:r>
          </w:p>
        </w:tc>
        <w:tc>
          <w:tcPr>
            <w:tcW w:w="1791" w:type="dxa"/>
            <w:tcBorders>
              <w:left w:val="single" w:sz="4" w:space="0" w:color="F2F2F2" w:themeColor="background1" w:themeShade="F2"/>
              <w:right w:val="nil"/>
            </w:tcBorders>
          </w:tcPr>
          <w:p w14:paraId="16FAC158" w14:textId="77777777" w:rsidR="007530C2" w:rsidRPr="003764D5" w:rsidRDefault="007530C2" w:rsidP="009464DB">
            <w:pPr>
              <w:spacing w:before="60" w:after="60"/>
              <w:rPr>
                <w:rFonts w:ascii="Aptos" w:eastAsia="Aptos" w:hAnsi="Aptos" w:cs="Aptos"/>
                <w:szCs w:val="22"/>
              </w:rPr>
            </w:pPr>
            <w:r w:rsidRPr="009115DB">
              <w:rPr>
                <w:rFonts w:ascii="Aptos" w:eastAsia="Aptos" w:hAnsi="Aptos" w:cs="Aptos"/>
                <w:color w:val="000000" w:themeColor="text1"/>
                <w:szCs w:val="22"/>
              </w:rPr>
              <w:t>$69.5 million over 4 years from 2025–26,</w:t>
            </w:r>
            <w:r>
              <w:rPr>
                <w:rFonts w:ascii="Aptos" w:eastAsia="Aptos" w:hAnsi="Aptos" w:cs="Aptos"/>
                <w:color w:val="000000" w:themeColor="text1"/>
                <w:szCs w:val="22"/>
              </w:rPr>
              <w:t xml:space="preserve"> </w:t>
            </w:r>
            <w:r w:rsidRPr="009115DB">
              <w:rPr>
                <w:rFonts w:ascii="Aptos" w:eastAsia="Aptos" w:hAnsi="Aptos" w:cs="Aptos"/>
                <w:color w:val="000000" w:themeColor="text1"/>
                <w:szCs w:val="22"/>
              </w:rPr>
              <w:t>and $20.6 million per annum ongoing.</w:t>
            </w:r>
          </w:p>
        </w:tc>
      </w:tr>
    </w:tbl>
    <w:p w14:paraId="5F4AF7E7" w14:textId="77777777" w:rsidR="007530C2" w:rsidRDefault="007530C2" w:rsidP="007530C2"/>
    <w:p w14:paraId="7F9ACBFA" w14:textId="77777777" w:rsidR="00883507" w:rsidRDefault="00883507" w:rsidP="007530C2">
      <w:pPr>
        <w:pStyle w:val="Heading4"/>
        <w:rPr>
          <w:b/>
          <w:bCs/>
        </w:rPr>
        <w:sectPr w:rsidR="00883507" w:rsidSect="00AE6104">
          <w:type w:val="continuous"/>
          <w:pgSz w:w="11906" w:h="16838"/>
          <w:pgMar w:top="1440" w:right="1440" w:bottom="1440" w:left="1440" w:header="708" w:footer="708" w:gutter="0"/>
          <w:cols w:space="708"/>
          <w:docGrid w:linePitch="360"/>
          <w15:footnoteColumns w:val="1"/>
        </w:sectPr>
      </w:pPr>
    </w:p>
    <w:p w14:paraId="5A15403E" w14:textId="4BE6F205" w:rsidR="007530C2" w:rsidRDefault="007530C2" w:rsidP="007F090F">
      <w:pPr>
        <w:pStyle w:val="Heading4"/>
        <w:spacing w:before="0"/>
        <w:rPr>
          <w:b/>
          <w:bCs/>
        </w:rPr>
      </w:pPr>
      <w:r>
        <w:rPr>
          <w:b/>
          <w:bCs/>
        </w:rPr>
        <w:t xml:space="preserve">Reconsider need – Grant to Melbourne City Council for </w:t>
      </w:r>
      <w:r w:rsidR="00B05D9D">
        <w:rPr>
          <w:b/>
          <w:bCs/>
        </w:rPr>
        <w:t>t</w:t>
      </w:r>
      <w:r>
        <w:rPr>
          <w:b/>
          <w:bCs/>
        </w:rPr>
        <w:t>ransport Initiatives</w:t>
      </w:r>
    </w:p>
    <w:p w14:paraId="34C6C4AC" w14:textId="6D7B6D79" w:rsidR="00A832C7" w:rsidRDefault="007530C2" w:rsidP="00883507">
      <w:pPr>
        <w:spacing w:after="360"/>
      </w:pPr>
      <w:r w:rsidRPr="00D82312">
        <w:t xml:space="preserve">The </w:t>
      </w:r>
      <w:r w:rsidR="00364B05" w:rsidRPr="00D82312">
        <w:t>s</w:t>
      </w:r>
      <w:r w:rsidRPr="00D82312">
        <w:t>tate provides an annual grant to the City of Melbourne for transport initiatives under a Memorandum of Understanding.</w:t>
      </w:r>
      <w:r>
        <w:t xml:space="preserve"> This is funded from a portion of the </w:t>
      </w:r>
      <w:r w:rsidR="00B05D9D">
        <w:t>Victorian Government’s</w:t>
      </w:r>
      <w:r>
        <w:t xml:space="preserve"> Congestion Levy, which </w:t>
      </w:r>
      <w:r w:rsidR="00EC456E">
        <w:t>places an additional charge on</w:t>
      </w:r>
      <w:r>
        <w:t xml:space="preserve"> off-street parking spaces in inner-city areas to </w:t>
      </w:r>
      <w:r>
        <w:t xml:space="preserve">discourage car travel into central Melbourne. Although the levy now applies to other </w:t>
      </w:r>
      <w:r w:rsidR="0095094B">
        <w:t>local government</w:t>
      </w:r>
      <w:r>
        <w:t xml:space="preserve"> areas, only </w:t>
      </w:r>
      <w:r w:rsidR="0095094B">
        <w:t>the</w:t>
      </w:r>
      <w:r>
        <w:t xml:space="preserve"> City of Melbourne receives this funding, with no clear policy justification. </w:t>
      </w:r>
      <w:r w:rsidR="00395C6F">
        <w:t>T</w:t>
      </w:r>
      <w:r w:rsidRPr="004760F9">
        <w:t>he</w:t>
      </w:r>
      <w:r>
        <w:t xml:space="preserve"> Review recommends deferring any change until 2026</w:t>
      </w:r>
      <w:r w:rsidR="00364B05">
        <w:t>–</w:t>
      </w:r>
      <w:r>
        <w:t>27 to avoid undermining investment decisions made through the City of Melbourne’s 2025</w:t>
      </w:r>
      <w:r w:rsidR="00364B05">
        <w:t>–</w:t>
      </w:r>
      <w:r>
        <w:t>26 budget.</w:t>
      </w:r>
    </w:p>
    <w:p w14:paraId="70903F89" w14:textId="77777777" w:rsidR="00883507" w:rsidRDefault="00883507" w:rsidP="009464DB">
      <w:pPr>
        <w:spacing w:before="60"/>
        <w:rPr>
          <w:b/>
        </w:rPr>
        <w:sectPr w:rsidR="00883507" w:rsidSect="00883507">
          <w:type w:val="continuous"/>
          <w:pgSz w:w="11906" w:h="16838"/>
          <w:pgMar w:top="1440" w:right="1440" w:bottom="1440" w:left="1440" w:header="708" w:footer="708" w:gutter="0"/>
          <w:cols w:num="2" w:space="708"/>
          <w:docGrid w:linePitch="360"/>
          <w15:footnoteColumns w:val="1"/>
        </w:sectPr>
      </w:pPr>
    </w:p>
    <w:tbl>
      <w:tblPr>
        <w:tblStyle w:val="TableGrid"/>
        <w:tblW w:w="0" w:type="auto"/>
        <w:tblLook w:val="04A0" w:firstRow="1" w:lastRow="0" w:firstColumn="1" w:lastColumn="0" w:noHBand="0" w:noVBand="1"/>
      </w:tblPr>
      <w:tblGrid>
        <w:gridCol w:w="7225"/>
        <w:gridCol w:w="1791"/>
      </w:tblGrid>
      <w:tr w:rsidR="007530C2" w:rsidRPr="00E3228B" w14:paraId="45691B5F" w14:textId="77777777" w:rsidTr="00350480">
        <w:trPr>
          <w:trHeight w:val="471"/>
        </w:trPr>
        <w:tc>
          <w:tcPr>
            <w:tcW w:w="7225" w:type="dxa"/>
            <w:tcBorders>
              <w:left w:val="nil"/>
              <w:right w:val="single" w:sz="18" w:space="0" w:color="FFFFFF" w:themeColor="background1"/>
            </w:tcBorders>
            <w:shd w:val="clear" w:color="auto" w:fill="E7E6E6"/>
          </w:tcPr>
          <w:p w14:paraId="69331583" w14:textId="77777777" w:rsidR="007530C2" w:rsidRPr="002C0857" w:rsidRDefault="007530C2" w:rsidP="009464DB">
            <w:pPr>
              <w:spacing w:before="60"/>
              <w:rPr>
                <w:b/>
              </w:rPr>
            </w:pPr>
            <w:r w:rsidRPr="002C0857">
              <w:rPr>
                <w:b/>
              </w:rPr>
              <w:t>Recommendation</w:t>
            </w:r>
          </w:p>
        </w:tc>
        <w:tc>
          <w:tcPr>
            <w:tcW w:w="1791" w:type="dxa"/>
            <w:tcBorders>
              <w:left w:val="single" w:sz="18" w:space="0" w:color="FFFFFF" w:themeColor="background1"/>
              <w:right w:val="nil"/>
            </w:tcBorders>
            <w:shd w:val="clear" w:color="auto" w:fill="E7E6E6"/>
          </w:tcPr>
          <w:p w14:paraId="67CD2DF6" w14:textId="77777777" w:rsidR="007530C2" w:rsidRPr="002C0857" w:rsidRDefault="007530C2" w:rsidP="009464DB">
            <w:pPr>
              <w:spacing w:before="60"/>
              <w:rPr>
                <w:b/>
              </w:rPr>
            </w:pPr>
            <w:r w:rsidRPr="002C0857">
              <w:rPr>
                <w:b/>
              </w:rPr>
              <w:t>Savings</w:t>
            </w:r>
          </w:p>
        </w:tc>
      </w:tr>
      <w:tr w:rsidR="007530C2" w:rsidRPr="003764D5" w14:paraId="08FDA300" w14:textId="77777777" w:rsidTr="002C0857">
        <w:tc>
          <w:tcPr>
            <w:tcW w:w="7225" w:type="dxa"/>
            <w:tcBorders>
              <w:left w:val="nil"/>
              <w:right w:val="single" w:sz="4" w:space="0" w:color="F2F2F2" w:themeColor="background1" w:themeShade="F2"/>
            </w:tcBorders>
          </w:tcPr>
          <w:p w14:paraId="6C4BDFA7" w14:textId="12656940" w:rsidR="007530C2" w:rsidRPr="00684575" w:rsidRDefault="007530C2" w:rsidP="009464DB">
            <w:pPr>
              <w:pStyle w:val="ListParagraph"/>
              <w:numPr>
                <w:ilvl w:val="1"/>
                <w:numId w:val="58"/>
              </w:numPr>
              <w:spacing w:before="60" w:after="60"/>
              <w:ind w:left="589" w:hanging="567"/>
              <w:contextualSpacing w:val="0"/>
            </w:pPr>
            <w:r>
              <w:rPr>
                <w:rFonts w:ascii="Aptos" w:eastAsia="Aptos" w:hAnsi="Aptos" w:cs="Aptos"/>
                <w:color w:val="000000" w:themeColor="text1"/>
                <w:szCs w:val="22"/>
              </w:rPr>
              <w:t xml:space="preserve">Cease </w:t>
            </w:r>
            <w:r w:rsidRPr="00A91E05">
              <w:rPr>
                <w:rFonts w:ascii="Aptos" w:eastAsia="Aptos" w:hAnsi="Aptos" w:cs="Aptos"/>
                <w:color w:val="000000" w:themeColor="text1"/>
                <w:szCs w:val="22"/>
              </w:rPr>
              <w:t>grant</w:t>
            </w:r>
            <w:r w:rsidR="00A13875" w:rsidRPr="00A91E05">
              <w:rPr>
                <w:rFonts w:ascii="Aptos" w:eastAsia="Aptos" w:hAnsi="Aptos" w:cs="Aptos"/>
                <w:color w:val="000000" w:themeColor="text1"/>
                <w:szCs w:val="22"/>
              </w:rPr>
              <w:t>s</w:t>
            </w:r>
            <w:r>
              <w:rPr>
                <w:rFonts w:ascii="Aptos" w:eastAsia="Aptos" w:hAnsi="Aptos" w:cs="Aptos"/>
                <w:color w:val="000000" w:themeColor="text1"/>
                <w:szCs w:val="22"/>
              </w:rPr>
              <w:t xml:space="preserve"> to Melbourne </w:t>
            </w:r>
            <w:r w:rsidR="00A13875" w:rsidRPr="00A91E05">
              <w:rPr>
                <w:rFonts w:ascii="Aptos" w:eastAsia="Aptos" w:hAnsi="Aptos" w:cs="Aptos"/>
                <w:color w:val="000000" w:themeColor="text1"/>
                <w:szCs w:val="22"/>
              </w:rPr>
              <w:t xml:space="preserve">City Council </w:t>
            </w:r>
            <w:r>
              <w:rPr>
                <w:rFonts w:ascii="Aptos" w:eastAsia="Aptos" w:hAnsi="Aptos" w:cs="Aptos"/>
                <w:color w:val="000000" w:themeColor="text1"/>
                <w:szCs w:val="22"/>
              </w:rPr>
              <w:t>for transport initiatives</w:t>
            </w:r>
            <w:r w:rsidR="00364B05">
              <w:rPr>
                <w:rFonts w:ascii="Aptos" w:eastAsia="Aptos" w:hAnsi="Aptos" w:cs="Aptos"/>
                <w:color w:val="000000" w:themeColor="text1"/>
                <w:szCs w:val="22"/>
              </w:rPr>
              <w:t>.</w:t>
            </w:r>
            <w:r w:rsidRPr="00132C37">
              <w:rPr>
                <w:rFonts w:ascii="Aptos" w:eastAsia="Aptos" w:hAnsi="Aptos" w:cs="Aptos"/>
                <w:color w:val="000000" w:themeColor="text1"/>
                <w:szCs w:val="22"/>
              </w:rPr>
              <w:t>  </w:t>
            </w:r>
          </w:p>
        </w:tc>
        <w:tc>
          <w:tcPr>
            <w:tcW w:w="1791" w:type="dxa"/>
            <w:tcBorders>
              <w:left w:val="single" w:sz="4" w:space="0" w:color="F2F2F2" w:themeColor="background1" w:themeShade="F2"/>
              <w:right w:val="nil"/>
            </w:tcBorders>
          </w:tcPr>
          <w:p w14:paraId="35D00932" w14:textId="7B464C93" w:rsidR="007530C2" w:rsidRPr="003764D5" w:rsidRDefault="007530C2" w:rsidP="009464DB">
            <w:pPr>
              <w:spacing w:before="60" w:after="60"/>
              <w:rPr>
                <w:highlight w:val="yellow"/>
              </w:rPr>
            </w:pPr>
            <w:r w:rsidRPr="007575B9">
              <w:t>$</w:t>
            </w:r>
            <w:r>
              <w:t>2</w:t>
            </w:r>
            <w:r w:rsidR="00364B05">
              <w:t>1</w:t>
            </w:r>
            <w:r w:rsidRPr="007575B9">
              <w:t xml:space="preserve"> million over </w:t>
            </w:r>
            <w:r w:rsidR="00AB55AE">
              <w:t>3</w:t>
            </w:r>
            <w:r w:rsidRPr="007575B9">
              <w:t xml:space="preserve"> years</w:t>
            </w:r>
            <w:r>
              <w:t xml:space="preserve"> from 202</w:t>
            </w:r>
            <w:r w:rsidR="00AB55AE">
              <w:t>6</w:t>
            </w:r>
            <w:r>
              <w:t>–2</w:t>
            </w:r>
            <w:r w:rsidR="00AB55AE">
              <w:t>7</w:t>
            </w:r>
            <w:r w:rsidR="00317BC8">
              <w:t>, and $7</w:t>
            </w:r>
            <w:r w:rsidR="007547B7">
              <w:t> </w:t>
            </w:r>
            <w:r w:rsidR="00317BC8">
              <w:t>m</w:t>
            </w:r>
            <w:r w:rsidR="00CA0A89">
              <w:t>illion per annum ongoing.</w:t>
            </w:r>
          </w:p>
        </w:tc>
      </w:tr>
    </w:tbl>
    <w:p w14:paraId="0562F6B1" w14:textId="77777777" w:rsidR="007530C2" w:rsidRPr="004D16FD" w:rsidRDefault="007530C2" w:rsidP="007530C2"/>
    <w:p w14:paraId="0D29BDE5" w14:textId="77777777" w:rsidR="00C264CC" w:rsidRDefault="00C264CC" w:rsidP="00044F29">
      <w:pPr>
        <w:pStyle w:val="Heading4"/>
        <w:rPr>
          <w:b/>
        </w:rPr>
      </w:pPr>
      <w:r>
        <w:rPr>
          <w:b/>
        </w:rPr>
        <w:br w:type="page"/>
      </w:r>
    </w:p>
    <w:p w14:paraId="68E26593" w14:textId="77777777" w:rsidR="00883507" w:rsidRDefault="00883507" w:rsidP="00C264CC">
      <w:pPr>
        <w:pStyle w:val="Heading4"/>
        <w:spacing w:before="0"/>
        <w:rPr>
          <w:b/>
        </w:rPr>
        <w:sectPr w:rsidR="00883507" w:rsidSect="00AE6104">
          <w:type w:val="continuous"/>
          <w:pgSz w:w="11906" w:h="16838"/>
          <w:pgMar w:top="1440" w:right="1440" w:bottom="1440" w:left="1440" w:header="708" w:footer="708" w:gutter="0"/>
          <w:cols w:space="708"/>
          <w:docGrid w:linePitch="360"/>
          <w15:footnoteColumns w:val="1"/>
        </w:sectPr>
      </w:pPr>
    </w:p>
    <w:p w14:paraId="409EA6EA" w14:textId="528D2DFA" w:rsidR="007530C2" w:rsidRDefault="007530C2" w:rsidP="00C264CC">
      <w:pPr>
        <w:pStyle w:val="Heading4"/>
        <w:spacing w:before="0"/>
        <w:rPr>
          <w:b/>
        </w:rPr>
      </w:pPr>
      <w:r>
        <w:rPr>
          <w:b/>
        </w:rPr>
        <w:lastRenderedPageBreak/>
        <w:t xml:space="preserve">Improve efficiency and accountability </w:t>
      </w:r>
      <w:r w:rsidR="00364B05">
        <w:rPr>
          <w:b/>
        </w:rPr>
        <w:t>–</w:t>
      </w:r>
      <w:r>
        <w:rPr>
          <w:b/>
        </w:rPr>
        <w:t xml:space="preserve"> Contracting with community service organisations </w:t>
      </w:r>
    </w:p>
    <w:p w14:paraId="217624D8" w14:textId="7D3B5676" w:rsidR="007530C2" w:rsidRDefault="008212CE" w:rsidP="00883507">
      <w:pPr>
        <w:spacing w:after="640"/>
      </w:pPr>
      <w:r>
        <w:rPr>
          <w:lang w:val="en-US"/>
        </w:rPr>
        <w:t xml:space="preserve">The </w:t>
      </w:r>
      <w:r w:rsidR="002F12F1" w:rsidRPr="007511D6">
        <w:rPr>
          <w:rFonts w:eastAsia="Times New Roman" w:cs="Times New Roman"/>
          <w:szCs w:val="22"/>
          <w:lang w:eastAsia="en-AU"/>
        </w:rPr>
        <w:t>Department of Families, Fairness and Housing</w:t>
      </w:r>
      <w:r w:rsidR="002F12F1">
        <w:rPr>
          <w:rFonts w:eastAsia="Times New Roman" w:cs="Times New Roman"/>
          <w:szCs w:val="22"/>
          <w:lang w:eastAsia="en-AU"/>
        </w:rPr>
        <w:t xml:space="preserve"> (</w:t>
      </w:r>
      <w:r w:rsidR="007530C2">
        <w:rPr>
          <w:rFonts w:eastAsia="Times New Roman" w:cs="Times New Roman"/>
          <w:szCs w:val="22"/>
          <w:lang w:eastAsia="en-AU"/>
        </w:rPr>
        <w:t>DFFH</w:t>
      </w:r>
      <w:r w:rsidR="002F12F1">
        <w:rPr>
          <w:rFonts w:eastAsia="Times New Roman" w:cs="Times New Roman"/>
          <w:szCs w:val="22"/>
          <w:lang w:eastAsia="en-AU"/>
        </w:rPr>
        <w:t>)</w:t>
      </w:r>
      <w:r w:rsidR="007530C2" w:rsidRPr="00A75045">
        <w:rPr>
          <w:lang w:val="en-US"/>
        </w:rPr>
        <w:t xml:space="preserve"> </w:t>
      </w:r>
      <w:r w:rsidR="007530C2">
        <w:rPr>
          <w:lang w:val="en-US"/>
        </w:rPr>
        <w:t xml:space="preserve">contracts </w:t>
      </w:r>
      <w:r w:rsidR="007530C2" w:rsidRPr="00A75045">
        <w:rPr>
          <w:lang w:val="en-US"/>
        </w:rPr>
        <w:t>with</w:t>
      </w:r>
      <w:r w:rsidR="007530C2">
        <w:rPr>
          <w:lang w:val="en-US"/>
        </w:rPr>
        <w:t xml:space="preserve"> </w:t>
      </w:r>
      <w:proofErr w:type="gramStart"/>
      <w:r w:rsidR="007530C2">
        <w:rPr>
          <w:lang w:val="en-US"/>
        </w:rPr>
        <w:t>a large number of</w:t>
      </w:r>
      <w:proofErr w:type="gramEnd"/>
      <w:r w:rsidR="007530C2" w:rsidRPr="00A75045">
        <w:rPr>
          <w:lang w:val="en-US"/>
        </w:rPr>
        <w:t xml:space="preserve"> community service </w:t>
      </w:r>
      <w:proofErr w:type="spellStart"/>
      <w:r w:rsidR="007530C2" w:rsidRPr="00A75045">
        <w:rPr>
          <w:lang w:val="en-US"/>
        </w:rPr>
        <w:t>organisations</w:t>
      </w:r>
      <w:proofErr w:type="spellEnd"/>
      <w:r w:rsidR="007530C2" w:rsidRPr="00A75045">
        <w:rPr>
          <w:lang w:val="en-US"/>
        </w:rPr>
        <w:t xml:space="preserve"> (CSOs) </w:t>
      </w:r>
      <w:r w:rsidR="007530C2">
        <w:rPr>
          <w:lang w:val="en-US"/>
        </w:rPr>
        <w:t>to deliver</w:t>
      </w:r>
      <w:r w:rsidR="007530C2" w:rsidRPr="00A75045">
        <w:rPr>
          <w:lang w:val="en-US"/>
        </w:rPr>
        <w:t xml:space="preserve"> </w:t>
      </w:r>
      <w:r w:rsidR="007530C2">
        <w:rPr>
          <w:lang w:val="en-US"/>
        </w:rPr>
        <w:t>services</w:t>
      </w:r>
      <w:r w:rsidR="007530C2" w:rsidRPr="00A75045">
        <w:rPr>
          <w:lang w:val="en-US"/>
        </w:rPr>
        <w:t xml:space="preserve"> </w:t>
      </w:r>
      <w:r w:rsidR="007530C2">
        <w:rPr>
          <w:lang w:val="en-US"/>
        </w:rPr>
        <w:t xml:space="preserve">for </w:t>
      </w:r>
      <w:r w:rsidR="007530C2" w:rsidRPr="00A75045">
        <w:rPr>
          <w:lang w:val="en-US"/>
        </w:rPr>
        <w:t>Victorians.</w:t>
      </w:r>
      <w:r w:rsidR="007530C2" w:rsidRPr="00A75045">
        <w:t> </w:t>
      </w:r>
      <w:r w:rsidR="007530C2" w:rsidRPr="007575B9">
        <w:t>Strengthening contract management would improve transparency and ensure</w:t>
      </w:r>
      <w:r w:rsidR="007530C2">
        <w:t xml:space="preserve"> the</w:t>
      </w:r>
      <w:r w:rsidR="007530C2" w:rsidRPr="007575B9">
        <w:t xml:space="preserve"> funding</w:t>
      </w:r>
      <w:r w:rsidR="007530C2">
        <w:t xml:space="preserve"> provided</w:t>
      </w:r>
      <w:r w:rsidR="007530C2" w:rsidRPr="007575B9">
        <w:t xml:space="preserve"> aligns with </w:t>
      </w:r>
      <w:r w:rsidR="007530C2">
        <w:t xml:space="preserve">actual </w:t>
      </w:r>
      <w:r w:rsidR="007530C2" w:rsidRPr="007575B9">
        <w:t>service delivery</w:t>
      </w:r>
      <w:r w:rsidR="007530C2">
        <w:t xml:space="preserve"> and performance</w:t>
      </w:r>
      <w:r w:rsidR="007530C2" w:rsidRPr="007575B9">
        <w:t>.</w:t>
      </w:r>
      <w:r w:rsidR="007530C2">
        <w:t xml:space="preserve"> While this saving is focused on CSOs contracting with DFFH, there are opportunities for other departments to equally strengthen their contract and performance management practices, which</w:t>
      </w:r>
      <w:r w:rsidR="005E166D">
        <w:t> </w:t>
      </w:r>
      <w:r w:rsidR="007530C2">
        <w:t>could generate additional savings. This should be pursued in the 2026</w:t>
      </w:r>
      <w:r w:rsidR="003E6A8C">
        <w:t>–</w:t>
      </w:r>
      <w:r w:rsidR="007530C2">
        <w:t>27</w:t>
      </w:r>
      <w:r w:rsidR="00364B05">
        <w:t xml:space="preserve"> </w:t>
      </w:r>
      <w:r w:rsidR="00DA5D31" w:rsidRPr="00370CFB">
        <w:t>b</w:t>
      </w:r>
      <w:r w:rsidR="007530C2" w:rsidRPr="00370CFB">
        <w:t>udget</w:t>
      </w:r>
      <w:r w:rsidR="00DA5D31" w:rsidRPr="00370CFB">
        <w:t xml:space="preserve"> process</w:t>
      </w:r>
      <w:r w:rsidR="007530C2">
        <w:t>.</w:t>
      </w:r>
    </w:p>
    <w:p w14:paraId="505FAD84" w14:textId="77777777" w:rsidR="00883507" w:rsidRDefault="00883507" w:rsidP="009464DB">
      <w:pPr>
        <w:spacing w:before="60"/>
        <w:rPr>
          <w:b/>
        </w:rPr>
        <w:sectPr w:rsidR="00883507" w:rsidSect="00883507">
          <w:type w:val="continuous"/>
          <w:pgSz w:w="11906" w:h="16838"/>
          <w:pgMar w:top="1440" w:right="1440" w:bottom="1440" w:left="1440" w:header="708" w:footer="708" w:gutter="0"/>
          <w:cols w:num="2" w:space="708"/>
          <w:docGrid w:linePitch="360"/>
          <w15:footnoteColumns w:val="1"/>
        </w:sectPr>
      </w:pPr>
    </w:p>
    <w:tbl>
      <w:tblPr>
        <w:tblStyle w:val="TableGrid"/>
        <w:tblW w:w="0" w:type="auto"/>
        <w:tblBorders>
          <w:left w:val="none" w:sz="0" w:space="0" w:color="auto"/>
          <w:right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7088"/>
        <w:gridCol w:w="1928"/>
      </w:tblGrid>
      <w:tr w:rsidR="007530C2" w:rsidRPr="00E3228B" w14:paraId="702939B2" w14:textId="77777777" w:rsidTr="00140ED7">
        <w:trPr>
          <w:trHeight w:val="471"/>
        </w:trPr>
        <w:tc>
          <w:tcPr>
            <w:tcW w:w="7088" w:type="dxa"/>
            <w:tcBorders>
              <w:right w:val="single" w:sz="18" w:space="0" w:color="FFFFFF" w:themeColor="background1"/>
            </w:tcBorders>
            <w:shd w:val="clear" w:color="auto" w:fill="E7E6E6"/>
          </w:tcPr>
          <w:p w14:paraId="4C703109" w14:textId="77777777" w:rsidR="007530C2" w:rsidRPr="00F56E0D" w:rsidRDefault="007530C2" w:rsidP="009464DB">
            <w:pPr>
              <w:spacing w:before="60"/>
              <w:rPr>
                <w:b/>
              </w:rPr>
            </w:pPr>
            <w:r w:rsidRPr="00F56E0D">
              <w:rPr>
                <w:b/>
              </w:rPr>
              <w:t>Recommendation</w:t>
            </w:r>
          </w:p>
        </w:tc>
        <w:tc>
          <w:tcPr>
            <w:tcW w:w="1928" w:type="dxa"/>
            <w:tcBorders>
              <w:left w:val="single" w:sz="18" w:space="0" w:color="FFFFFF" w:themeColor="background1"/>
              <w:bottom w:val="single" w:sz="4" w:space="0" w:color="auto"/>
            </w:tcBorders>
            <w:shd w:val="clear" w:color="auto" w:fill="E7E6E6"/>
          </w:tcPr>
          <w:p w14:paraId="0715F373" w14:textId="77777777" w:rsidR="007530C2" w:rsidRPr="00F56E0D" w:rsidRDefault="007530C2" w:rsidP="009464DB">
            <w:pPr>
              <w:spacing w:before="60"/>
              <w:rPr>
                <w:b/>
              </w:rPr>
            </w:pPr>
            <w:r w:rsidRPr="00F56E0D">
              <w:rPr>
                <w:b/>
              </w:rPr>
              <w:t>Savings</w:t>
            </w:r>
          </w:p>
        </w:tc>
      </w:tr>
      <w:tr w:rsidR="007530C2" w:rsidRPr="003764D5" w14:paraId="7857539B" w14:textId="77777777" w:rsidTr="00140ED7">
        <w:tc>
          <w:tcPr>
            <w:tcW w:w="7088" w:type="dxa"/>
          </w:tcPr>
          <w:p w14:paraId="636429E1" w14:textId="6329AD7E" w:rsidR="007530C2" w:rsidRPr="009464DB" w:rsidRDefault="007530C2" w:rsidP="009464DB">
            <w:pPr>
              <w:pStyle w:val="ListParagraph"/>
              <w:numPr>
                <w:ilvl w:val="1"/>
                <w:numId w:val="58"/>
              </w:numPr>
              <w:spacing w:before="60" w:after="60"/>
              <w:ind w:left="589" w:hanging="567"/>
              <w:contextualSpacing w:val="0"/>
            </w:pPr>
            <w:r w:rsidRPr="00132C37">
              <w:rPr>
                <w:rFonts w:ascii="Aptos" w:eastAsia="Aptos" w:hAnsi="Aptos" w:cs="Aptos"/>
                <w:color w:val="000000" w:themeColor="text1"/>
                <w:szCs w:val="22"/>
              </w:rPr>
              <w:t xml:space="preserve">Improve contract management processes and recoup underspent funds from </w:t>
            </w:r>
            <w:r>
              <w:rPr>
                <w:rFonts w:ascii="Aptos" w:eastAsia="Aptos" w:hAnsi="Aptos" w:cs="Aptos"/>
                <w:color w:val="000000" w:themeColor="text1"/>
                <w:szCs w:val="22"/>
              </w:rPr>
              <w:t xml:space="preserve">Community Service </w:t>
            </w:r>
            <w:proofErr w:type="spellStart"/>
            <w:r>
              <w:rPr>
                <w:rFonts w:ascii="Aptos" w:eastAsia="Aptos" w:hAnsi="Aptos" w:cs="Aptos"/>
                <w:color w:val="000000" w:themeColor="text1"/>
                <w:szCs w:val="22"/>
              </w:rPr>
              <w:t>Organisations</w:t>
            </w:r>
            <w:proofErr w:type="spellEnd"/>
            <w:r>
              <w:rPr>
                <w:rFonts w:ascii="Aptos" w:eastAsia="Aptos" w:hAnsi="Aptos" w:cs="Aptos"/>
                <w:color w:val="000000" w:themeColor="text1"/>
                <w:szCs w:val="22"/>
              </w:rPr>
              <w:t xml:space="preserve"> </w:t>
            </w:r>
            <w:r w:rsidRPr="00132C37">
              <w:rPr>
                <w:rFonts w:ascii="Aptos" w:eastAsia="Aptos" w:hAnsi="Aptos" w:cs="Aptos"/>
                <w:color w:val="000000" w:themeColor="text1"/>
                <w:szCs w:val="22"/>
              </w:rPr>
              <w:t>that have not delivered on service target deliverables in service agreements.  </w:t>
            </w:r>
          </w:p>
        </w:tc>
        <w:tc>
          <w:tcPr>
            <w:tcW w:w="1928" w:type="dxa"/>
            <w:tcBorders>
              <w:right w:val="nil"/>
            </w:tcBorders>
          </w:tcPr>
          <w:p w14:paraId="14A77C46" w14:textId="50F1AB60" w:rsidR="007530C2" w:rsidRPr="003764D5" w:rsidRDefault="007530C2" w:rsidP="009464DB">
            <w:pPr>
              <w:spacing w:before="60" w:after="60"/>
              <w:rPr>
                <w:highlight w:val="yellow"/>
              </w:rPr>
            </w:pPr>
            <w:r w:rsidRPr="007575B9">
              <w:t>$</w:t>
            </w:r>
            <w:r>
              <w:t>57.8</w:t>
            </w:r>
            <w:r w:rsidRPr="007575B9">
              <w:t xml:space="preserve"> million over </w:t>
            </w:r>
            <w:r>
              <w:t>4</w:t>
            </w:r>
            <w:r w:rsidRPr="007575B9">
              <w:t xml:space="preserve"> years</w:t>
            </w:r>
            <w:r>
              <w:t xml:space="preserve"> from 2025–26</w:t>
            </w:r>
            <w:r w:rsidR="009477F9">
              <w:t>, and $16.5 million per annum ongoing</w:t>
            </w:r>
            <w:r>
              <w:t>.</w:t>
            </w:r>
          </w:p>
        </w:tc>
      </w:tr>
    </w:tbl>
    <w:p w14:paraId="0FB066D2" w14:textId="77777777" w:rsidR="00106A68" w:rsidRDefault="00106A68" w:rsidP="00F61476"/>
    <w:p w14:paraId="01907720" w14:textId="77777777" w:rsidR="00883507" w:rsidRDefault="00883507" w:rsidP="007530C2">
      <w:pPr>
        <w:pStyle w:val="Heading4"/>
        <w:rPr>
          <w:b/>
          <w:bCs/>
        </w:rPr>
        <w:sectPr w:rsidR="00883507" w:rsidSect="00AE6104">
          <w:type w:val="continuous"/>
          <w:pgSz w:w="11906" w:h="16838"/>
          <w:pgMar w:top="1440" w:right="1440" w:bottom="1440" w:left="1440" w:header="708" w:footer="708" w:gutter="0"/>
          <w:cols w:space="708"/>
          <w:docGrid w:linePitch="360"/>
          <w15:footnoteColumns w:val="1"/>
        </w:sectPr>
      </w:pPr>
    </w:p>
    <w:p w14:paraId="38B9FBFA" w14:textId="44A63B6E" w:rsidR="007530C2" w:rsidRPr="00943081" w:rsidRDefault="007530C2" w:rsidP="00347168">
      <w:pPr>
        <w:pStyle w:val="Heading4"/>
        <w:spacing w:before="0"/>
        <w:rPr>
          <w:b/>
          <w:bCs/>
        </w:rPr>
      </w:pPr>
      <w:r>
        <w:rPr>
          <w:b/>
          <w:bCs/>
        </w:rPr>
        <w:t xml:space="preserve">Improve efficiency </w:t>
      </w:r>
      <w:r w:rsidR="00364B05">
        <w:rPr>
          <w:b/>
        </w:rPr>
        <w:t>–</w:t>
      </w:r>
      <w:r>
        <w:rPr>
          <w:b/>
          <w:bCs/>
        </w:rPr>
        <w:t xml:space="preserve"> </w:t>
      </w:r>
      <w:r w:rsidRPr="00943081">
        <w:rPr>
          <w:b/>
          <w:bCs/>
        </w:rPr>
        <w:t xml:space="preserve">Better Boating </w:t>
      </w:r>
      <w:r w:rsidR="00E2471D">
        <w:rPr>
          <w:b/>
          <w:bCs/>
        </w:rPr>
        <w:t>Fund</w:t>
      </w:r>
    </w:p>
    <w:p w14:paraId="52047971" w14:textId="295CD7BA" w:rsidR="007530C2" w:rsidRPr="00F33F0F" w:rsidRDefault="007530C2" w:rsidP="00BE460D">
      <w:pPr>
        <w:spacing w:after="680"/>
        <w:rPr>
          <w:rFonts w:ascii="Aptos" w:eastAsia="Aptos" w:hAnsi="Aptos" w:cs="Aptos"/>
          <w:szCs w:val="22"/>
        </w:rPr>
      </w:pPr>
      <w:r w:rsidRPr="13D5BCC1">
        <w:rPr>
          <w:rFonts w:ascii="Aptos" w:eastAsia="Aptos" w:hAnsi="Aptos" w:cs="Aptos"/>
          <w:color w:val="000000" w:themeColor="text1"/>
          <w:szCs w:val="22"/>
          <w:lang w:val="en-US"/>
        </w:rPr>
        <w:t>The Better Boating Fund (BBF) is funded by marine licensing fees and vessel registrations. It supports the maintenance of public boating facilities and services, improves boating safety and education</w:t>
      </w:r>
      <w:r w:rsidR="006222B8" w:rsidRPr="00B97D39">
        <w:rPr>
          <w:rFonts w:ascii="Aptos" w:eastAsia="Aptos" w:hAnsi="Aptos" w:cs="Aptos"/>
          <w:color w:val="000000" w:themeColor="text1"/>
          <w:szCs w:val="22"/>
          <w:lang w:val="en-US"/>
        </w:rPr>
        <w:t xml:space="preserve"> and</w:t>
      </w:r>
      <w:r w:rsidRPr="00B97D39">
        <w:rPr>
          <w:rFonts w:ascii="Aptos" w:eastAsia="Aptos" w:hAnsi="Aptos" w:cs="Aptos"/>
          <w:color w:val="000000" w:themeColor="text1"/>
          <w:szCs w:val="22"/>
          <w:lang w:val="en-US"/>
        </w:rPr>
        <w:t xml:space="preserve"> </w:t>
      </w:r>
      <w:r w:rsidRPr="13D5BCC1">
        <w:rPr>
          <w:rFonts w:ascii="Aptos" w:eastAsia="Aptos" w:hAnsi="Aptos" w:cs="Aptos"/>
          <w:color w:val="000000" w:themeColor="text1"/>
          <w:szCs w:val="22"/>
          <w:lang w:val="en-US"/>
        </w:rPr>
        <w:t xml:space="preserve">promotes recreational boating. The BBF </w:t>
      </w:r>
      <w:r w:rsidRPr="13D5BCC1">
        <w:rPr>
          <w:rFonts w:ascii="Aptos" w:eastAsia="Aptos" w:hAnsi="Aptos" w:cs="Aptos"/>
          <w:color w:val="000000" w:themeColor="text1"/>
          <w:szCs w:val="22"/>
          <w:lang w:val="en-US"/>
        </w:rPr>
        <w:t>budget for 202</w:t>
      </w:r>
      <w:r>
        <w:rPr>
          <w:rFonts w:ascii="Aptos" w:eastAsia="Aptos" w:hAnsi="Aptos" w:cs="Aptos"/>
          <w:color w:val="000000" w:themeColor="text1"/>
          <w:szCs w:val="22"/>
          <w:lang w:val="en-US"/>
        </w:rPr>
        <w:t>4–</w:t>
      </w:r>
      <w:r w:rsidRPr="13D5BCC1">
        <w:rPr>
          <w:rFonts w:ascii="Aptos" w:eastAsia="Aptos" w:hAnsi="Aptos" w:cs="Aptos"/>
          <w:color w:val="000000" w:themeColor="text1"/>
          <w:szCs w:val="22"/>
          <w:lang w:val="en-US"/>
        </w:rPr>
        <w:t>25 was $36.4 million.</w:t>
      </w:r>
      <w:r>
        <w:rPr>
          <w:rFonts w:ascii="Aptos" w:eastAsia="Aptos" w:hAnsi="Aptos" w:cs="Aptos"/>
          <w:color w:val="000000" w:themeColor="text1"/>
          <w:szCs w:val="22"/>
        </w:rPr>
        <w:t xml:space="preserve"> </w:t>
      </w:r>
      <w:r w:rsidR="00F771A4" w:rsidRPr="00B97D39">
        <w:rPr>
          <w:rFonts w:ascii="Aptos" w:eastAsia="Aptos" w:hAnsi="Aptos" w:cs="Aptos"/>
          <w:color w:val="000000" w:themeColor="text1"/>
          <w:szCs w:val="22"/>
        </w:rPr>
        <w:t>The</w:t>
      </w:r>
      <w:r w:rsidR="006B349E">
        <w:rPr>
          <w:rFonts w:ascii="Aptos" w:eastAsia="Aptos" w:hAnsi="Aptos" w:cs="Aptos"/>
          <w:color w:val="000000" w:themeColor="text1"/>
          <w:szCs w:val="22"/>
        </w:rPr>
        <w:t> </w:t>
      </w:r>
      <w:r w:rsidR="00F771A4" w:rsidRPr="00B97D39">
        <w:rPr>
          <w:rFonts w:ascii="Aptos" w:eastAsia="Aptos" w:hAnsi="Aptos" w:cs="Aptos"/>
          <w:color w:val="000000" w:themeColor="text1"/>
          <w:szCs w:val="22"/>
        </w:rPr>
        <w:t xml:space="preserve">Review </w:t>
      </w:r>
      <w:r w:rsidR="00570429" w:rsidRPr="00B97D39">
        <w:rPr>
          <w:rFonts w:ascii="Aptos" w:eastAsia="Aptos" w:hAnsi="Aptos" w:cs="Aptos"/>
          <w:color w:val="000000" w:themeColor="text1"/>
          <w:szCs w:val="22"/>
        </w:rPr>
        <w:t>considers the BBF</w:t>
      </w:r>
      <w:r>
        <w:rPr>
          <w:rFonts w:ascii="Aptos" w:eastAsia="Aptos" w:hAnsi="Aptos" w:cs="Aptos"/>
          <w:color w:val="000000" w:themeColor="text1"/>
          <w:szCs w:val="22"/>
        </w:rPr>
        <w:t xml:space="preserve"> could achieve its </w:t>
      </w:r>
      <w:r w:rsidRPr="00B97D39">
        <w:rPr>
          <w:rFonts w:ascii="Aptos" w:eastAsia="Aptos" w:hAnsi="Aptos" w:cs="Aptos"/>
          <w:color w:val="000000" w:themeColor="text1"/>
          <w:szCs w:val="22"/>
        </w:rPr>
        <w:t>purpose</w:t>
      </w:r>
      <w:r>
        <w:rPr>
          <w:rFonts w:ascii="Aptos" w:eastAsia="Aptos" w:hAnsi="Aptos" w:cs="Aptos"/>
          <w:color w:val="000000" w:themeColor="text1"/>
          <w:szCs w:val="22"/>
        </w:rPr>
        <w:t xml:space="preserve"> with a lower funding base, returning some of the revenue to the </w:t>
      </w:r>
      <w:r w:rsidR="00570429" w:rsidRPr="00B97D39">
        <w:rPr>
          <w:rFonts w:ascii="Aptos" w:eastAsia="Aptos" w:hAnsi="Aptos" w:cs="Aptos"/>
          <w:color w:val="000000" w:themeColor="text1"/>
          <w:szCs w:val="22"/>
        </w:rPr>
        <w:t>C</w:t>
      </w:r>
      <w:r w:rsidRPr="00B97D39">
        <w:rPr>
          <w:rFonts w:ascii="Aptos" w:eastAsia="Aptos" w:hAnsi="Aptos" w:cs="Aptos"/>
          <w:color w:val="000000" w:themeColor="text1"/>
          <w:szCs w:val="22"/>
        </w:rPr>
        <w:t xml:space="preserve">onsolidated </w:t>
      </w:r>
      <w:r w:rsidR="00570429" w:rsidRPr="00B97D39">
        <w:rPr>
          <w:rFonts w:ascii="Aptos" w:eastAsia="Aptos" w:hAnsi="Aptos" w:cs="Aptos"/>
          <w:color w:val="000000" w:themeColor="text1"/>
          <w:szCs w:val="22"/>
        </w:rPr>
        <w:t>F</w:t>
      </w:r>
      <w:r w:rsidRPr="00B97D39">
        <w:rPr>
          <w:rFonts w:ascii="Aptos" w:eastAsia="Aptos" w:hAnsi="Aptos" w:cs="Aptos"/>
          <w:color w:val="000000" w:themeColor="text1"/>
          <w:szCs w:val="22"/>
        </w:rPr>
        <w:t>und</w:t>
      </w:r>
      <w:r>
        <w:rPr>
          <w:rFonts w:ascii="Aptos" w:eastAsia="Aptos" w:hAnsi="Aptos" w:cs="Aptos"/>
          <w:color w:val="000000" w:themeColor="text1"/>
          <w:szCs w:val="22"/>
        </w:rPr>
        <w:t xml:space="preserve"> for other government priorities. </w:t>
      </w:r>
    </w:p>
    <w:p w14:paraId="1E36B5C2" w14:textId="77777777" w:rsidR="00883507" w:rsidRDefault="00883507" w:rsidP="009464DB">
      <w:pPr>
        <w:spacing w:before="60"/>
        <w:rPr>
          <w:b/>
        </w:rPr>
        <w:sectPr w:rsidR="00883507" w:rsidSect="00883507">
          <w:type w:val="continuous"/>
          <w:pgSz w:w="11906" w:h="16838"/>
          <w:pgMar w:top="1440" w:right="1440" w:bottom="1440" w:left="1440" w:header="708" w:footer="708" w:gutter="0"/>
          <w:cols w:num="2" w:space="708"/>
          <w:docGrid w:linePitch="360"/>
          <w15:footnoteColumns w:val="1"/>
        </w:sectPr>
      </w:pPr>
    </w:p>
    <w:tbl>
      <w:tblPr>
        <w:tblStyle w:val="TableGrid"/>
        <w:tblW w:w="0" w:type="auto"/>
        <w:tblLook w:val="04A0" w:firstRow="1" w:lastRow="0" w:firstColumn="1" w:lastColumn="0" w:noHBand="0" w:noVBand="1"/>
      </w:tblPr>
      <w:tblGrid>
        <w:gridCol w:w="7088"/>
        <w:gridCol w:w="1928"/>
      </w:tblGrid>
      <w:tr w:rsidR="007530C2" w14:paraId="068CC113" w14:textId="77777777" w:rsidTr="00140ED7">
        <w:trPr>
          <w:trHeight w:val="471"/>
        </w:trPr>
        <w:tc>
          <w:tcPr>
            <w:tcW w:w="7088" w:type="dxa"/>
            <w:tcBorders>
              <w:left w:val="nil"/>
              <w:right w:val="single" w:sz="18" w:space="0" w:color="FFFFFF" w:themeColor="background1"/>
            </w:tcBorders>
            <w:shd w:val="clear" w:color="auto" w:fill="E7E6E6"/>
          </w:tcPr>
          <w:p w14:paraId="10B3B2CE" w14:textId="77777777" w:rsidR="007530C2" w:rsidRPr="00D82735" w:rsidRDefault="007530C2" w:rsidP="009464DB">
            <w:pPr>
              <w:spacing w:before="60"/>
              <w:rPr>
                <w:b/>
              </w:rPr>
            </w:pPr>
            <w:r w:rsidRPr="00D82735">
              <w:rPr>
                <w:b/>
              </w:rPr>
              <w:t>Recommendation</w:t>
            </w:r>
          </w:p>
        </w:tc>
        <w:tc>
          <w:tcPr>
            <w:tcW w:w="1928" w:type="dxa"/>
            <w:tcBorders>
              <w:left w:val="single" w:sz="18" w:space="0" w:color="FFFFFF" w:themeColor="background1"/>
              <w:bottom w:val="single" w:sz="4" w:space="0" w:color="auto"/>
              <w:right w:val="nil"/>
            </w:tcBorders>
            <w:shd w:val="clear" w:color="auto" w:fill="E7E6E6"/>
          </w:tcPr>
          <w:p w14:paraId="58DF38A4" w14:textId="77777777" w:rsidR="007530C2" w:rsidRPr="00D82735" w:rsidRDefault="007530C2" w:rsidP="009464DB">
            <w:pPr>
              <w:spacing w:before="60"/>
              <w:rPr>
                <w:b/>
              </w:rPr>
            </w:pPr>
            <w:r w:rsidRPr="00D82735">
              <w:rPr>
                <w:b/>
              </w:rPr>
              <w:t>Savings</w:t>
            </w:r>
          </w:p>
        </w:tc>
      </w:tr>
      <w:tr w:rsidR="007530C2" w14:paraId="41382491" w14:textId="77777777" w:rsidTr="00140ED7">
        <w:trPr>
          <w:trHeight w:val="300"/>
        </w:trPr>
        <w:tc>
          <w:tcPr>
            <w:tcW w:w="7088" w:type="dxa"/>
            <w:tcBorders>
              <w:left w:val="nil"/>
              <w:right w:val="single" w:sz="4" w:space="0" w:color="F2F2F2" w:themeColor="background1" w:themeShade="F2"/>
            </w:tcBorders>
          </w:tcPr>
          <w:p w14:paraId="60D7B30B" w14:textId="3441441D" w:rsidR="007530C2" w:rsidRPr="00B5657D" w:rsidRDefault="007530C2" w:rsidP="009464DB">
            <w:pPr>
              <w:pStyle w:val="ListParagraph"/>
              <w:numPr>
                <w:ilvl w:val="1"/>
                <w:numId w:val="58"/>
              </w:numPr>
              <w:spacing w:before="60" w:after="60"/>
              <w:ind w:left="589" w:hanging="567"/>
              <w:contextualSpacing w:val="0"/>
              <w:rPr>
                <w:rFonts w:ascii="Aptos" w:eastAsia="Aptos" w:hAnsi="Aptos" w:cs="Aptos"/>
                <w:color w:val="000000" w:themeColor="text1"/>
                <w:szCs w:val="22"/>
              </w:rPr>
            </w:pPr>
            <w:r w:rsidRPr="00B5657D">
              <w:rPr>
                <w:rFonts w:ascii="Aptos" w:eastAsia="Aptos" w:hAnsi="Aptos" w:cs="Aptos"/>
                <w:color w:val="000000" w:themeColor="text1"/>
                <w:szCs w:val="22"/>
              </w:rPr>
              <w:t>R</w:t>
            </w:r>
            <w:r w:rsidRPr="00132C37">
              <w:rPr>
                <w:rFonts w:ascii="Aptos" w:eastAsia="Aptos" w:hAnsi="Aptos" w:cs="Aptos"/>
                <w:color w:val="000000" w:themeColor="text1"/>
              </w:rPr>
              <w:t xml:space="preserve">educe funding to the Better Boating </w:t>
            </w:r>
            <w:r w:rsidR="00570429">
              <w:rPr>
                <w:rFonts w:ascii="Aptos" w:eastAsia="Aptos" w:hAnsi="Aptos" w:cs="Aptos"/>
                <w:color w:val="000000" w:themeColor="text1"/>
              </w:rPr>
              <w:t>F</w:t>
            </w:r>
            <w:r w:rsidRPr="00132C37">
              <w:rPr>
                <w:rFonts w:ascii="Aptos" w:eastAsia="Aptos" w:hAnsi="Aptos" w:cs="Aptos"/>
                <w:color w:val="000000" w:themeColor="text1"/>
              </w:rPr>
              <w:t>und</w:t>
            </w:r>
            <w:r w:rsidR="00F53974">
              <w:rPr>
                <w:rFonts w:ascii="Aptos" w:eastAsia="Aptos" w:hAnsi="Aptos" w:cs="Aptos"/>
                <w:color w:val="000000" w:themeColor="text1"/>
              </w:rPr>
              <w:t>.</w:t>
            </w:r>
            <w:r w:rsidRPr="00132C37">
              <w:rPr>
                <w:rFonts w:ascii="Aptos" w:eastAsia="Aptos" w:hAnsi="Aptos" w:cs="Aptos"/>
                <w:color w:val="000000" w:themeColor="text1"/>
              </w:rPr>
              <w:t xml:space="preserve"> </w:t>
            </w:r>
          </w:p>
          <w:p w14:paraId="4DFC8F3A" w14:textId="77777777" w:rsidR="007530C2" w:rsidRDefault="007530C2" w:rsidP="009464DB">
            <w:pPr>
              <w:pStyle w:val="ListParagraph"/>
              <w:spacing w:before="60" w:after="60" w:line="278" w:lineRule="auto"/>
              <w:ind w:left="567" w:hanging="567"/>
              <w:contextualSpacing w:val="0"/>
              <w:rPr>
                <w:rFonts w:ascii="Aptos" w:eastAsia="Aptos" w:hAnsi="Aptos" w:cs="Aptos"/>
                <w:b/>
                <w:color w:val="000000" w:themeColor="text1"/>
              </w:rPr>
            </w:pPr>
          </w:p>
          <w:p w14:paraId="6D0F82ED" w14:textId="77777777" w:rsidR="007530C2" w:rsidRDefault="007530C2" w:rsidP="009464DB">
            <w:pPr>
              <w:pStyle w:val="ListParagraph"/>
              <w:spacing w:before="60" w:after="60" w:line="278" w:lineRule="auto"/>
              <w:ind w:left="0"/>
              <w:contextualSpacing w:val="0"/>
            </w:pPr>
          </w:p>
        </w:tc>
        <w:tc>
          <w:tcPr>
            <w:tcW w:w="1928" w:type="dxa"/>
            <w:tcBorders>
              <w:left w:val="single" w:sz="4" w:space="0" w:color="F2F2F2" w:themeColor="background1" w:themeShade="F2"/>
              <w:right w:val="nil"/>
            </w:tcBorders>
          </w:tcPr>
          <w:p w14:paraId="071EBCA8" w14:textId="18D7D75E" w:rsidR="007530C2" w:rsidRDefault="007530C2" w:rsidP="009464DB">
            <w:pPr>
              <w:pStyle w:val="ListParagraph"/>
              <w:spacing w:before="60" w:after="60"/>
              <w:ind w:left="0"/>
              <w:contextualSpacing w:val="0"/>
            </w:pPr>
            <w:r>
              <w:rPr>
                <w:rFonts w:ascii="Aptos" w:eastAsia="Aptos" w:hAnsi="Aptos" w:cs="Aptos"/>
                <w:color w:val="000000" w:themeColor="text1"/>
              </w:rPr>
              <w:t>$</w:t>
            </w:r>
            <w:r w:rsidRPr="68CE178C">
              <w:rPr>
                <w:rFonts w:ascii="Aptos" w:eastAsia="Aptos" w:hAnsi="Aptos" w:cs="Aptos"/>
                <w:color w:val="000000" w:themeColor="text1"/>
              </w:rPr>
              <w:t>4</w:t>
            </w:r>
            <w:r>
              <w:rPr>
                <w:rFonts w:ascii="Aptos" w:eastAsia="Aptos" w:hAnsi="Aptos" w:cs="Aptos"/>
                <w:color w:val="000000" w:themeColor="text1"/>
              </w:rPr>
              <w:t>2</w:t>
            </w:r>
            <w:r w:rsidRPr="68CE178C">
              <w:rPr>
                <w:rFonts w:ascii="Aptos" w:eastAsia="Aptos" w:hAnsi="Aptos" w:cs="Aptos"/>
                <w:color w:val="000000" w:themeColor="text1"/>
              </w:rPr>
              <w:t xml:space="preserve"> million over </w:t>
            </w:r>
            <w:r>
              <w:rPr>
                <w:rFonts w:ascii="Aptos" w:eastAsia="Aptos" w:hAnsi="Aptos" w:cs="Aptos"/>
                <w:color w:val="000000" w:themeColor="text1"/>
              </w:rPr>
              <w:t>4</w:t>
            </w:r>
            <w:r w:rsidR="007C47FF">
              <w:rPr>
                <w:rFonts w:ascii="Aptos" w:eastAsia="Aptos" w:hAnsi="Aptos" w:cs="Aptos"/>
                <w:color w:val="000000" w:themeColor="text1"/>
              </w:rPr>
              <w:t> </w:t>
            </w:r>
            <w:r w:rsidRPr="68CE178C">
              <w:rPr>
                <w:rFonts w:ascii="Aptos" w:eastAsia="Aptos" w:hAnsi="Aptos" w:cs="Aptos"/>
                <w:color w:val="000000" w:themeColor="text1"/>
              </w:rPr>
              <w:t>years</w:t>
            </w:r>
            <w:r>
              <w:rPr>
                <w:rFonts w:ascii="Aptos" w:eastAsia="Aptos" w:hAnsi="Aptos" w:cs="Aptos"/>
                <w:color w:val="000000" w:themeColor="text1"/>
              </w:rPr>
              <w:t xml:space="preserve"> </w:t>
            </w:r>
            <w:r>
              <w:t>from 2025–26, and $12</w:t>
            </w:r>
            <w:r w:rsidR="007C47FF">
              <w:t> </w:t>
            </w:r>
            <w:r>
              <w:t>million per annum ongoing</w:t>
            </w:r>
            <w:r w:rsidRPr="68CE178C">
              <w:rPr>
                <w:rFonts w:ascii="Aptos" w:eastAsia="Aptos" w:hAnsi="Aptos" w:cs="Aptos"/>
                <w:color w:val="000000" w:themeColor="text1"/>
              </w:rPr>
              <w:t>.</w:t>
            </w:r>
          </w:p>
        </w:tc>
      </w:tr>
    </w:tbl>
    <w:p w14:paraId="7EFB957B" w14:textId="77777777" w:rsidR="0084450D" w:rsidRDefault="0084450D" w:rsidP="002F3E62">
      <w:bookmarkStart w:id="113" w:name="_Toc202524006"/>
    </w:p>
    <w:p w14:paraId="3A855413" w14:textId="77777777" w:rsidR="0084450D" w:rsidRDefault="0084450D" w:rsidP="002F3E62">
      <w:r>
        <w:br w:type="page"/>
      </w:r>
    </w:p>
    <w:p w14:paraId="0C803E80" w14:textId="77777777" w:rsidR="00883507" w:rsidRDefault="00883507" w:rsidP="002112C8">
      <w:pPr>
        <w:pStyle w:val="Heading1"/>
      </w:pPr>
      <w:r>
        <w:lastRenderedPageBreak/>
        <w:br w:type="page"/>
      </w:r>
    </w:p>
    <w:p w14:paraId="6461A35A" w14:textId="55A3EB21" w:rsidR="002112C8" w:rsidRPr="00980EE4" w:rsidRDefault="0068471A" w:rsidP="002112C8">
      <w:pPr>
        <w:pStyle w:val="Heading1"/>
      </w:pPr>
      <w:bookmarkStart w:id="114" w:name="_Toc214912026"/>
      <w:r>
        <w:lastRenderedPageBreak/>
        <w:t xml:space="preserve">Chapter 9:  </w:t>
      </w:r>
      <w:r w:rsidR="002112C8" w:rsidRPr="00980EE4">
        <w:rPr>
          <w:bCs/>
        </w:rPr>
        <w:t>Implementation</w:t>
      </w:r>
      <w:r w:rsidR="00856BF9">
        <w:rPr>
          <w:bCs/>
        </w:rPr>
        <w:t xml:space="preserve"> of the Review</w:t>
      </w:r>
      <w:bookmarkEnd w:id="113"/>
      <w:bookmarkEnd w:id="114"/>
    </w:p>
    <w:p w14:paraId="10C4A165" w14:textId="77777777" w:rsidR="002112C8" w:rsidRPr="006C55AD" w:rsidRDefault="002112C8" w:rsidP="00CD2628">
      <w:pPr>
        <w:spacing w:before="160" w:after="80"/>
        <w:rPr>
          <w:b/>
          <w:bCs/>
        </w:rPr>
      </w:pPr>
      <w:r w:rsidRPr="00CD2628">
        <w:rPr>
          <w:rFonts w:asciiTheme="majorHAnsi" w:hAnsiTheme="majorHAnsi"/>
          <w:b/>
          <w:color w:val="0F4761" w:themeColor="accent1" w:themeShade="BF"/>
          <w:sz w:val="32"/>
          <w:szCs w:val="32"/>
        </w:rPr>
        <w:t xml:space="preserve">Key points </w:t>
      </w:r>
    </w:p>
    <w:p w14:paraId="6270502B" w14:textId="45365831" w:rsidR="002112C8" w:rsidRPr="00997C9F" w:rsidRDefault="002112C8" w:rsidP="005E3A89">
      <w:pPr>
        <w:pStyle w:val="ShadedBoxBullet"/>
      </w:pPr>
      <w:r w:rsidRPr="00997C9F">
        <w:t xml:space="preserve">Good implementation is everything. Dedicated effort and resources will be needed </w:t>
      </w:r>
      <w:r w:rsidR="00670426" w:rsidRPr="008E10BB">
        <w:t xml:space="preserve">over the </w:t>
      </w:r>
      <w:r w:rsidR="00094AE6" w:rsidRPr="00972611">
        <w:t>medium</w:t>
      </w:r>
      <w:r w:rsidR="00670426" w:rsidRPr="008E10BB">
        <w:t xml:space="preserve"> term</w:t>
      </w:r>
      <w:r w:rsidRPr="00997C9F">
        <w:t xml:space="preserve"> to implement changes successfully and appropriately while maintaining service delivery, with central leadership from DTF. </w:t>
      </w:r>
    </w:p>
    <w:p w14:paraId="09C06F78" w14:textId="77777777" w:rsidR="002112C8" w:rsidRPr="00997C9F" w:rsidRDefault="002112C8" w:rsidP="005E3A89">
      <w:pPr>
        <w:pStyle w:val="ShadedBoxBullet"/>
      </w:pPr>
      <w:r w:rsidRPr="00997C9F">
        <w:t>Unnecessary or lower-priority demands will need to be removed – or put on hold – to ensure adequate organisational bandwidth to focus on reforms proposed.</w:t>
      </w:r>
    </w:p>
    <w:p w14:paraId="0FDCEB55" w14:textId="21C1DBDD" w:rsidR="002112C8" w:rsidRPr="00087823" w:rsidRDefault="002112C8" w:rsidP="005E3A89">
      <w:pPr>
        <w:pStyle w:val="ShadedBoxBullet"/>
      </w:pPr>
      <w:r w:rsidRPr="198F9016">
        <w:t>Actions need to be pursued immediately and thoughtfully, with high level leadership and authority. Proceeding with pace will be crucial to build momentum</w:t>
      </w:r>
      <w:r w:rsidR="009017AB">
        <w:t xml:space="preserve"> </w:t>
      </w:r>
      <w:r w:rsidR="009017AB" w:rsidRPr="00972611">
        <w:t>and confidence for reform</w:t>
      </w:r>
      <w:r w:rsidRPr="198F9016">
        <w:t xml:space="preserve">. </w:t>
      </w:r>
    </w:p>
    <w:p w14:paraId="293CDB0C" w14:textId="13BB6699" w:rsidR="002112C8" w:rsidRPr="006C55AD" w:rsidRDefault="00CD2628" w:rsidP="00087823">
      <w:pPr>
        <w:pStyle w:val="Heading2"/>
        <w:rPr>
          <w:b w:val="0"/>
        </w:rPr>
      </w:pPr>
      <w:bookmarkStart w:id="115" w:name="_Toc202524007"/>
      <w:bookmarkStart w:id="116" w:name="_Toc214912027"/>
      <w:r>
        <w:t xml:space="preserve">9.1   </w:t>
      </w:r>
      <w:r w:rsidR="00E65F78">
        <w:t>U</w:t>
      </w:r>
      <w:r w:rsidR="002112C8" w:rsidRPr="00087823">
        <w:t>rgency</w:t>
      </w:r>
      <w:r w:rsidR="002112C8">
        <w:t xml:space="preserve"> for change</w:t>
      </w:r>
      <w:bookmarkEnd w:id="115"/>
      <w:bookmarkEnd w:id="116"/>
    </w:p>
    <w:p w14:paraId="2EEA66B4" w14:textId="77777777" w:rsidR="00883507" w:rsidRDefault="00883507" w:rsidP="00DC3990">
      <w:pPr>
        <w:rPr>
          <w:szCs w:val="22"/>
        </w:rPr>
        <w:sectPr w:rsidR="00883507" w:rsidSect="00AE6104">
          <w:type w:val="continuous"/>
          <w:pgSz w:w="11906" w:h="16838"/>
          <w:pgMar w:top="1440" w:right="1440" w:bottom="1440" w:left="1440" w:header="708" w:footer="708" w:gutter="0"/>
          <w:cols w:space="708"/>
          <w:docGrid w:linePitch="360"/>
          <w15:footnoteColumns w:val="1"/>
        </w:sectPr>
      </w:pPr>
    </w:p>
    <w:p w14:paraId="1EAC138F" w14:textId="77777777" w:rsidR="002112C8" w:rsidRDefault="002112C8" w:rsidP="00DC3990">
      <w:pPr>
        <w:rPr>
          <w:szCs w:val="22"/>
        </w:rPr>
      </w:pPr>
      <w:r w:rsidRPr="00997C9F">
        <w:rPr>
          <w:szCs w:val="22"/>
        </w:rPr>
        <w:t xml:space="preserve">Change </w:t>
      </w:r>
      <w:r>
        <w:rPr>
          <w:szCs w:val="22"/>
        </w:rPr>
        <w:t>can be</w:t>
      </w:r>
      <w:r w:rsidRPr="00997C9F">
        <w:rPr>
          <w:szCs w:val="22"/>
        </w:rPr>
        <w:t xml:space="preserve"> </w:t>
      </w:r>
      <w:r>
        <w:rPr>
          <w:szCs w:val="22"/>
        </w:rPr>
        <w:t>challenging</w:t>
      </w:r>
      <w:r w:rsidRPr="00997C9F">
        <w:rPr>
          <w:szCs w:val="22"/>
        </w:rPr>
        <w:t xml:space="preserve">. But – as this Review has shown </w:t>
      </w:r>
      <w:r>
        <w:rPr>
          <w:szCs w:val="22"/>
        </w:rPr>
        <w:t xml:space="preserve">– it </w:t>
      </w:r>
      <w:r w:rsidRPr="00997C9F">
        <w:rPr>
          <w:szCs w:val="22"/>
        </w:rPr>
        <w:t>is necessary.</w:t>
      </w:r>
      <w:r>
        <w:rPr>
          <w:szCs w:val="22"/>
        </w:rPr>
        <w:t xml:space="preserve"> </w:t>
      </w:r>
    </w:p>
    <w:p w14:paraId="4A771144" w14:textId="77777777" w:rsidR="002112C8" w:rsidRDefault="002112C8" w:rsidP="00DC3990">
      <w:pPr>
        <w:rPr>
          <w:szCs w:val="22"/>
        </w:rPr>
      </w:pPr>
      <w:r w:rsidRPr="00997C9F">
        <w:rPr>
          <w:szCs w:val="22"/>
        </w:rPr>
        <w:t>The hard work of implementing</w:t>
      </w:r>
      <w:r>
        <w:rPr>
          <w:szCs w:val="22"/>
        </w:rPr>
        <w:t xml:space="preserve"> recommended</w:t>
      </w:r>
      <w:r w:rsidRPr="00997C9F">
        <w:rPr>
          <w:szCs w:val="22"/>
        </w:rPr>
        <w:t xml:space="preserve"> change</w:t>
      </w:r>
      <w:r>
        <w:rPr>
          <w:szCs w:val="22"/>
        </w:rPr>
        <w:t>s</w:t>
      </w:r>
      <w:r w:rsidRPr="00997C9F">
        <w:rPr>
          <w:szCs w:val="22"/>
        </w:rPr>
        <w:t xml:space="preserve"> </w:t>
      </w:r>
      <w:r>
        <w:rPr>
          <w:szCs w:val="22"/>
        </w:rPr>
        <w:t xml:space="preserve">will </w:t>
      </w:r>
      <w:r w:rsidRPr="00997C9F">
        <w:rPr>
          <w:szCs w:val="22"/>
        </w:rPr>
        <w:t xml:space="preserve">need to begin </w:t>
      </w:r>
      <w:r>
        <w:rPr>
          <w:szCs w:val="22"/>
        </w:rPr>
        <w:t>immediately</w:t>
      </w:r>
      <w:r w:rsidRPr="00997C9F">
        <w:rPr>
          <w:szCs w:val="22"/>
        </w:rPr>
        <w:t xml:space="preserve"> </w:t>
      </w:r>
      <w:r>
        <w:rPr>
          <w:szCs w:val="22"/>
        </w:rPr>
        <w:t>to realise the benefits of increased budget flexibility, and a more streamlined and effective public sector. Implementation of changes will need to</w:t>
      </w:r>
      <w:r w:rsidRPr="00997C9F">
        <w:rPr>
          <w:szCs w:val="22"/>
        </w:rPr>
        <w:t xml:space="preserve"> proceed thoughtfully</w:t>
      </w:r>
      <w:r>
        <w:rPr>
          <w:szCs w:val="22"/>
        </w:rPr>
        <w:t xml:space="preserve"> and respectfully to achieve their intent</w:t>
      </w:r>
      <w:r w:rsidRPr="00997C9F">
        <w:rPr>
          <w:szCs w:val="22"/>
        </w:rPr>
        <w:t>.</w:t>
      </w:r>
    </w:p>
    <w:p w14:paraId="54DE4002" w14:textId="6CAB6190" w:rsidR="002112C8" w:rsidRDefault="002112C8" w:rsidP="00DC3990">
      <w:pPr>
        <w:rPr>
          <w:szCs w:val="22"/>
        </w:rPr>
      </w:pPr>
      <w:r>
        <w:rPr>
          <w:szCs w:val="22"/>
        </w:rPr>
        <w:t>The program of savings and efficiencies supported by the Review and committed by the government in the 2025/26</w:t>
      </w:r>
      <w:r w:rsidR="00DC3990">
        <w:rPr>
          <w:szCs w:val="22"/>
        </w:rPr>
        <w:t xml:space="preserve"> </w:t>
      </w:r>
      <w:r>
        <w:rPr>
          <w:szCs w:val="22"/>
        </w:rPr>
        <w:t xml:space="preserve">Budget will see initial changes implemented and benefits beginning to be realised this financial year. </w:t>
      </w:r>
    </w:p>
    <w:p w14:paraId="6D4A728D" w14:textId="77777777" w:rsidR="002112C8" w:rsidRPr="00FA158D" w:rsidRDefault="002112C8" w:rsidP="00DC3990">
      <w:pPr>
        <w:rPr>
          <w:szCs w:val="22"/>
        </w:rPr>
      </w:pPr>
      <w:r>
        <w:rPr>
          <w:szCs w:val="22"/>
        </w:rPr>
        <w:t xml:space="preserve">Reforms recommended by the Review in this report should also begin from now to start realising benefits from this year, over the forward estimates and beyond.  </w:t>
      </w:r>
    </w:p>
    <w:p w14:paraId="7172D5B0" w14:textId="77777777" w:rsidR="00883507" w:rsidRDefault="00883507" w:rsidP="00087823">
      <w:pPr>
        <w:pStyle w:val="Heading2"/>
        <w:sectPr w:rsidR="00883507" w:rsidSect="00883507">
          <w:type w:val="continuous"/>
          <w:pgSz w:w="11906" w:h="16838"/>
          <w:pgMar w:top="1440" w:right="1440" w:bottom="1440" w:left="1440" w:header="708" w:footer="708" w:gutter="0"/>
          <w:cols w:num="2" w:space="708"/>
          <w:docGrid w:linePitch="360"/>
          <w15:footnoteColumns w:val="1"/>
        </w:sectPr>
      </w:pPr>
      <w:bookmarkStart w:id="117" w:name="_Toc202524008"/>
    </w:p>
    <w:p w14:paraId="5C1985A7" w14:textId="43123E75" w:rsidR="002112C8" w:rsidRPr="006C55AD" w:rsidRDefault="00CD2628" w:rsidP="00087823">
      <w:pPr>
        <w:pStyle w:val="Heading2"/>
        <w:rPr>
          <w:b w:val="0"/>
        </w:rPr>
      </w:pPr>
      <w:bookmarkStart w:id="118" w:name="_Toc214912028"/>
      <w:r>
        <w:t xml:space="preserve">9.2   </w:t>
      </w:r>
      <w:r w:rsidR="00E65F78">
        <w:t>N</w:t>
      </w:r>
      <w:r w:rsidR="002112C8" w:rsidRPr="00087823">
        <w:t>eed</w:t>
      </w:r>
      <w:r w:rsidR="002112C8">
        <w:t xml:space="preserve"> for a </w:t>
      </w:r>
      <w:r w:rsidR="002112C8" w:rsidRPr="006C55AD">
        <w:t>dedicated implementation approach</w:t>
      </w:r>
      <w:bookmarkEnd w:id="117"/>
      <w:bookmarkEnd w:id="118"/>
      <w:r w:rsidR="002112C8" w:rsidRPr="006C55AD">
        <w:t xml:space="preserve"> </w:t>
      </w:r>
    </w:p>
    <w:p w14:paraId="2889CCCB" w14:textId="77777777" w:rsidR="003E001B" w:rsidRDefault="003E001B" w:rsidP="00DC3990">
      <w:pPr>
        <w:rPr>
          <w:szCs w:val="22"/>
        </w:rPr>
        <w:sectPr w:rsidR="003E001B" w:rsidSect="00AE6104">
          <w:type w:val="continuous"/>
          <w:pgSz w:w="11906" w:h="16838"/>
          <w:pgMar w:top="1440" w:right="1440" w:bottom="1440" w:left="1440" w:header="708" w:footer="708" w:gutter="0"/>
          <w:cols w:space="708"/>
          <w:docGrid w:linePitch="360"/>
          <w15:footnoteColumns w:val="1"/>
        </w:sectPr>
      </w:pPr>
    </w:p>
    <w:p w14:paraId="5A295060" w14:textId="3B0F346D" w:rsidR="002112C8" w:rsidRDefault="002112C8" w:rsidP="00DC3990">
      <w:pPr>
        <w:rPr>
          <w:szCs w:val="22"/>
        </w:rPr>
      </w:pPr>
      <w:r>
        <w:rPr>
          <w:szCs w:val="22"/>
        </w:rPr>
        <w:t xml:space="preserve">The Review has recommended significant savings and reform to reduce duplication, overlap and inefficiency in government spending. </w:t>
      </w:r>
      <w:r w:rsidRPr="00997C9F">
        <w:rPr>
          <w:szCs w:val="22"/>
        </w:rPr>
        <w:t xml:space="preserve">The Review </w:t>
      </w:r>
      <w:r>
        <w:rPr>
          <w:szCs w:val="22"/>
        </w:rPr>
        <w:t xml:space="preserve">has also set out </w:t>
      </w:r>
      <w:r w:rsidRPr="00286859">
        <w:rPr>
          <w:szCs w:val="22"/>
        </w:rPr>
        <w:t xml:space="preserve">a </w:t>
      </w:r>
      <w:r w:rsidR="00FB6CA3">
        <w:rPr>
          <w:szCs w:val="22"/>
        </w:rPr>
        <w:t>map</w:t>
      </w:r>
      <w:r w:rsidRPr="00286859">
        <w:rPr>
          <w:szCs w:val="22"/>
        </w:rPr>
        <w:t xml:space="preserve"> for a major reset of the machinery of government – its systems, practices and processes, the role and number of public entities, and the size and structure of the public service.</w:t>
      </w:r>
      <w:r>
        <w:rPr>
          <w:szCs w:val="22"/>
        </w:rPr>
        <w:t xml:space="preserve"> </w:t>
      </w:r>
    </w:p>
    <w:p w14:paraId="7D09D0E5" w14:textId="56D4581E" w:rsidR="002112C8" w:rsidRPr="00997C9F" w:rsidRDefault="002112C8" w:rsidP="00DC3990">
      <w:pPr>
        <w:rPr>
          <w:szCs w:val="22"/>
        </w:rPr>
      </w:pPr>
      <w:r w:rsidRPr="00997C9F">
        <w:rPr>
          <w:szCs w:val="22"/>
        </w:rPr>
        <w:t xml:space="preserve">The </w:t>
      </w:r>
      <w:r>
        <w:rPr>
          <w:szCs w:val="22"/>
        </w:rPr>
        <w:t xml:space="preserve">recommended </w:t>
      </w:r>
      <w:r w:rsidRPr="00997C9F">
        <w:rPr>
          <w:szCs w:val="22"/>
        </w:rPr>
        <w:t xml:space="preserve">changes are significant and </w:t>
      </w:r>
      <w:r>
        <w:rPr>
          <w:szCs w:val="22"/>
        </w:rPr>
        <w:t>will affect all VPS departments and many parts of the broader public sector</w:t>
      </w:r>
      <w:r w:rsidRPr="00997C9F">
        <w:rPr>
          <w:szCs w:val="22"/>
        </w:rPr>
        <w:t>.</w:t>
      </w:r>
      <w:r>
        <w:rPr>
          <w:szCs w:val="22"/>
        </w:rPr>
        <w:t xml:space="preserve"> There will also be concurrent and intersecting reforms that departments will </w:t>
      </w:r>
      <w:r>
        <w:rPr>
          <w:szCs w:val="22"/>
        </w:rPr>
        <w:t>need to coordinate – for example, implementation of programmatic savings and entity changes, alongside changes to streamline departmental structures.</w:t>
      </w:r>
      <w:r w:rsidR="004E788E">
        <w:rPr>
          <w:szCs w:val="22"/>
        </w:rPr>
        <w:t xml:space="preserve"> Changes will need to be </w:t>
      </w:r>
      <w:r>
        <w:rPr>
          <w:szCs w:val="22"/>
        </w:rPr>
        <w:t>implemented with</w:t>
      </w:r>
      <w:r w:rsidR="00F008AB">
        <w:rPr>
          <w:szCs w:val="22"/>
        </w:rPr>
        <w:t> </w:t>
      </w:r>
      <w:r>
        <w:rPr>
          <w:szCs w:val="22"/>
        </w:rPr>
        <w:t>focus, clarity and priority</w:t>
      </w:r>
      <w:r w:rsidR="004E788E">
        <w:rPr>
          <w:szCs w:val="22"/>
        </w:rPr>
        <w:t>.</w:t>
      </w:r>
      <w:r w:rsidRPr="00997C9F">
        <w:rPr>
          <w:szCs w:val="22"/>
        </w:rPr>
        <w:t xml:space="preserve"> </w:t>
      </w:r>
    </w:p>
    <w:p w14:paraId="7C9FD6C0" w14:textId="77777777" w:rsidR="002112C8" w:rsidRPr="00997C9F" w:rsidRDefault="002112C8" w:rsidP="00DC3990">
      <w:pPr>
        <w:rPr>
          <w:szCs w:val="22"/>
        </w:rPr>
      </w:pPr>
      <w:r w:rsidRPr="00997C9F">
        <w:rPr>
          <w:szCs w:val="22"/>
        </w:rPr>
        <w:t>To deliver this successfully, the VPS needs an implementation approach that takes account of the impact of change on staff and service delivery and can drive and support achievement of outcomes through good collaboration, planning and clear decision-making.</w:t>
      </w:r>
    </w:p>
    <w:p w14:paraId="1AFE83CE" w14:textId="58E845DD" w:rsidR="002112C8" w:rsidRPr="00997C9F" w:rsidRDefault="002112C8" w:rsidP="00DC3990">
      <w:pPr>
        <w:rPr>
          <w:szCs w:val="22"/>
        </w:rPr>
      </w:pPr>
      <w:r w:rsidRPr="00997C9F">
        <w:rPr>
          <w:szCs w:val="22"/>
        </w:rPr>
        <w:lastRenderedPageBreak/>
        <w:t>Dedicated resources</w:t>
      </w:r>
      <w:r>
        <w:rPr>
          <w:szCs w:val="22"/>
        </w:rPr>
        <w:t xml:space="preserve"> in central agencies</w:t>
      </w:r>
      <w:r w:rsidRPr="00997C9F">
        <w:rPr>
          <w:szCs w:val="22"/>
        </w:rPr>
        <w:t xml:space="preserve"> </w:t>
      </w:r>
      <w:r>
        <w:rPr>
          <w:szCs w:val="22"/>
        </w:rPr>
        <w:t xml:space="preserve">and </w:t>
      </w:r>
      <w:r w:rsidRPr="00997C9F">
        <w:rPr>
          <w:szCs w:val="22"/>
        </w:rPr>
        <w:t xml:space="preserve">in each department will be required. Unnecessary or lower-priority demands will </w:t>
      </w:r>
      <w:r w:rsidRPr="00997C9F">
        <w:rPr>
          <w:szCs w:val="22"/>
        </w:rPr>
        <w:t xml:space="preserve">need to be removed – or put on hold – to ensure adequate organisational bandwidth </w:t>
      </w:r>
      <w:r w:rsidRPr="008E10BB">
        <w:rPr>
          <w:szCs w:val="22"/>
        </w:rPr>
        <w:t>and resources</w:t>
      </w:r>
      <w:r>
        <w:rPr>
          <w:szCs w:val="22"/>
        </w:rPr>
        <w:t xml:space="preserve"> </w:t>
      </w:r>
      <w:r w:rsidRPr="00997C9F">
        <w:rPr>
          <w:szCs w:val="22"/>
        </w:rPr>
        <w:t xml:space="preserve">to focus on reforms. </w:t>
      </w:r>
    </w:p>
    <w:p w14:paraId="498247BC" w14:textId="77777777" w:rsidR="003E001B" w:rsidRDefault="003E001B" w:rsidP="002112C8">
      <w:pPr>
        <w:pStyle w:val="Heading2"/>
        <w:rPr>
          <w:bCs/>
        </w:rPr>
        <w:sectPr w:rsidR="003E001B" w:rsidSect="003E001B">
          <w:type w:val="continuous"/>
          <w:pgSz w:w="11906" w:h="16838"/>
          <w:pgMar w:top="1440" w:right="1440" w:bottom="1440" w:left="1440" w:header="708" w:footer="708" w:gutter="0"/>
          <w:cols w:num="2" w:space="708"/>
          <w:docGrid w:linePitch="360"/>
          <w15:footnoteColumns w:val="1"/>
        </w:sectPr>
      </w:pPr>
      <w:bookmarkStart w:id="119" w:name="_Toc202524009"/>
    </w:p>
    <w:p w14:paraId="311339A6" w14:textId="12E0B0E0" w:rsidR="002112C8" w:rsidRPr="00E809BA" w:rsidRDefault="00CD2628" w:rsidP="002112C8">
      <w:pPr>
        <w:pStyle w:val="Heading2"/>
        <w:rPr>
          <w:b w:val="0"/>
          <w:bCs/>
        </w:rPr>
      </w:pPr>
      <w:bookmarkStart w:id="120" w:name="_Toc214912029"/>
      <w:r>
        <w:rPr>
          <w:bCs/>
        </w:rPr>
        <w:t xml:space="preserve">9.3   </w:t>
      </w:r>
      <w:r w:rsidR="002112C8">
        <w:rPr>
          <w:bCs/>
        </w:rPr>
        <w:t xml:space="preserve">Implementation </w:t>
      </w:r>
      <w:r w:rsidR="002112C8" w:rsidRPr="00EE75DD">
        <w:rPr>
          <w:bCs/>
        </w:rPr>
        <w:t>governance</w:t>
      </w:r>
      <w:bookmarkEnd w:id="119"/>
      <w:bookmarkEnd w:id="120"/>
    </w:p>
    <w:p w14:paraId="2606E42B" w14:textId="77777777" w:rsidR="003E001B" w:rsidRDefault="003E001B" w:rsidP="00DC3990">
      <w:pPr>
        <w:rPr>
          <w:szCs w:val="22"/>
        </w:rPr>
        <w:sectPr w:rsidR="003E001B" w:rsidSect="00AE6104">
          <w:type w:val="continuous"/>
          <w:pgSz w:w="11906" w:h="16838"/>
          <w:pgMar w:top="1440" w:right="1440" w:bottom="1440" w:left="1440" w:header="708" w:footer="708" w:gutter="0"/>
          <w:cols w:space="708"/>
          <w:docGrid w:linePitch="360"/>
          <w15:footnoteColumns w:val="1"/>
        </w:sectPr>
      </w:pPr>
    </w:p>
    <w:p w14:paraId="4997578B" w14:textId="77777777" w:rsidR="002112C8" w:rsidRPr="00997C9F" w:rsidRDefault="002112C8" w:rsidP="00DC3990">
      <w:pPr>
        <w:rPr>
          <w:szCs w:val="22"/>
        </w:rPr>
      </w:pPr>
      <w:r w:rsidRPr="00997C9F">
        <w:rPr>
          <w:szCs w:val="22"/>
        </w:rPr>
        <w:t xml:space="preserve">Delivering reform at scale requires capability and leadership at both the centre of government and within departments. </w:t>
      </w:r>
      <w:r>
        <w:rPr>
          <w:szCs w:val="22"/>
        </w:rPr>
        <w:t>To that end, t</w:t>
      </w:r>
      <w:r w:rsidRPr="00997C9F">
        <w:rPr>
          <w:szCs w:val="22"/>
        </w:rPr>
        <w:t xml:space="preserve">he </w:t>
      </w:r>
      <w:r>
        <w:rPr>
          <w:szCs w:val="22"/>
        </w:rPr>
        <w:t>R</w:t>
      </w:r>
      <w:r w:rsidRPr="00997C9F">
        <w:rPr>
          <w:szCs w:val="22"/>
        </w:rPr>
        <w:t xml:space="preserve">eview proposes a distributed delivery model that </w:t>
      </w:r>
      <w:r>
        <w:rPr>
          <w:szCs w:val="22"/>
        </w:rPr>
        <w:t xml:space="preserve">includes strong central leadership and </w:t>
      </w:r>
      <w:r w:rsidRPr="00997C9F">
        <w:rPr>
          <w:szCs w:val="22"/>
        </w:rPr>
        <w:t>embeds accountability and support functions throughout the system.</w:t>
      </w:r>
    </w:p>
    <w:p w14:paraId="6952C949" w14:textId="77777777" w:rsidR="00F7335D" w:rsidRDefault="002112C8" w:rsidP="00DC3990">
      <w:pPr>
        <w:rPr>
          <w:szCs w:val="22"/>
        </w:rPr>
      </w:pPr>
      <w:r w:rsidRPr="00997C9F">
        <w:rPr>
          <w:szCs w:val="22"/>
        </w:rPr>
        <w:t xml:space="preserve">At the </w:t>
      </w:r>
      <w:r w:rsidRPr="00997C9F">
        <w:rPr>
          <w:b/>
          <w:bCs/>
          <w:szCs w:val="22"/>
        </w:rPr>
        <w:t>centre of government</w:t>
      </w:r>
      <w:r w:rsidRPr="00997C9F">
        <w:rPr>
          <w:szCs w:val="22"/>
        </w:rPr>
        <w:t xml:space="preserve">, </w:t>
      </w:r>
      <w:r w:rsidRPr="000C16D2">
        <w:rPr>
          <w:szCs w:val="22"/>
        </w:rPr>
        <w:t>a reform delivery unit should be established within DTF</w:t>
      </w:r>
      <w:r w:rsidRPr="00997C9F">
        <w:rPr>
          <w:szCs w:val="22"/>
        </w:rPr>
        <w:t xml:space="preserve"> to support and coordinate effort</w:t>
      </w:r>
      <w:r>
        <w:rPr>
          <w:szCs w:val="22"/>
        </w:rPr>
        <w:t>s</w:t>
      </w:r>
      <w:r w:rsidRPr="00997C9F">
        <w:rPr>
          <w:szCs w:val="22"/>
        </w:rPr>
        <w:t xml:space="preserve"> across government. Central influence and support </w:t>
      </w:r>
      <w:r w:rsidR="00EF1318">
        <w:rPr>
          <w:szCs w:val="22"/>
        </w:rPr>
        <w:t>are</w:t>
      </w:r>
      <w:r w:rsidRPr="00997C9F">
        <w:rPr>
          <w:szCs w:val="22"/>
        </w:rPr>
        <w:t xml:space="preserve"> essential to embedding new ways of working and delivering system-led reforms where the primary levers are funding, policy, governance, or structure. </w:t>
      </w:r>
    </w:p>
    <w:p w14:paraId="4E0638DA" w14:textId="148AC6FE" w:rsidR="002112C8" w:rsidRPr="00997C9F" w:rsidRDefault="00E24F16" w:rsidP="00DC3990">
      <w:pPr>
        <w:rPr>
          <w:szCs w:val="22"/>
        </w:rPr>
      </w:pPr>
      <w:r w:rsidRPr="008E10BB">
        <w:rPr>
          <w:szCs w:val="22"/>
        </w:rPr>
        <w:t>DTF should</w:t>
      </w:r>
      <w:r w:rsidR="0058585D" w:rsidRPr="008E10BB">
        <w:rPr>
          <w:szCs w:val="22"/>
        </w:rPr>
        <w:t xml:space="preserve"> develop an overarching implementation plan</w:t>
      </w:r>
      <w:r w:rsidR="0058585D" w:rsidRPr="008E10BB">
        <w:rPr>
          <w:b/>
          <w:szCs w:val="22"/>
        </w:rPr>
        <w:t xml:space="preserve"> </w:t>
      </w:r>
      <w:r w:rsidR="0058585D" w:rsidRPr="008E10BB">
        <w:rPr>
          <w:szCs w:val="22"/>
        </w:rPr>
        <w:t>for the Review’s recommendations, including confirmation of allocated accountabilities. DTF should also</w:t>
      </w:r>
      <w:r w:rsidR="00722A80" w:rsidRPr="008E10BB">
        <w:rPr>
          <w:szCs w:val="22"/>
        </w:rPr>
        <w:t xml:space="preserve"> provide </w:t>
      </w:r>
      <w:r w:rsidR="000B31B8" w:rsidRPr="00A046BC">
        <w:rPr>
          <w:szCs w:val="22"/>
        </w:rPr>
        <w:t>quarterly</w:t>
      </w:r>
      <w:r w:rsidR="00722A80" w:rsidRPr="008E10BB">
        <w:rPr>
          <w:szCs w:val="22"/>
        </w:rPr>
        <w:t xml:space="preserve"> updates </w:t>
      </w:r>
      <w:r w:rsidR="008D1781" w:rsidRPr="008E10BB">
        <w:rPr>
          <w:szCs w:val="22"/>
        </w:rPr>
        <w:t>of progress against milestones to</w:t>
      </w:r>
      <w:r w:rsidR="00CF0DB8" w:rsidRPr="008E10BB">
        <w:rPr>
          <w:szCs w:val="22"/>
        </w:rPr>
        <w:t xml:space="preserve"> VSB and the </w:t>
      </w:r>
      <w:r w:rsidR="00DD00DF" w:rsidRPr="008E10BB">
        <w:rPr>
          <w:szCs w:val="22"/>
        </w:rPr>
        <w:t>b</w:t>
      </w:r>
      <w:r w:rsidR="00CF0DB8" w:rsidRPr="008E10BB">
        <w:rPr>
          <w:szCs w:val="22"/>
        </w:rPr>
        <w:t xml:space="preserve">udget </w:t>
      </w:r>
      <w:r w:rsidR="00DD00DF" w:rsidRPr="008E10BB">
        <w:rPr>
          <w:szCs w:val="22"/>
        </w:rPr>
        <w:t>c</w:t>
      </w:r>
      <w:r w:rsidR="00CF0DB8" w:rsidRPr="008E10BB">
        <w:rPr>
          <w:szCs w:val="22"/>
        </w:rPr>
        <w:t>ommittee for at least the first two years following the Review</w:t>
      </w:r>
      <w:r w:rsidR="000B31B8" w:rsidRPr="00BA49F1">
        <w:rPr>
          <w:szCs w:val="22"/>
        </w:rPr>
        <w:t>, at which time the continued need should be formally assessed</w:t>
      </w:r>
      <w:r w:rsidR="008D1781" w:rsidRPr="008E10BB">
        <w:rPr>
          <w:szCs w:val="22"/>
        </w:rPr>
        <w:t>.</w:t>
      </w:r>
      <w:r w:rsidR="00602A0C" w:rsidRPr="008E10BB">
        <w:rPr>
          <w:szCs w:val="22"/>
        </w:rPr>
        <w:t xml:space="preserve"> </w:t>
      </w:r>
      <w:r w:rsidR="00963B9D" w:rsidRPr="008E10BB">
        <w:rPr>
          <w:szCs w:val="22"/>
        </w:rPr>
        <w:t xml:space="preserve">The VPSC should work </w:t>
      </w:r>
      <w:r w:rsidR="00602A0C" w:rsidRPr="008E10BB">
        <w:rPr>
          <w:szCs w:val="22"/>
        </w:rPr>
        <w:t>in partnership with DTF</w:t>
      </w:r>
      <w:r w:rsidR="00963B9D" w:rsidRPr="008E10BB">
        <w:rPr>
          <w:szCs w:val="22"/>
        </w:rPr>
        <w:t xml:space="preserve"> to monitor departments’ implementation</w:t>
      </w:r>
      <w:r w:rsidR="00602A0C" w:rsidRPr="008E10BB">
        <w:rPr>
          <w:szCs w:val="22"/>
        </w:rPr>
        <w:t xml:space="preserve"> of the structural changes recommended by the</w:t>
      </w:r>
      <w:r w:rsidR="00402979">
        <w:rPr>
          <w:szCs w:val="22"/>
        </w:rPr>
        <w:t> </w:t>
      </w:r>
      <w:r w:rsidR="00602A0C" w:rsidRPr="008E10BB">
        <w:rPr>
          <w:szCs w:val="22"/>
        </w:rPr>
        <w:t>Review</w:t>
      </w:r>
      <w:r w:rsidR="00963B9D" w:rsidRPr="008E10BB">
        <w:rPr>
          <w:szCs w:val="22"/>
        </w:rPr>
        <w:t>.</w:t>
      </w:r>
    </w:p>
    <w:p w14:paraId="5FBFD65D" w14:textId="19FBAA0A" w:rsidR="002112C8" w:rsidRPr="00997C9F" w:rsidRDefault="002112C8" w:rsidP="00DC3990">
      <w:pPr>
        <w:rPr>
          <w:szCs w:val="22"/>
        </w:rPr>
      </w:pPr>
      <w:r w:rsidRPr="00997C9F">
        <w:rPr>
          <w:szCs w:val="22"/>
        </w:rPr>
        <w:t xml:space="preserve">At the </w:t>
      </w:r>
      <w:r w:rsidRPr="00997C9F">
        <w:rPr>
          <w:b/>
          <w:bCs/>
          <w:szCs w:val="22"/>
        </w:rPr>
        <w:t>departmental level</w:t>
      </w:r>
      <w:r w:rsidRPr="00997C9F">
        <w:rPr>
          <w:szCs w:val="22"/>
        </w:rPr>
        <w:t xml:space="preserve">, </w:t>
      </w:r>
      <w:r w:rsidR="00DD00DF">
        <w:rPr>
          <w:szCs w:val="22"/>
        </w:rPr>
        <w:t>S</w:t>
      </w:r>
      <w:r w:rsidRPr="00997C9F">
        <w:rPr>
          <w:szCs w:val="22"/>
        </w:rPr>
        <w:t>ecretaries and nominated senior executives will need authorisation and support to lead internal reform delivery</w:t>
      </w:r>
      <w:r w:rsidR="00D94EA9">
        <w:rPr>
          <w:szCs w:val="22"/>
        </w:rPr>
        <w:t>, change management</w:t>
      </w:r>
      <w:r w:rsidRPr="00997C9F">
        <w:rPr>
          <w:szCs w:val="22"/>
        </w:rPr>
        <w:t xml:space="preserve"> and governance</w:t>
      </w:r>
      <w:r w:rsidR="00395508">
        <w:rPr>
          <w:szCs w:val="22"/>
        </w:rPr>
        <w:t>;</w:t>
      </w:r>
      <w:r w:rsidRPr="00997C9F">
        <w:rPr>
          <w:szCs w:val="22"/>
        </w:rPr>
        <w:t xml:space="preserve"> identify capability gaps and seek support; participate in cross-agency learning forums; report on reform </w:t>
      </w:r>
      <w:r w:rsidRPr="00997C9F">
        <w:rPr>
          <w:szCs w:val="22"/>
        </w:rPr>
        <w:t xml:space="preserve">confidence, risks, and benefits via a </w:t>
      </w:r>
      <w:r>
        <w:rPr>
          <w:szCs w:val="22"/>
        </w:rPr>
        <w:t>whole-of-government</w:t>
      </w:r>
      <w:r w:rsidRPr="00997C9F">
        <w:rPr>
          <w:szCs w:val="22"/>
        </w:rPr>
        <w:t xml:space="preserve"> dashboard; and track initiatives and update dashboard data.</w:t>
      </w:r>
    </w:p>
    <w:p w14:paraId="5D8F9F73" w14:textId="558FBE56" w:rsidR="002112C8" w:rsidRPr="00997C9F" w:rsidRDefault="002112C8" w:rsidP="00DC3990">
      <w:pPr>
        <w:rPr>
          <w:szCs w:val="22"/>
        </w:rPr>
      </w:pPr>
      <w:r w:rsidRPr="00997C9F">
        <w:rPr>
          <w:szCs w:val="22"/>
        </w:rPr>
        <w:t>This distributed approach ensures reform is owned and driven at multiple levels, while enabling central agencies to monitor progress, intervene early, and support peer learning across the VPS.</w:t>
      </w:r>
    </w:p>
    <w:p w14:paraId="69E4EDAB" w14:textId="7F419902" w:rsidR="002112C8" w:rsidRDefault="002112C8" w:rsidP="00DC3990">
      <w:pPr>
        <w:rPr>
          <w:szCs w:val="22"/>
        </w:rPr>
      </w:pPr>
      <w:r w:rsidRPr="00997C9F">
        <w:rPr>
          <w:b/>
          <w:bCs/>
          <w:szCs w:val="22"/>
        </w:rPr>
        <w:t>VSB</w:t>
      </w:r>
      <w:r w:rsidRPr="00997C9F">
        <w:rPr>
          <w:szCs w:val="22"/>
        </w:rPr>
        <w:t xml:space="preserve"> would play a critical governance role in stewarding system-wide reform alignment and accountability; reviewing reform performance and risks escalated from the central delivery unit in DTF; championing consistent reform expectations across portfolios; and agreeing the delivery model and decision-rights for each major reform</w:t>
      </w:r>
      <w:r w:rsidRPr="00F86416">
        <w:rPr>
          <w:szCs w:val="22"/>
        </w:rPr>
        <w:t>.</w:t>
      </w:r>
      <w:r w:rsidRPr="00997C9F">
        <w:rPr>
          <w:szCs w:val="22"/>
        </w:rPr>
        <w:t xml:space="preserve"> </w:t>
      </w:r>
    </w:p>
    <w:p w14:paraId="0E7EB2BC" w14:textId="24D091D9" w:rsidR="002112C8" w:rsidRPr="00997C9F" w:rsidRDefault="002112C8" w:rsidP="00DC3990">
      <w:pPr>
        <w:rPr>
          <w:szCs w:val="22"/>
        </w:rPr>
      </w:pPr>
      <w:r w:rsidRPr="008E10BB">
        <w:rPr>
          <w:b/>
          <w:szCs w:val="22"/>
        </w:rPr>
        <w:t>Executive government</w:t>
      </w:r>
      <w:r w:rsidRPr="008E10BB">
        <w:rPr>
          <w:szCs w:val="22"/>
        </w:rPr>
        <w:t xml:space="preserve"> </w:t>
      </w:r>
      <w:r w:rsidR="002B43A5" w:rsidRPr="008E10BB">
        <w:rPr>
          <w:szCs w:val="22"/>
        </w:rPr>
        <w:t>(</w:t>
      </w:r>
      <w:r w:rsidRPr="008E10BB">
        <w:rPr>
          <w:szCs w:val="22"/>
        </w:rPr>
        <w:t xml:space="preserve">via the </w:t>
      </w:r>
      <w:r w:rsidR="00DD00DF" w:rsidRPr="008E10BB">
        <w:rPr>
          <w:szCs w:val="22"/>
        </w:rPr>
        <w:t>b</w:t>
      </w:r>
      <w:r w:rsidRPr="008E10BB">
        <w:rPr>
          <w:szCs w:val="22"/>
        </w:rPr>
        <w:t xml:space="preserve">udget </w:t>
      </w:r>
      <w:r w:rsidR="00DD00DF" w:rsidRPr="008E10BB">
        <w:rPr>
          <w:szCs w:val="22"/>
        </w:rPr>
        <w:t>c</w:t>
      </w:r>
      <w:r w:rsidRPr="008E10BB">
        <w:rPr>
          <w:szCs w:val="22"/>
        </w:rPr>
        <w:t xml:space="preserve">ommittee </w:t>
      </w:r>
      <w:r w:rsidR="002B43A5" w:rsidRPr="008E10BB">
        <w:rPr>
          <w:szCs w:val="22"/>
        </w:rPr>
        <w:t xml:space="preserve">and other relevant committees) </w:t>
      </w:r>
      <w:r w:rsidRPr="008E10BB">
        <w:rPr>
          <w:szCs w:val="22"/>
        </w:rPr>
        <w:t xml:space="preserve">would be the </w:t>
      </w:r>
      <w:r w:rsidR="00324897" w:rsidRPr="00714324">
        <w:rPr>
          <w:szCs w:val="22"/>
        </w:rPr>
        <w:t>highest</w:t>
      </w:r>
      <w:r w:rsidRPr="008E10BB">
        <w:rPr>
          <w:szCs w:val="22"/>
        </w:rPr>
        <w:t xml:space="preserve"> element of the implementation governance, including </w:t>
      </w:r>
      <w:r w:rsidR="00781DC2" w:rsidRPr="008E10BB">
        <w:rPr>
          <w:szCs w:val="22"/>
        </w:rPr>
        <w:t xml:space="preserve">supporting recommendations, </w:t>
      </w:r>
      <w:r w:rsidR="00290139" w:rsidRPr="008E10BB">
        <w:rPr>
          <w:szCs w:val="22"/>
        </w:rPr>
        <w:t>and making</w:t>
      </w:r>
      <w:r w:rsidRPr="008E10BB">
        <w:rPr>
          <w:szCs w:val="22"/>
        </w:rPr>
        <w:t xml:space="preserve"> funding, machinery of government, legislation, policy or service decisions.</w:t>
      </w:r>
      <w:r>
        <w:rPr>
          <w:szCs w:val="22"/>
        </w:rPr>
        <w:t xml:space="preserve">  </w:t>
      </w:r>
    </w:p>
    <w:p w14:paraId="2D9B8235" w14:textId="57128B34" w:rsidR="002112C8" w:rsidRDefault="002112C8" w:rsidP="00DC3990">
      <w:pPr>
        <w:rPr>
          <w:szCs w:val="22"/>
        </w:rPr>
      </w:pPr>
      <w:r w:rsidRPr="00997C9F">
        <w:rPr>
          <w:szCs w:val="22"/>
        </w:rPr>
        <w:t xml:space="preserve">This </w:t>
      </w:r>
      <w:r>
        <w:rPr>
          <w:szCs w:val="22"/>
        </w:rPr>
        <w:t xml:space="preserve">model </w:t>
      </w:r>
      <w:r w:rsidR="006C0BCC" w:rsidRPr="00615EAF">
        <w:rPr>
          <w:szCs w:val="22"/>
        </w:rPr>
        <w:t>should</w:t>
      </w:r>
      <w:r w:rsidRPr="00615EAF">
        <w:rPr>
          <w:szCs w:val="22"/>
        </w:rPr>
        <w:t xml:space="preserve"> reinforce</w:t>
      </w:r>
      <w:r w:rsidRPr="00997C9F">
        <w:rPr>
          <w:szCs w:val="22"/>
        </w:rPr>
        <w:t xml:space="preserve"> shared ownership, </w:t>
      </w:r>
      <w:r w:rsidRPr="00615EAF">
        <w:rPr>
          <w:szCs w:val="22"/>
        </w:rPr>
        <w:t>avoid</w:t>
      </w:r>
      <w:r w:rsidRPr="00997C9F">
        <w:rPr>
          <w:szCs w:val="22"/>
        </w:rPr>
        <w:t xml:space="preserve"> duplication or ambiguity</w:t>
      </w:r>
      <w:r w:rsidR="00E5616B">
        <w:rPr>
          <w:szCs w:val="22"/>
        </w:rPr>
        <w:t> </w:t>
      </w:r>
      <w:r w:rsidRPr="00997C9F">
        <w:rPr>
          <w:szCs w:val="22"/>
        </w:rPr>
        <w:t>in</w:t>
      </w:r>
      <w:r w:rsidR="004D2C7A">
        <w:rPr>
          <w:szCs w:val="22"/>
        </w:rPr>
        <w:t> </w:t>
      </w:r>
      <w:r w:rsidRPr="00997C9F">
        <w:rPr>
          <w:szCs w:val="22"/>
        </w:rPr>
        <w:t xml:space="preserve">oversight, </w:t>
      </w:r>
      <w:r w:rsidR="00947F79" w:rsidRPr="00615EAF">
        <w:rPr>
          <w:szCs w:val="22"/>
        </w:rPr>
        <w:t>increase transparency of oversight,</w:t>
      </w:r>
      <w:r w:rsidRPr="00615EAF">
        <w:rPr>
          <w:szCs w:val="22"/>
        </w:rPr>
        <w:t xml:space="preserve"> </w:t>
      </w:r>
      <w:r w:rsidRPr="00997C9F">
        <w:rPr>
          <w:szCs w:val="22"/>
        </w:rPr>
        <w:t xml:space="preserve">and </w:t>
      </w:r>
      <w:r w:rsidR="003644F7" w:rsidRPr="00615EAF">
        <w:rPr>
          <w:szCs w:val="22"/>
        </w:rPr>
        <w:t>means</w:t>
      </w:r>
      <w:r w:rsidRPr="00997C9F">
        <w:rPr>
          <w:szCs w:val="22"/>
        </w:rPr>
        <w:t xml:space="preserve"> departments have confidence in where decisions sit</w:t>
      </w:r>
      <w:r w:rsidR="0059402E">
        <w:rPr>
          <w:szCs w:val="22"/>
        </w:rPr>
        <w:t xml:space="preserve"> – </w:t>
      </w:r>
      <w:r w:rsidRPr="00997C9F">
        <w:rPr>
          <w:szCs w:val="22"/>
        </w:rPr>
        <w:t xml:space="preserve">particularly for </w:t>
      </w:r>
      <w:r>
        <w:rPr>
          <w:szCs w:val="22"/>
        </w:rPr>
        <w:t>VPS-wide</w:t>
      </w:r>
      <w:r w:rsidRPr="00997C9F">
        <w:rPr>
          <w:szCs w:val="22"/>
        </w:rPr>
        <w:t xml:space="preserve"> or</w:t>
      </w:r>
      <w:r w:rsidR="00AD051E">
        <w:rPr>
          <w:szCs w:val="22"/>
        </w:rPr>
        <w:t> </w:t>
      </w:r>
      <w:r w:rsidRPr="00997C9F">
        <w:rPr>
          <w:szCs w:val="22"/>
        </w:rPr>
        <w:t>cross-cutting</w:t>
      </w:r>
      <w:r w:rsidR="00E5616B">
        <w:rPr>
          <w:szCs w:val="22"/>
        </w:rPr>
        <w:t xml:space="preserve"> </w:t>
      </w:r>
      <w:r w:rsidRPr="00997C9F">
        <w:rPr>
          <w:szCs w:val="22"/>
        </w:rPr>
        <w:t xml:space="preserve">reforms. </w:t>
      </w:r>
    </w:p>
    <w:p w14:paraId="46EFF7FD" w14:textId="722C9145" w:rsidR="002112C8" w:rsidRPr="00997C9F" w:rsidRDefault="002112C8" w:rsidP="002112C8">
      <w:pPr>
        <w:rPr>
          <w:szCs w:val="22"/>
        </w:rPr>
      </w:pPr>
      <w:r w:rsidRPr="00723955">
        <w:rPr>
          <w:szCs w:val="22"/>
        </w:rPr>
        <w:t xml:space="preserve">The Review notes that </w:t>
      </w:r>
      <w:r>
        <w:rPr>
          <w:szCs w:val="22"/>
        </w:rPr>
        <w:t xml:space="preserve">implementation of </w:t>
      </w:r>
      <w:proofErr w:type="gramStart"/>
      <w:r w:rsidRPr="00723955">
        <w:rPr>
          <w:szCs w:val="22"/>
        </w:rPr>
        <w:t>a number of</w:t>
      </w:r>
      <w:proofErr w:type="gramEnd"/>
      <w:r w:rsidRPr="00723955">
        <w:rPr>
          <w:szCs w:val="22"/>
        </w:rPr>
        <w:t xml:space="preserve"> its recommendations </w:t>
      </w:r>
      <w:r>
        <w:rPr>
          <w:szCs w:val="22"/>
        </w:rPr>
        <w:t xml:space="preserve">will </w:t>
      </w:r>
      <w:r w:rsidRPr="00723955">
        <w:rPr>
          <w:szCs w:val="22"/>
        </w:rPr>
        <w:t xml:space="preserve">engage existing legislative or other requirements. </w:t>
      </w:r>
      <w:proofErr w:type="gramStart"/>
      <w:r w:rsidRPr="00723955">
        <w:rPr>
          <w:szCs w:val="22"/>
        </w:rPr>
        <w:t>In particular, there</w:t>
      </w:r>
      <w:proofErr w:type="gramEnd"/>
      <w:r w:rsidRPr="00723955">
        <w:rPr>
          <w:szCs w:val="22"/>
        </w:rPr>
        <w:t xml:space="preserve"> is a range of obligations under the industrial framework for </w:t>
      </w:r>
      <w:r w:rsidRPr="00723955">
        <w:rPr>
          <w:szCs w:val="22"/>
        </w:rPr>
        <w:lastRenderedPageBreak/>
        <w:t xml:space="preserve">consultation in relation to the implementation of organisational change under the Victorian Public Service Enterprise Agreement 2024. </w:t>
      </w:r>
      <w:r>
        <w:rPr>
          <w:szCs w:val="22"/>
        </w:rPr>
        <w:t>I</w:t>
      </w:r>
      <w:r w:rsidRPr="00723955">
        <w:rPr>
          <w:szCs w:val="22"/>
        </w:rPr>
        <w:t>n practice</w:t>
      </w:r>
      <w:r w:rsidR="00C20A74">
        <w:rPr>
          <w:szCs w:val="22"/>
        </w:rPr>
        <w:t>,</w:t>
      </w:r>
      <w:r w:rsidRPr="00723955">
        <w:rPr>
          <w:szCs w:val="22"/>
        </w:rPr>
        <w:t xml:space="preserve"> this</w:t>
      </w:r>
      <w:r w:rsidR="00F35C28">
        <w:rPr>
          <w:szCs w:val="22"/>
        </w:rPr>
        <w:t> </w:t>
      </w:r>
      <w:r w:rsidRPr="00723955">
        <w:rPr>
          <w:szCs w:val="22"/>
        </w:rPr>
        <w:t xml:space="preserve">responsibility will sit with individual </w:t>
      </w:r>
      <w:r>
        <w:rPr>
          <w:szCs w:val="22"/>
        </w:rPr>
        <w:t xml:space="preserve">departmental </w:t>
      </w:r>
      <w:r w:rsidR="003F09DC">
        <w:rPr>
          <w:szCs w:val="22"/>
        </w:rPr>
        <w:t>S</w:t>
      </w:r>
      <w:r w:rsidRPr="00723955">
        <w:rPr>
          <w:szCs w:val="22"/>
        </w:rPr>
        <w:t>ecretaries and entity heads</w:t>
      </w:r>
      <w:r>
        <w:rPr>
          <w:szCs w:val="22"/>
        </w:rPr>
        <w:t>.</w:t>
      </w:r>
      <w:r w:rsidRPr="00723955">
        <w:rPr>
          <w:szCs w:val="22"/>
        </w:rPr>
        <w:t xml:space="preserve"> </w:t>
      </w:r>
      <w:r>
        <w:rPr>
          <w:szCs w:val="22"/>
        </w:rPr>
        <w:t>C</w:t>
      </w:r>
      <w:r w:rsidRPr="00723955">
        <w:rPr>
          <w:szCs w:val="22"/>
        </w:rPr>
        <w:t xml:space="preserve">entral support from Industrial Relations Victoria may be required </w:t>
      </w:r>
      <w:r w:rsidR="00755CAE">
        <w:rPr>
          <w:szCs w:val="22"/>
        </w:rPr>
        <w:t>for</w:t>
      </w:r>
      <w:r w:rsidRPr="00723955">
        <w:rPr>
          <w:szCs w:val="22"/>
        </w:rPr>
        <w:t xml:space="preserve"> consisten</w:t>
      </w:r>
      <w:r>
        <w:rPr>
          <w:szCs w:val="22"/>
        </w:rPr>
        <w:t>t best</w:t>
      </w:r>
      <w:r w:rsidR="005E2F74">
        <w:rPr>
          <w:szCs w:val="22"/>
        </w:rPr>
        <w:t> </w:t>
      </w:r>
      <w:r>
        <w:rPr>
          <w:szCs w:val="22"/>
        </w:rPr>
        <w:t xml:space="preserve">practice. </w:t>
      </w:r>
      <w:r w:rsidR="00755CAE" w:rsidRPr="00615EAF">
        <w:rPr>
          <w:szCs w:val="22"/>
        </w:rPr>
        <w:t xml:space="preserve">Consultation with the </w:t>
      </w:r>
      <w:r w:rsidR="003912C9" w:rsidRPr="00615EAF">
        <w:rPr>
          <w:szCs w:val="22"/>
        </w:rPr>
        <w:t xml:space="preserve">Community </w:t>
      </w:r>
      <w:r w:rsidR="00FF7A3F" w:rsidRPr="00615EAF">
        <w:rPr>
          <w:szCs w:val="22"/>
        </w:rPr>
        <w:t>and Public Sector Union will also be required.</w:t>
      </w:r>
      <w:r>
        <w:rPr>
          <w:szCs w:val="22"/>
        </w:rPr>
        <w:t xml:space="preserve"> </w:t>
      </w:r>
    </w:p>
    <w:p w14:paraId="716C1C89" w14:textId="77777777" w:rsidR="003E001B" w:rsidRDefault="003E001B" w:rsidP="00DC3990">
      <w:pPr>
        <w:pStyle w:val="Heading2"/>
        <w:sectPr w:rsidR="003E001B" w:rsidSect="003E001B">
          <w:type w:val="continuous"/>
          <w:pgSz w:w="11906" w:h="16838"/>
          <w:pgMar w:top="1440" w:right="1440" w:bottom="1440" w:left="1440" w:header="708" w:footer="708" w:gutter="0"/>
          <w:cols w:num="2" w:space="708"/>
          <w:docGrid w:linePitch="360"/>
          <w15:footnoteColumns w:val="1"/>
        </w:sectPr>
      </w:pPr>
      <w:bookmarkStart w:id="121" w:name="_Toc202524010"/>
    </w:p>
    <w:p w14:paraId="7F097B13" w14:textId="28D271B6" w:rsidR="002112C8" w:rsidRPr="00E80D24" w:rsidRDefault="00CD2628" w:rsidP="00DC3990">
      <w:pPr>
        <w:pStyle w:val="Heading2"/>
      </w:pPr>
      <w:bookmarkStart w:id="122" w:name="_Toc214912030"/>
      <w:r>
        <w:t xml:space="preserve">9.4   </w:t>
      </w:r>
      <w:r w:rsidR="002112C8">
        <w:t>Immediate priorities</w:t>
      </w:r>
      <w:bookmarkEnd w:id="121"/>
      <w:bookmarkEnd w:id="122"/>
      <w:r w:rsidR="002112C8">
        <w:t xml:space="preserve"> </w:t>
      </w:r>
    </w:p>
    <w:p w14:paraId="3FBA6BFC" w14:textId="77777777" w:rsidR="003E001B" w:rsidRDefault="003E001B" w:rsidP="003E001B">
      <w:pPr>
        <w:rPr>
          <w:szCs w:val="22"/>
        </w:rPr>
        <w:sectPr w:rsidR="003E001B" w:rsidSect="00AE6104">
          <w:type w:val="continuous"/>
          <w:pgSz w:w="11906" w:h="16838"/>
          <w:pgMar w:top="1440" w:right="1440" w:bottom="1440" w:left="1440" w:header="708" w:footer="708" w:gutter="0"/>
          <w:cols w:space="708"/>
          <w:docGrid w:linePitch="360"/>
          <w15:footnoteColumns w:val="1"/>
        </w:sectPr>
      </w:pPr>
    </w:p>
    <w:p w14:paraId="7DD16E8F" w14:textId="197BDC2D" w:rsidR="00B4125A" w:rsidRPr="003E001B" w:rsidRDefault="002112C8" w:rsidP="003E001B">
      <w:pPr>
        <w:rPr>
          <w:szCs w:val="22"/>
        </w:rPr>
      </w:pPr>
      <w:r w:rsidRPr="198F9016">
        <w:rPr>
          <w:szCs w:val="22"/>
        </w:rPr>
        <w:t xml:space="preserve">Getting started on implementation and moving at pace will be important for early gains and to build momentum and confidence for reform. Delay and uncertainty add to change fatigue and trepidation. </w:t>
      </w:r>
      <w:r>
        <w:rPr>
          <w:szCs w:val="22"/>
        </w:rPr>
        <w:t xml:space="preserve">Effective implementation </w:t>
      </w:r>
      <w:r>
        <w:rPr>
          <w:szCs w:val="22"/>
        </w:rPr>
        <w:t>requires c</w:t>
      </w:r>
      <w:r w:rsidRPr="198F9016">
        <w:rPr>
          <w:szCs w:val="22"/>
        </w:rPr>
        <w:t xml:space="preserve">lear decisions followed by </w:t>
      </w:r>
      <w:r>
        <w:rPr>
          <w:szCs w:val="22"/>
        </w:rPr>
        <w:t>detailed, staged</w:t>
      </w:r>
      <w:r w:rsidRPr="198F9016">
        <w:rPr>
          <w:szCs w:val="22"/>
        </w:rPr>
        <w:t xml:space="preserve"> plans to support momentum and change management, including supporting VPS staff.</w:t>
      </w:r>
      <w:r w:rsidR="000F5EC1">
        <w:rPr>
          <w:szCs w:val="22"/>
        </w:rPr>
        <w:t xml:space="preserve"> Box 9.1 outlines the Review’s </w:t>
      </w:r>
      <w:r w:rsidR="00984F7A">
        <w:rPr>
          <w:szCs w:val="22"/>
        </w:rPr>
        <w:t xml:space="preserve">recommended immediate priorities for </w:t>
      </w:r>
      <w:r w:rsidR="00481B4C">
        <w:rPr>
          <w:szCs w:val="22"/>
        </w:rPr>
        <w:t>2025</w:t>
      </w:r>
      <w:r w:rsidR="00216B39">
        <w:t>–</w:t>
      </w:r>
      <w:r w:rsidR="00481B4C">
        <w:rPr>
          <w:szCs w:val="22"/>
        </w:rPr>
        <w:t>26.</w:t>
      </w:r>
    </w:p>
    <w:p w14:paraId="6DCD80E1" w14:textId="77777777" w:rsidR="003E001B" w:rsidRDefault="003E001B" w:rsidP="00856A21">
      <w:pPr>
        <w:spacing w:before="60"/>
        <w:rPr>
          <w:b/>
          <w:bCs/>
          <w:szCs w:val="22"/>
        </w:rPr>
        <w:sectPr w:rsidR="003E001B" w:rsidSect="003E001B">
          <w:type w:val="continuous"/>
          <w:pgSz w:w="11906" w:h="16838"/>
          <w:pgMar w:top="1440" w:right="1440" w:bottom="1440" w:left="1440" w:header="708" w:footer="708" w:gutter="0"/>
          <w:cols w:num="2" w:space="708"/>
          <w:docGrid w:linePitch="360"/>
          <w15:footnoteColumns w:val="1"/>
        </w:sectPr>
      </w:pPr>
    </w:p>
    <w:p w14:paraId="0F67072F" w14:textId="77777777" w:rsidR="001030A3" w:rsidRDefault="001030A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blLook w:val="04A0" w:firstRow="1" w:lastRow="0" w:firstColumn="1" w:lastColumn="0" w:noHBand="0" w:noVBand="1"/>
      </w:tblPr>
      <w:tblGrid>
        <w:gridCol w:w="9016"/>
      </w:tblGrid>
      <w:tr w:rsidR="00DC3990" w14:paraId="2BE469EC" w14:textId="77777777" w:rsidTr="00267156">
        <w:tc>
          <w:tcPr>
            <w:tcW w:w="9016" w:type="dxa"/>
            <w:shd w:val="clear" w:color="auto" w:fill="E7E6E6"/>
          </w:tcPr>
          <w:p w14:paraId="6772126D" w14:textId="3E41ACAD" w:rsidR="00DC3990" w:rsidRPr="00DC3990" w:rsidRDefault="00DC3990" w:rsidP="00B82F43">
            <w:pPr>
              <w:spacing w:before="120"/>
              <w:rPr>
                <w:b/>
                <w:bCs/>
                <w:szCs w:val="22"/>
              </w:rPr>
            </w:pPr>
            <w:r w:rsidRPr="00DC3990">
              <w:rPr>
                <w:b/>
                <w:bCs/>
                <w:szCs w:val="22"/>
              </w:rPr>
              <w:t xml:space="preserve">Box 9.1: Immediate </w:t>
            </w:r>
            <w:r w:rsidR="00891A74">
              <w:rPr>
                <w:b/>
                <w:bCs/>
                <w:szCs w:val="22"/>
              </w:rPr>
              <w:t>implementation</w:t>
            </w:r>
            <w:r w:rsidRPr="00DC3990">
              <w:rPr>
                <w:b/>
                <w:bCs/>
                <w:szCs w:val="22"/>
              </w:rPr>
              <w:t xml:space="preserve"> priorities for 2025–26</w:t>
            </w:r>
          </w:p>
          <w:p w14:paraId="22ADA4D6" w14:textId="77777777" w:rsidR="00DC3990" w:rsidRDefault="00DC3990" w:rsidP="002112C8">
            <w:pPr>
              <w:rPr>
                <w:szCs w:val="22"/>
              </w:rPr>
            </w:pPr>
          </w:p>
          <w:p w14:paraId="640F4788" w14:textId="3EC9D043" w:rsidR="00DC3990" w:rsidRPr="00DC3990" w:rsidRDefault="00DC3990" w:rsidP="00D207B3">
            <w:pPr>
              <w:numPr>
                <w:ilvl w:val="0"/>
                <w:numId w:val="51"/>
              </w:numPr>
              <w:spacing w:after="160" w:line="278" w:lineRule="auto"/>
              <w:ind w:left="357" w:hanging="357"/>
              <w:rPr>
                <w:szCs w:val="22"/>
                <w:lang w:val="en-AU"/>
              </w:rPr>
            </w:pPr>
            <w:r w:rsidRPr="00DC3990">
              <w:rPr>
                <w:szCs w:val="22"/>
                <w:lang w:val="en-AU"/>
              </w:rPr>
              <w:t xml:space="preserve">DTF to develop an </w:t>
            </w:r>
            <w:r w:rsidRPr="00DC3990">
              <w:rPr>
                <w:b/>
                <w:bCs/>
                <w:szCs w:val="22"/>
                <w:lang w:val="en-AU"/>
              </w:rPr>
              <w:t xml:space="preserve">overarching implementation </w:t>
            </w:r>
            <w:r w:rsidRPr="00891A74">
              <w:rPr>
                <w:b/>
                <w:szCs w:val="22"/>
                <w:lang w:val="en-AU"/>
              </w:rPr>
              <w:t xml:space="preserve">plan </w:t>
            </w:r>
            <w:r w:rsidR="00891A74" w:rsidRPr="00891A74">
              <w:rPr>
                <w:szCs w:val="22"/>
                <w:lang w:val="en-AU"/>
              </w:rPr>
              <w:t>for the Review’s recommendations</w:t>
            </w:r>
            <w:r w:rsidR="00223AD4">
              <w:rPr>
                <w:szCs w:val="22"/>
                <w:lang w:val="en-AU"/>
              </w:rPr>
              <w:t xml:space="preserve">, </w:t>
            </w:r>
            <w:r w:rsidR="00223AD4" w:rsidRPr="008E10BB">
              <w:rPr>
                <w:szCs w:val="22"/>
                <w:lang w:val="en-AU"/>
              </w:rPr>
              <w:t>including confirmation of allocated accountabilities</w:t>
            </w:r>
            <w:r w:rsidR="00FF7A3F">
              <w:rPr>
                <w:szCs w:val="22"/>
                <w:lang w:val="en-AU"/>
              </w:rPr>
              <w:t xml:space="preserve"> </w:t>
            </w:r>
            <w:r w:rsidR="00FF7A3F" w:rsidRPr="00CA3981">
              <w:rPr>
                <w:szCs w:val="22"/>
                <w:lang w:val="en-AU"/>
              </w:rPr>
              <w:t>and key milestones</w:t>
            </w:r>
            <w:r w:rsidR="00223AD4">
              <w:rPr>
                <w:szCs w:val="22"/>
                <w:lang w:val="en-AU"/>
              </w:rPr>
              <w:t>,</w:t>
            </w:r>
            <w:r w:rsidRPr="00891A74">
              <w:rPr>
                <w:szCs w:val="22"/>
                <w:lang w:val="en-AU"/>
              </w:rPr>
              <w:t xml:space="preserve"> </w:t>
            </w:r>
            <w:r w:rsidRPr="00DC3990">
              <w:rPr>
                <w:szCs w:val="22"/>
                <w:lang w:val="en-AU"/>
              </w:rPr>
              <w:t xml:space="preserve">and </w:t>
            </w:r>
            <w:r w:rsidRPr="00891A74">
              <w:rPr>
                <w:szCs w:val="22"/>
                <w:lang w:val="en-AU"/>
              </w:rPr>
              <w:t>establish governance</w:t>
            </w:r>
            <w:r w:rsidRPr="00DC3990">
              <w:rPr>
                <w:szCs w:val="22"/>
                <w:lang w:val="en-AU"/>
              </w:rPr>
              <w:t xml:space="preserve"> by </w:t>
            </w:r>
            <w:r w:rsidR="008E159D" w:rsidRPr="00CA3981">
              <w:rPr>
                <w:szCs w:val="22"/>
                <w:lang w:val="en-AU"/>
              </w:rPr>
              <w:t>the end of the first quarter of</w:t>
            </w:r>
            <w:r w:rsidRPr="00DC3990">
              <w:rPr>
                <w:szCs w:val="22"/>
                <w:lang w:val="en-AU"/>
              </w:rPr>
              <w:t xml:space="preserve"> 2025</w:t>
            </w:r>
            <w:r w:rsidR="00216B39">
              <w:t>–</w:t>
            </w:r>
            <w:r w:rsidR="008E159D" w:rsidRPr="00CA3981">
              <w:rPr>
                <w:szCs w:val="22"/>
                <w:lang w:val="en-AU"/>
              </w:rPr>
              <w:t>26</w:t>
            </w:r>
            <w:r w:rsidRPr="00DC3990">
              <w:rPr>
                <w:szCs w:val="22"/>
                <w:lang w:val="en-AU"/>
              </w:rPr>
              <w:t xml:space="preserve">. </w:t>
            </w:r>
          </w:p>
          <w:p w14:paraId="3938214C" w14:textId="62554459" w:rsidR="00DC3990" w:rsidRPr="00DC3990" w:rsidRDefault="00DC3990" w:rsidP="00D207B3">
            <w:pPr>
              <w:numPr>
                <w:ilvl w:val="0"/>
                <w:numId w:val="51"/>
              </w:numPr>
              <w:spacing w:after="160" w:line="278" w:lineRule="auto"/>
              <w:ind w:left="357" w:hanging="357"/>
              <w:rPr>
                <w:szCs w:val="22"/>
                <w:lang w:val="en-AU"/>
              </w:rPr>
            </w:pPr>
            <w:r w:rsidRPr="00DC3990">
              <w:rPr>
                <w:szCs w:val="22"/>
                <w:lang w:val="en-AU"/>
              </w:rPr>
              <w:t xml:space="preserve">DTF to embed 10 enhanced </w:t>
            </w:r>
            <w:r w:rsidRPr="00DC3990">
              <w:rPr>
                <w:b/>
                <w:szCs w:val="22"/>
                <w:lang w:val="en-AU"/>
              </w:rPr>
              <w:t xml:space="preserve">financial management </w:t>
            </w:r>
            <w:r w:rsidR="00925D99">
              <w:rPr>
                <w:b/>
                <w:szCs w:val="22"/>
                <w:lang w:val="en-AU"/>
              </w:rPr>
              <w:t>rules</w:t>
            </w:r>
            <w:r>
              <w:rPr>
                <w:b/>
                <w:szCs w:val="22"/>
                <w:lang w:val="en-AU"/>
              </w:rPr>
              <w:t xml:space="preserve"> </w:t>
            </w:r>
            <w:r w:rsidRPr="00DC3990">
              <w:rPr>
                <w:szCs w:val="22"/>
                <w:lang w:val="en-AU"/>
              </w:rPr>
              <w:t>before the 2026</w:t>
            </w:r>
            <w:r w:rsidR="00216B39">
              <w:t>–</w:t>
            </w:r>
            <w:r w:rsidRPr="00DC3990">
              <w:rPr>
                <w:szCs w:val="22"/>
                <w:lang w:val="en-AU"/>
              </w:rPr>
              <w:t>27 budget process (with guidance to departments by September 2025), and DH, DEECA and DTP to</w:t>
            </w:r>
            <w:r w:rsidR="00E9696D">
              <w:rPr>
                <w:szCs w:val="22"/>
                <w:lang w:val="en-AU"/>
              </w:rPr>
              <w:t> </w:t>
            </w:r>
            <w:r w:rsidRPr="00DC3990">
              <w:rPr>
                <w:szCs w:val="22"/>
                <w:lang w:val="en-AU"/>
              </w:rPr>
              <w:t xml:space="preserve">commence work to present to </w:t>
            </w:r>
            <w:r w:rsidR="00E5175F" w:rsidRPr="008E4F6C">
              <w:rPr>
                <w:szCs w:val="22"/>
                <w:lang w:val="en-AU"/>
              </w:rPr>
              <w:t xml:space="preserve">the </w:t>
            </w:r>
            <w:r w:rsidR="009070C0">
              <w:rPr>
                <w:szCs w:val="22"/>
                <w:lang w:val="en-AU"/>
              </w:rPr>
              <w:t>b</w:t>
            </w:r>
            <w:r w:rsidR="00E5175F" w:rsidRPr="008E4F6C">
              <w:rPr>
                <w:szCs w:val="22"/>
                <w:lang w:val="en-AU"/>
              </w:rPr>
              <w:t xml:space="preserve">udget </w:t>
            </w:r>
            <w:r w:rsidR="009070C0">
              <w:rPr>
                <w:szCs w:val="22"/>
                <w:lang w:val="en-AU"/>
              </w:rPr>
              <w:t>c</w:t>
            </w:r>
            <w:r w:rsidR="00E5175F" w:rsidRPr="008E4F6C">
              <w:rPr>
                <w:szCs w:val="22"/>
                <w:lang w:val="en-AU"/>
              </w:rPr>
              <w:t>ommittee</w:t>
            </w:r>
            <w:r w:rsidRPr="00DC3990">
              <w:rPr>
                <w:szCs w:val="22"/>
                <w:lang w:val="en-AU"/>
              </w:rPr>
              <w:t xml:space="preserve"> later in 2025 for a first round of the </w:t>
            </w:r>
            <w:r w:rsidRPr="00DC3990">
              <w:rPr>
                <w:b/>
                <w:szCs w:val="22"/>
                <w:lang w:val="en-AU"/>
              </w:rPr>
              <w:t>new planning and review process</w:t>
            </w:r>
            <w:r w:rsidRPr="00DC3990">
              <w:rPr>
                <w:szCs w:val="22"/>
                <w:lang w:val="en-AU"/>
              </w:rPr>
              <w:t xml:space="preserve"> (Chapter </w:t>
            </w:r>
            <w:r w:rsidRPr="008E10BB">
              <w:rPr>
                <w:szCs w:val="22"/>
                <w:lang w:val="en-AU"/>
              </w:rPr>
              <w:t>3</w:t>
            </w:r>
            <w:r w:rsidRPr="00DC3990">
              <w:rPr>
                <w:szCs w:val="22"/>
                <w:lang w:val="en-AU"/>
              </w:rPr>
              <w:t>)</w:t>
            </w:r>
            <w:r>
              <w:rPr>
                <w:szCs w:val="22"/>
                <w:lang w:val="en-AU"/>
              </w:rPr>
              <w:t>.</w:t>
            </w:r>
          </w:p>
          <w:p w14:paraId="396221DF" w14:textId="3DC94721" w:rsidR="00DC3990" w:rsidRPr="00DC3990" w:rsidRDefault="00DC3990" w:rsidP="00D207B3">
            <w:pPr>
              <w:numPr>
                <w:ilvl w:val="0"/>
                <w:numId w:val="51"/>
              </w:numPr>
              <w:spacing w:after="160" w:line="278" w:lineRule="auto"/>
              <w:ind w:left="357" w:hanging="357"/>
              <w:rPr>
                <w:szCs w:val="22"/>
                <w:lang w:val="en-AU"/>
              </w:rPr>
            </w:pPr>
            <w:r w:rsidRPr="00DC3990">
              <w:rPr>
                <w:szCs w:val="22"/>
                <w:lang w:val="en-AU"/>
              </w:rPr>
              <w:t xml:space="preserve">DPC to develop an </w:t>
            </w:r>
            <w:r w:rsidRPr="00DC3990">
              <w:rPr>
                <w:b/>
                <w:bCs/>
                <w:szCs w:val="22"/>
                <w:lang w:val="en-AU"/>
              </w:rPr>
              <w:t>overarching Commonwealth-State relations strategy</w:t>
            </w:r>
            <w:r w:rsidRPr="00DC3990">
              <w:rPr>
                <w:szCs w:val="22"/>
                <w:lang w:val="en-AU"/>
              </w:rPr>
              <w:t xml:space="preserve"> </w:t>
            </w:r>
            <w:r w:rsidR="00925D99" w:rsidRPr="00CA3981">
              <w:rPr>
                <w:szCs w:val="22"/>
                <w:lang w:val="en-AU"/>
              </w:rPr>
              <w:t xml:space="preserve">for more strategic engagement </w:t>
            </w:r>
            <w:r w:rsidR="008009CE" w:rsidRPr="00CA3981">
              <w:rPr>
                <w:szCs w:val="22"/>
                <w:lang w:val="en-AU"/>
              </w:rPr>
              <w:t>with the</w:t>
            </w:r>
            <w:r w:rsidR="00766926" w:rsidRPr="00CA3981">
              <w:rPr>
                <w:szCs w:val="22"/>
                <w:lang w:val="en-AU"/>
              </w:rPr>
              <w:t xml:space="preserve"> Commonwealth</w:t>
            </w:r>
            <w:r w:rsidR="008009CE" w:rsidRPr="00CA3981">
              <w:rPr>
                <w:szCs w:val="22"/>
                <w:lang w:val="en-AU"/>
              </w:rPr>
              <w:t>.</w:t>
            </w:r>
            <w:r w:rsidRPr="00DC3990">
              <w:rPr>
                <w:szCs w:val="22"/>
                <w:lang w:val="en-AU"/>
              </w:rPr>
              <w:t xml:space="preserve"> Central agencies should also advocate strongly for </w:t>
            </w:r>
            <w:r w:rsidRPr="00DC3990">
              <w:rPr>
                <w:b/>
                <w:bCs/>
                <w:szCs w:val="22"/>
                <w:lang w:val="en-AU"/>
              </w:rPr>
              <w:t xml:space="preserve">better data sharing arrangements </w:t>
            </w:r>
            <w:r w:rsidR="00FF4C0A" w:rsidRPr="008E10BB">
              <w:rPr>
                <w:szCs w:val="22"/>
                <w:lang w:val="en-AU"/>
              </w:rPr>
              <w:t>with the Commonwealth</w:t>
            </w:r>
            <w:r w:rsidR="00FF4C0A" w:rsidRPr="00FF4C0A">
              <w:rPr>
                <w:szCs w:val="22"/>
                <w:lang w:val="en-AU"/>
              </w:rPr>
              <w:t xml:space="preserve"> </w:t>
            </w:r>
            <w:r w:rsidRPr="00DC3990">
              <w:rPr>
                <w:szCs w:val="22"/>
                <w:lang w:val="en-AU"/>
              </w:rPr>
              <w:t xml:space="preserve">in the immediate term (Chapter </w:t>
            </w:r>
            <w:r w:rsidRPr="008E10BB">
              <w:rPr>
                <w:szCs w:val="22"/>
                <w:lang w:val="en-AU"/>
              </w:rPr>
              <w:t>4</w:t>
            </w:r>
            <w:r w:rsidRPr="00DC3990">
              <w:rPr>
                <w:szCs w:val="22"/>
                <w:lang w:val="en-AU"/>
              </w:rPr>
              <w:t>)</w:t>
            </w:r>
            <w:r>
              <w:rPr>
                <w:szCs w:val="22"/>
                <w:lang w:val="en-AU"/>
              </w:rPr>
              <w:t>.</w:t>
            </w:r>
          </w:p>
          <w:p w14:paraId="04BA49DF" w14:textId="7D2D5405" w:rsidR="00DC3990" w:rsidRPr="00DC3990" w:rsidRDefault="00DC3990" w:rsidP="00D207B3">
            <w:pPr>
              <w:numPr>
                <w:ilvl w:val="0"/>
                <w:numId w:val="51"/>
              </w:numPr>
              <w:spacing w:after="160" w:line="278" w:lineRule="auto"/>
              <w:ind w:left="357" w:hanging="357"/>
              <w:rPr>
                <w:szCs w:val="22"/>
                <w:lang w:val="en-AU"/>
              </w:rPr>
            </w:pPr>
            <w:r w:rsidRPr="00DC3990">
              <w:rPr>
                <w:szCs w:val="22"/>
                <w:lang w:val="en-AU"/>
              </w:rPr>
              <w:t>All departments and relevant non-departmental entities to commence necessary work to</w:t>
            </w:r>
            <w:r w:rsidR="00770421">
              <w:rPr>
                <w:szCs w:val="22"/>
                <w:lang w:val="en-AU"/>
              </w:rPr>
              <w:t> </w:t>
            </w:r>
            <w:r w:rsidRPr="00DC3990">
              <w:rPr>
                <w:b/>
                <w:bCs/>
                <w:szCs w:val="22"/>
                <w:lang w:val="en-AU"/>
              </w:rPr>
              <w:t>reduce SES / STS numbers</w:t>
            </w:r>
            <w:r w:rsidRPr="00DC3990">
              <w:rPr>
                <w:szCs w:val="22"/>
                <w:lang w:val="en-AU"/>
              </w:rPr>
              <w:t xml:space="preserve"> and planning </w:t>
            </w:r>
            <w:r w:rsidRPr="00DC3990">
              <w:rPr>
                <w:b/>
                <w:bCs/>
                <w:szCs w:val="22"/>
                <w:lang w:val="en-AU"/>
              </w:rPr>
              <w:t>to rebalance the</w:t>
            </w:r>
            <w:r w:rsidRPr="00DC3990">
              <w:rPr>
                <w:szCs w:val="22"/>
                <w:lang w:val="en-AU"/>
              </w:rPr>
              <w:t xml:space="preserve"> </w:t>
            </w:r>
            <w:r w:rsidRPr="00DC3990">
              <w:rPr>
                <w:b/>
                <w:bCs/>
                <w:szCs w:val="22"/>
                <w:lang w:val="en-AU"/>
              </w:rPr>
              <w:t xml:space="preserve">distribution of VPS6 and VPS5 positions </w:t>
            </w:r>
            <w:r w:rsidRPr="00DC3990">
              <w:rPr>
                <w:szCs w:val="22"/>
                <w:lang w:val="en-AU"/>
              </w:rPr>
              <w:t>to more junior classifications</w:t>
            </w:r>
            <w:r w:rsidR="00076AB7">
              <w:rPr>
                <w:szCs w:val="22"/>
                <w:lang w:val="en-AU"/>
              </w:rPr>
              <w:t xml:space="preserve"> </w:t>
            </w:r>
            <w:r w:rsidR="00076AB7" w:rsidRPr="00DC3990">
              <w:rPr>
                <w:szCs w:val="22"/>
                <w:lang w:val="en-AU"/>
              </w:rPr>
              <w:t xml:space="preserve">(Chapter </w:t>
            </w:r>
            <w:r w:rsidR="00076AB7" w:rsidRPr="008E10BB">
              <w:rPr>
                <w:szCs w:val="22"/>
                <w:lang w:val="en-AU"/>
              </w:rPr>
              <w:t>5</w:t>
            </w:r>
            <w:r w:rsidR="00076AB7" w:rsidRPr="00DC3990">
              <w:rPr>
                <w:szCs w:val="22"/>
                <w:lang w:val="en-AU"/>
              </w:rPr>
              <w:t>)</w:t>
            </w:r>
            <w:r w:rsidRPr="00DC3990">
              <w:rPr>
                <w:szCs w:val="22"/>
                <w:lang w:val="en-AU"/>
              </w:rPr>
              <w:t xml:space="preserve">. </w:t>
            </w:r>
          </w:p>
          <w:p w14:paraId="79B0AC07" w14:textId="3DA86AF3" w:rsidR="00DC3990" w:rsidRPr="00DC3990" w:rsidRDefault="00DC3990" w:rsidP="00D207B3">
            <w:pPr>
              <w:numPr>
                <w:ilvl w:val="0"/>
                <w:numId w:val="51"/>
              </w:numPr>
              <w:spacing w:after="160" w:line="278" w:lineRule="auto"/>
              <w:ind w:left="357" w:hanging="357"/>
              <w:rPr>
                <w:szCs w:val="22"/>
                <w:lang w:val="en-AU"/>
              </w:rPr>
            </w:pPr>
            <w:r w:rsidRPr="00DC3990">
              <w:rPr>
                <w:szCs w:val="22"/>
                <w:lang w:val="en-AU"/>
              </w:rPr>
              <w:t xml:space="preserve">The VPSC (with DPC support) to undertake preparatory work to commence </w:t>
            </w:r>
            <w:r w:rsidRPr="00DC3990">
              <w:rPr>
                <w:b/>
                <w:szCs w:val="22"/>
                <w:lang w:val="en-AU"/>
              </w:rPr>
              <w:t>capability reviews</w:t>
            </w:r>
            <w:r w:rsidRPr="00DC3990">
              <w:rPr>
                <w:szCs w:val="22"/>
                <w:lang w:val="en-AU"/>
              </w:rPr>
              <w:t xml:space="preserve"> with DGS as the first department to be reviewed</w:t>
            </w:r>
            <w:r>
              <w:rPr>
                <w:szCs w:val="22"/>
                <w:lang w:val="en-AU"/>
              </w:rPr>
              <w:t xml:space="preserve"> </w:t>
            </w:r>
            <w:r w:rsidRPr="00DC3990">
              <w:rPr>
                <w:szCs w:val="22"/>
                <w:lang w:val="en-AU"/>
              </w:rPr>
              <w:t>(</w:t>
            </w:r>
            <w:r w:rsidRPr="008E10BB">
              <w:rPr>
                <w:szCs w:val="22"/>
                <w:lang w:val="en-AU"/>
              </w:rPr>
              <w:t>Chapters 5 and 7</w:t>
            </w:r>
            <w:r w:rsidRPr="00DC3990">
              <w:rPr>
                <w:szCs w:val="22"/>
                <w:lang w:val="en-AU"/>
              </w:rPr>
              <w:t>)</w:t>
            </w:r>
            <w:r>
              <w:rPr>
                <w:szCs w:val="22"/>
                <w:lang w:val="en-AU"/>
              </w:rPr>
              <w:t>.</w:t>
            </w:r>
          </w:p>
          <w:p w14:paraId="09C47558" w14:textId="4CAB2F7B" w:rsidR="00DC3990" w:rsidRPr="00DC3990" w:rsidRDefault="00DC3990" w:rsidP="00D207B3">
            <w:pPr>
              <w:numPr>
                <w:ilvl w:val="0"/>
                <w:numId w:val="51"/>
              </w:numPr>
              <w:spacing w:after="160" w:line="278" w:lineRule="auto"/>
              <w:ind w:left="357" w:hanging="357"/>
              <w:rPr>
                <w:szCs w:val="22"/>
                <w:lang w:val="en-AU"/>
              </w:rPr>
            </w:pPr>
            <w:r w:rsidRPr="00DC3990">
              <w:rPr>
                <w:szCs w:val="22"/>
                <w:lang w:val="en-AU"/>
              </w:rPr>
              <w:t xml:space="preserve">DPC and all departments to undertake necessary work for </w:t>
            </w:r>
            <w:r w:rsidR="008F1031" w:rsidRPr="008F1031">
              <w:rPr>
                <w:b/>
                <w:bCs/>
                <w:szCs w:val="22"/>
                <w:lang w:val="en-AU"/>
              </w:rPr>
              <w:t xml:space="preserve">public </w:t>
            </w:r>
            <w:r w:rsidRPr="00DC3990">
              <w:rPr>
                <w:b/>
                <w:bCs/>
                <w:szCs w:val="22"/>
                <w:lang w:val="en-AU"/>
              </w:rPr>
              <w:t>entity reform</w:t>
            </w:r>
            <w:r w:rsidR="008F1031" w:rsidRPr="008F1031">
              <w:rPr>
                <w:szCs w:val="22"/>
                <w:lang w:val="en-AU"/>
              </w:rPr>
              <w:t>, including preparation of an omnibus bill</w:t>
            </w:r>
            <w:r w:rsidR="00ED2B54">
              <w:rPr>
                <w:szCs w:val="22"/>
                <w:lang w:val="en-AU"/>
              </w:rPr>
              <w:t xml:space="preserve"> </w:t>
            </w:r>
            <w:r w:rsidR="00ED2B54" w:rsidRPr="00CA3981">
              <w:rPr>
                <w:szCs w:val="22"/>
                <w:lang w:val="en-AU"/>
              </w:rPr>
              <w:t xml:space="preserve">and planning for the </w:t>
            </w:r>
            <w:r w:rsidR="0061549F" w:rsidRPr="00CA3981">
              <w:rPr>
                <w:szCs w:val="22"/>
                <w:lang w:val="en-AU"/>
              </w:rPr>
              <w:t>early adoption of reform and savings through</w:t>
            </w:r>
            <w:r w:rsidR="00944414" w:rsidRPr="00CA3981">
              <w:rPr>
                <w:szCs w:val="22"/>
                <w:lang w:val="en-AU"/>
              </w:rPr>
              <w:t xml:space="preserve"> administrative actions</w:t>
            </w:r>
            <w:r w:rsidRPr="00CA3981">
              <w:rPr>
                <w:szCs w:val="22"/>
                <w:lang w:val="en-AU"/>
              </w:rPr>
              <w:t>.</w:t>
            </w:r>
            <w:r w:rsidRPr="00DC3990">
              <w:rPr>
                <w:szCs w:val="22"/>
                <w:lang w:val="en-AU"/>
              </w:rPr>
              <w:t xml:space="preserve"> DPC to lead a rapid process to confirm the need for the 90 </w:t>
            </w:r>
            <w:r w:rsidRPr="00DC3990">
              <w:rPr>
                <w:b/>
                <w:bCs/>
                <w:szCs w:val="22"/>
                <w:lang w:val="en-AU"/>
              </w:rPr>
              <w:t>advisory committees</w:t>
            </w:r>
            <w:r>
              <w:rPr>
                <w:b/>
                <w:szCs w:val="22"/>
                <w:lang w:val="en-AU"/>
              </w:rPr>
              <w:t xml:space="preserve"> </w:t>
            </w:r>
            <w:r w:rsidRPr="00DC3990">
              <w:rPr>
                <w:szCs w:val="22"/>
                <w:lang w:val="en-AU"/>
              </w:rPr>
              <w:t xml:space="preserve">(Chapter </w:t>
            </w:r>
            <w:r w:rsidRPr="008E10BB">
              <w:rPr>
                <w:szCs w:val="22"/>
                <w:lang w:val="en-AU"/>
              </w:rPr>
              <w:t>6</w:t>
            </w:r>
            <w:r w:rsidRPr="00DC3990">
              <w:rPr>
                <w:szCs w:val="22"/>
                <w:lang w:val="en-AU"/>
              </w:rPr>
              <w:t>)</w:t>
            </w:r>
            <w:r w:rsidR="00076AB7">
              <w:rPr>
                <w:szCs w:val="22"/>
                <w:lang w:val="en-AU"/>
              </w:rPr>
              <w:t>.</w:t>
            </w:r>
          </w:p>
          <w:p w14:paraId="50D65A8E" w14:textId="42152796" w:rsidR="00DC3990" w:rsidRPr="00DC3990" w:rsidRDefault="00DC3990" w:rsidP="00D207B3">
            <w:pPr>
              <w:numPr>
                <w:ilvl w:val="0"/>
                <w:numId w:val="51"/>
              </w:numPr>
              <w:spacing w:after="160" w:line="278" w:lineRule="auto"/>
              <w:ind w:left="357" w:hanging="357"/>
              <w:rPr>
                <w:szCs w:val="22"/>
                <w:lang w:val="en-AU"/>
              </w:rPr>
            </w:pPr>
            <w:r w:rsidRPr="00DC3990">
              <w:rPr>
                <w:szCs w:val="22"/>
                <w:lang w:val="en-AU"/>
              </w:rPr>
              <w:lastRenderedPageBreak/>
              <w:t>DGS</w:t>
            </w:r>
            <w:r w:rsidR="0030201A">
              <w:rPr>
                <w:szCs w:val="22"/>
                <w:lang w:val="en-AU"/>
              </w:rPr>
              <w:t xml:space="preserve">, </w:t>
            </w:r>
            <w:r w:rsidR="0030201A" w:rsidRPr="008E10BB">
              <w:rPr>
                <w:szCs w:val="22"/>
                <w:lang w:val="en-AU"/>
              </w:rPr>
              <w:t>DTF and DPC</w:t>
            </w:r>
            <w:r w:rsidRPr="00DC3990">
              <w:rPr>
                <w:szCs w:val="22"/>
                <w:lang w:val="en-AU"/>
              </w:rPr>
              <w:t xml:space="preserve"> to commence planning for </w:t>
            </w:r>
            <w:r w:rsidRPr="00DC3990">
              <w:rPr>
                <w:b/>
                <w:bCs/>
                <w:szCs w:val="22"/>
                <w:lang w:val="en-AU"/>
              </w:rPr>
              <w:t>shared service</w:t>
            </w:r>
            <w:r w:rsidRPr="0030201A">
              <w:rPr>
                <w:b/>
                <w:szCs w:val="22"/>
                <w:lang w:val="en-AU"/>
              </w:rPr>
              <w:t>s</w:t>
            </w:r>
            <w:r w:rsidRPr="00DC3990">
              <w:rPr>
                <w:szCs w:val="22"/>
                <w:lang w:val="en-AU"/>
              </w:rPr>
              <w:t xml:space="preserve"> </w:t>
            </w:r>
            <w:r w:rsidRPr="00156153">
              <w:rPr>
                <w:b/>
                <w:szCs w:val="22"/>
                <w:lang w:val="en-AU"/>
              </w:rPr>
              <w:t>reform</w:t>
            </w:r>
            <w:r w:rsidR="0030201A">
              <w:rPr>
                <w:szCs w:val="22"/>
                <w:lang w:val="en-AU"/>
              </w:rPr>
              <w:t xml:space="preserve">, </w:t>
            </w:r>
            <w:r w:rsidR="0030201A" w:rsidRPr="008E10BB">
              <w:rPr>
                <w:szCs w:val="22"/>
                <w:lang w:val="en-AU"/>
              </w:rPr>
              <w:t xml:space="preserve">including </w:t>
            </w:r>
            <w:r w:rsidR="00156153">
              <w:rPr>
                <w:szCs w:val="22"/>
                <w:lang w:val="en-AU"/>
              </w:rPr>
              <w:t xml:space="preserve">establishing </w:t>
            </w:r>
            <w:r w:rsidR="0030201A" w:rsidRPr="008E10BB">
              <w:rPr>
                <w:szCs w:val="22"/>
                <w:lang w:val="en-AU"/>
              </w:rPr>
              <w:t>recommended governance</w:t>
            </w:r>
            <w:r w:rsidRPr="00DC3990">
              <w:rPr>
                <w:szCs w:val="22"/>
                <w:lang w:val="en-AU"/>
              </w:rPr>
              <w:t xml:space="preserve"> (Chapter </w:t>
            </w:r>
            <w:r w:rsidRPr="008E10BB">
              <w:rPr>
                <w:szCs w:val="22"/>
                <w:lang w:val="en-AU"/>
              </w:rPr>
              <w:t>7</w:t>
            </w:r>
            <w:r w:rsidRPr="00DC3990">
              <w:rPr>
                <w:szCs w:val="22"/>
                <w:lang w:val="en-AU"/>
              </w:rPr>
              <w:t>).</w:t>
            </w:r>
          </w:p>
          <w:p w14:paraId="2456AAD5" w14:textId="459DA10E" w:rsidR="00DC3990" w:rsidRPr="00DC3990" w:rsidRDefault="00DC3990" w:rsidP="00D207B3">
            <w:pPr>
              <w:numPr>
                <w:ilvl w:val="0"/>
                <w:numId w:val="51"/>
              </w:numPr>
              <w:spacing w:after="160" w:line="278" w:lineRule="auto"/>
              <w:ind w:left="357" w:hanging="357"/>
              <w:rPr>
                <w:szCs w:val="22"/>
                <w:lang w:val="en-AU"/>
              </w:rPr>
            </w:pPr>
            <w:r w:rsidRPr="00DC3990">
              <w:rPr>
                <w:szCs w:val="22"/>
                <w:lang w:val="en-AU"/>
              </w:rPr>
              <w:t xml:space="preserve">Relevant departments to prepare for and commence implementation of </w:t>
            </w:r>
            <w:r w:rsidRPr="00DC3990">
              <w:rPr>
                <w:b/>
                <w:bCs/>
                <w:szCs w:val="22"/>
                <w:lang w:val="en-AU"/>
              </w:rPr>
              <w:t xml:space="preserve">portfolio reforms and additional savings opportunities </w:t>
            </w:r>
            <w:r w:rsidRPr="00DC3990">
              <w:rPr>
                <w:szCs w:val="22"/>
                <w:lang w:val="en-AU"/>
              </w:rPr>
              <w:t xml:space="preserve">(Chapter </w:t>
            </w:r>
            <w:r w:rsidRPr="008E10BB">
              <w:rPr>
                <w:szCs w:val="22"/>
                <w:lang w:val="en-AU"/>
              </w:rPr>
              <w:t>8</w:t>
            </w:r>
            <w:r w:rsidRPr="00DC3990">
              <w:rPr>
                <w:szCs w:val="22"/>
                <w:lang w:val="en-AU"/>
              </w:rPr>
              <w:t>).</w:t>
            </w:r>
          </w:p>
        </w:tc>
      </w:tr>
    </w:tbl>
    <w:p w14:paraId="29C383C3" w14:textId="76A6443C" w:rsidR="002112C8" w:rsidRDefault="002112C8" w:rsidP="002112C8">
      <w:pPr>
        <w:rPr>
          <w:szCs w:val="22"/>
        </w:rPr>
      </w:pPr>
    </w:p>
    <w:p w14:paraId="2A91B688" w14:textId="5B6DAA38" w:rsidR="002112C8" w:rsidRPr="00CC04E4" w:rsidRDefault="00CD2628" w:rsidP="00DC3990">
      <w:pPr>
        <w:pStyle w:val="Heading2"/>
      </w:pPr>
      <w:bookmarkStart w:id="123" w:name="_Toc214912031"/>
      <w:r>
        <w:rPr>
          <w:bCs/>
        </w:rPr>
        <w:t xml:space="preserve">9.5   </w:t>
      </w:r>
      <w:bookmarkStart w:id="124" w:name="_Toc202524012"/>
      <w:r w:rsidR="002112C8" w:rsidRPr="00AE7531">
        <w:t>Recommendation</w:t>
      </w:r>
      <w:r w:rsidR="00DC3990">
        <w:t>s</w:t>
      </w:r>
      <w:bookmarkEnd w:id="123"/>
      <w:bookmarkEnd w:id="124"/>
      <w:r w:rsidR="002112C8" w:rsidRPr="00AE7531">
        <w:t xml:space="preserve"> </w:t>
      </w:r>
    </w:p>
    <w:tbl>
      <w:tblPr>
        <w:tblStyle w:val="TableGrid"/>
        <w:tblW w:w="0" w:type="auto"/>
        <w:tblBorders>
          <w:top w:val="single" w:sz="4" w:space="0" w:color="156082" w:themeColor="accent1"/>
          <w:left w:val="single" w:sz="4" w:space="0" w:color="156082" w:themeColor="accent1"/>
          <w:bottom w:val="single" w:sz="4" w:space="0" w:color="156082" w:themeColor="accent1"/>
          <w:right w:val="single" w:sz="4" w:space="0" w:color="156082" w:themeColor="accent1"/>
          <w:insideH w:val="none" w:sz="0" w:space="0" w:color="auto"/>
          <w:insideV w:val="none" w:sz="0" w:space="0" w:color="auto"/>
        </w:tblBorders>
        <w:tblLook w:val="04A0" w:firstRow="1" w:lastRow="0" w:firstColumn="1" w:lastColumn="0" w:noHBand="0" w:noVBand="1"/>
      </w:tblPr>
      <w:tblGrid>
        <w:gridCol w:w="9016"/>
      </w:tblGrid>
      <w:tr w:rsidR="002112C8" w14:paraId="4DBCE19C" w14:textId="77777777" w:rsidTr="00352512">
        <w:tc>
          <w:tcPr>
            <w:tcW w:w="9016" w:type="dxa"/>
          </w:tcPr>
          <w:p w14:paraId="0E9FD0E1" w14:textId="79B245A6" w:rsidR="00622EEC" w:rsidRPr="00622EEC" w:rsidRDefault="00622EEC" w:rsidP="00622EEC">
            <w:pPr>
              <w:pStyle w:val="ListParagraph"/>
              <w:numPr>
                <w:ilvl w:val="1"/>
                <w:numId w:val="50"/>
              </w:numPr>
              <w:spacing w:before="60" w:after="160" w:line="278" w:lineRule="auto"/>
              <w:ind w:left="567" w:hanging="567"/>
              <w:contextualSpacing w:val="0"/>
              <w:rPr>
                <w:rFonts w:eastAsia="Aptos" w:cs="Aptos"/>
                <w:color w:val="000000" w:themeColor="text1"/>
                <w:szCs w:val="22"/>
              </w:rPr>
            </w:pPr>
            <w:r w:rsidRPr="00622EEC">
              <w:rPr>
                <w:rFonts w:ascii="Aptos" w:eastAsia="Aptos" w:hAnsi="Aptos" w:cs="Aptos"/>
                <w:color w:val="000000" w:themeColor="text1"/>
                <w:szCs w:val="22"/>
              </w:rPr>
              <w:t xml:space="preserve">Establish a dedicated delivery unit within DTF to plan, implement, monitor and </w:t>
            </w:r>
            <w:r w:rsidRPr="006C6BFF">
              <w:rPr>
                <w:rFonts w:ascii="Aptos" w:eastAsia="Aptos" w:hAnsi="Aptos" w:cs="Aptos"/>
                <w:color w:val="000000" w:themeColor="text1"/>
                <w:szCs w:val="22"/>
              </w:rPr>
              <w:t>report to VSB and the budget committee</w:t>
            </w:r>
            <w:r w:rsidRPr="00622EEC">
              <w:rPr>
                <w:rFonts w:ascii="Aptos" w:eastAsia="Aptos" w:hAnsi="Aptos" w:cs="Aptos"/>
                <w:color w:val="000000" w:themeColor="text1"/>
                <w:szCs w:val="22"/>
              </w:rPr>
              <w:t xml:space="preserve"> on implementation of recommendations of this Review for at least the first two years.</w:t>
            </w:r>
          </w:p>
          <w:p w14:paraId="2EBC170B" w14:textId="790F8D15" w:rsidR="002112C8" w:rsidRDefault="002112C8" w:rsidP="00D207B3">
            <w:pPr>
              <w:pStyle w:val="ListParagraph"/>
              <w:numPr>
                <w:ilvl w:val="1"/>
                <w:numId w:val="50"/>
              </w:numPr>
              <w:spacing w:after="160" w:line="278" w:lineRule="auto"/>
              <w:ind w:left="567" w:hanging="567"/>
              <w:contextualSpacing w:val="0"/>
              <w:rPr>
                <w:rFonts w:eastAsia="Aptos" w:cs="Aptos"/>
                <w:color w:val="000000" w:themeColor="text1"/>
                <w:szCs w:val="22"/>
              </w:rPr>
            </w:pPr>
            <w:r w:rsidRPr="002A7830">
              <w:rPr>
                <w:rFonts w:eastAsia="Aptos" w:cs="Aptos"/>
                <w:color w:val="000000" w:themeColor="text1"/>
                <w:szCs w:val="22"/>
              </w:rPr>
              <w:t>Empower</w:t>
            </w:r>
            <w:r>
              <w:rPr>
                <w:rFonts w:eastAsia="Aptos" w:cs="Aptos"/>
                <w:color w:val="000000" w:themeColor="text1"/>
                <w:szCs w:val="22"/>
              </w:rPr>
              <w:t xml:space="preserve"> and support</w:t>
            </w:r>
            <w:r w:rsidRPr="002A7830">
              <w:rPr>
                <w:rFonts w:eastAsia="Aptos" w:cs="Aptos"/>
                <w:color w:val="000000" w:themeColor="text1"/>
                <w:szCs w:val="22"/>
              </w:rPr>
              <w:t xml:space="preserve"> departmental</w:t>
            </w:r>
            <w:r>
              <w:rPr>
                <w:rFonts w:eastAsia="Aptos" w:cs="Aptos"/>
                <w:color w:val="000000" w:themeColor="text1"/>
                <w:szCs w:val="22"/>
              </w:rPr>
              <w:t xml:space="preserve"> Secretaries to </w:t>
            </w:r>
            <w:proofErr w:type="spellStart"/>
            <w:r>
              <w:rPr>
                <w:rFonts w:eastAsia="Aptos" w:cs="Aptos"/>
                <w:color w:val="000000" w:themeColor="text1"/>
                <w:szCs w:val="22"/>
              </w:rPr>
              <w:t>prioritise</w:t>
            </w:r>
            <w:proofErr w:type="spellEnd"/>
            <w:r>
              <w:rPr>
                <w:rFonts w:eastAsia="Aptos" w:cs="Aptos"/>
                <w:color w:val="000000" w:themeColor="text1"/>
                <w:szCs w:val="22"/>
              </w:rPr>
              <w:t xml:space="preserve"> and implement reforms in</w:t>
            </w:r>
            <w:r w:rsidR="00C430BA">
              <w:rPr>
                <w:rFonts w:eastAsia="Aptos" w:cs="Aptos"/>
                <w:color w:val="000000" w:themeColor="text1"/>
                <w:szCs w:val="22"/>
              </w:rPr>
              <w:t> </w:t>
            </w:r>
            <w:r>
              <w:rPr>
                <w:rFonts w:eastAsia="Aptos" w:cs="Aptos"/>
                <w:color w:val="000000" w:themeColor="text1"/>
                <w:szCs w:val="22"/>
              </w:rPr>
              <w:t>their departments and associated entities.</w:t>
            </w:r>
          </w:p>
          <w:p w14:paraId="4B6A72A4" w14:textId="2770EEEF" w:rsidR="002112C8" w:rsidRPr="00DC3990" w:rsidRDefault="00AC11BC" w:rsidP="00D207B3">
            <w:pPr>
              <w:pStyle w:val="ListParagraph"/>
              <w:numPr>
                <w:ilvl w:val="1"/>
                <w:numId w:val="50"/>
              </w:numPr>
              <w:spacing w:after="160" w:line="278" w:lineRule="auto"/>
              <w:ind w:left="567" w:hanging="567"/>
              <w:contextualSpacing w:val="0"/>
              <w:rPr>
                <w:rFonts w:eastAsia="Aptos" w:cs="Aptos"/>
                <w:color w:val="000000" w:themeColor="text1"/>
                <w:szCs w:val="22"/>
              </w:rPr>
            </w:pPr>
            <w:proofErr w:type="spellStart"/>
            <w:r w:rsidRPr="00CA3981">
              <w:rPr>
                <w:rFonts w:eastAsia="Aptos" w:cs="Aptos"/>
                <w:color w:val="000000" w:themeColor="text1"/>
                <w:szCs w:val="22"/>
              </w:rPr>
              <w:t>Rec</w:t>
            </w:r>
            <w:r w:rsidR="00D647FE" w:rsidRPr="00CA3981">
              <w:rPr>
                <w:rFonts w:eastAsia="Aptos" w:cs="Aptos"/>
                <w:color w:val="000000" w:themeColor="text1"/>
                <w:szCs w:val="22"/>
              </w:rPr>
              <w:t>o</w:t>
            </w:r>
            <w:r w:rsidRPr="00CA3981">
              <w:rPr>
                <w:rFonts w:eastAsia="Aptos" w:cs="Aptos"/>
                <w:color w:val="000000" w:themeColor="text1"/>
                <w:szCs w:val="22"/>
              </w:rPr>
              <w:t>gnise</w:t>
            </w:r>
            <w:proofErr w:type="spellEnd"/>
            <w:r w:rsidR="002112C8" w:rsidRPr="198F9016">
              <w:rPr>
                <w:rFonts w:eastAsia="Aptos" w:cs="Aptos"/>
                <w:color w:val="000000" w:themeColor="text1"/>
                <w:szCs w:val="22"/>
              </w:rPr>
              <w:t xml:space="preserve"> </w:t>
            </w:r>
            <w:r w:rsidR="003F09DC">
              <w:rPr>
                <w:szCs w:val="22"/>
              </w:rPr>
              <w:t>VSB</w:t>
            </w:r>
            <w:r w:rsidR="002112C8" w:rsidRPr="198F9016">
              <w:rPr>
                <w:szCs w:val="22"/>
              </w:rPr>
              <w:t xml:space="preserve"> as </w:t>
            </w:r>
            <w:r w:rsidR="006B50FC">
              <w:rPr>
                <w:szCs w:val="22"/>
              </w:rPr>
              <w:t>a</w:t>
            </w:r>
            <w:r w:rsidR="002112C8" w:rsidRPr="198F9016">
              <w:rPr>
                <w:szCs w:val="22"/>
              </w:rPr>
              <w:t xml:space="preserve"> key governance forum </w:t>
            </w:r>
            <w:r w:rsidR="002112C8" w:rsidRPr="00CA3981">
              <w:rPr>
                <w:szCs w:val="22"/>
              </w:rPr>
              <w:t xml:space="preserve">to </w:t>
            </w:r>
            <w:r w:rsidR="00D647FE" w:rsidRPr="00CA3981">
              <w:rPr>
                <w:szCs w:val="22"/>
              </w:rPr>
              <w:t>help</w:t>
            </w:r>
            <w:r w:rsidR="002112C8" w:rsidRPr="198F9016">
              <w:rPr>
                <w:szCs w:val="22"/>
              </w:rPr>
              <w:t xml:space="preserve"> steward system-wide reform alignment and accountability, review reform performance and risks, and champion consistent reform expectations across portfolios</w:t>
            </w:r>
            <w:r w:rsidR="002112C8" w:rsidRPr="00D647FE">
              <w:rPr>
                <w:szCs w:val="22"/>
              </w:rPr>
              <w:t>.</w:t>
            </w:r>
            <w:r w:rsidR="002112C8" w:rsidRPr="198F9016">
              <w:rPr>
                <w:szCs w:val="22"/>
              </w:rPr>
              <w:t xml:space="preserve"> </w:t>
            </w:r>
          </w:p>
        </w:tc>
      </w:tr>
    </w:tbl>
    <w:p w14:paraId="6227EF6B" w14:textId="77777777" w:rsidR="002112C8" w:rsidRDefault="002112C8" w:rsidP="002112C8">
      <w:pPr>
        <w:rPr>
          <w:szCs w:val="22"/>
        </w:rPr>
      </w:pPr>
    </w:p>
    <w:p w14:paraId="3E2A71E8" w14:textId="77777777" w:rsidR="00DC1A28" w:rsidRDefault="00DC1A28" w:rsidP="00386FC5">
      <w:r>
        <w:br w:type="page"/>
      </w:r>
    </w:p>
    <w:p w14:paraId="54A7E79E" w14:textId="246E7FD2" w:rsidR="005A3510" w:rsidRDefault="0088007C" w:rsidP="009E2482">
      <w:pPr>
        <w:rPr>
          <w:b/>
          <w:bCs/>
          <w:color w:val="0F4761" w:themeColor="accent1" w:themeShade="BF"/>
          <w:szCs w:val="22"/>
        </w:rPr>
      </w:pPr>
      <w:r w:rsidRPr="00863FF5">
        <w:rPr>
          <w:b/>
          <w:bCs/>
          <w:color w:val="0F4761" w:themeColor="accent1" w:themeShade="BF"/>
          <w:sz w:val="56"/>
          <w:szCs w:val="56"/>
        </w:rPr>
        <w:lastRenderedPageBreak/>
        <w:t>APPENDI</w:t>
      </w:r>
      <w:r w:rsidR="00E62A01">
        <w:rPr>
          <w:b/>
          <w:bCs/>
          <w:color w:val="0F4761" w:themeColor="accent1" w:themeShade="BF"/>
          <w:sz w:val="56"/>
          <w:szCs w:val="56"/>
        </w:rPr>
        <w:t>CES</w:t>
      </w:r>
    </w:p>
    <w:p w14:paraId="16496A5B" w14:textId="67C28E1E" w:rsidR="005A3510" w:rsidRPr="005131FD" w:rsidRDefault="005A3510" w:rsidP="00DC4AC2">
      <w:pPr>
        <w:spacing w:after="360"/>
        <w:rPr>
          <w:sz w:val="26"/>
          <w:szCs w:val="26"/>
        </w:rPr>
      </w:pPr>
      <w:r w:rsidRPr="005131FD">
        <w:rPr>
          <w:sz w:val="26"/>
          <w:szCs w:val="26"/>
        </w:rPr>
        <w:t>Appendix A: Terms of Reference</w:t>
      </w:r>
    </w:p>
    <w:p w14:paraId="11C9E711" w14:textId="479E05EE" w:rsidR="005A3510" w:rsidRPr="005131FD" w:rsidRDefault="005A3510" w:rsidP="00DC4AC2">
      <w:pPr>
        <w:spacing w:after="360"/>
        <w:rPr>
          <w:sz w:val="26"/>
          <w:szCs w:val="26"/>
        </w:rPr>
      </w:pPr>
      <w:r w:rsidRPr="005131FD">
        <w:rPr>
          <w:sz w:val="26"/>
          <w:szCs w:val="26"/>
        </w:rPr>
        <w:t xml:space="preserve">Appendix B: </w:t>
      </w:r>
      <w:r w:rsidR="005131FD" w:rsidRPr="005131FD">
        <w:rPr>
          <w:sz w:val="26"/>
          <w:szCs w:val="26"/>
        </w:rPr>
        <w:t>Departmental summaries</w:t>
      </w:r>
    </w:p>
    <w:p w14:paraId="56154CCE" w14:textId="292FD6B6" w:rsidR="005A3510" w:rsidRPr="005131FD" w:rsidRDefault="005A3510" w:rsidP="00DC4AC2">
      <w:pPr>
        <w:spacing w:after="360"/>
        <w:rPr>
          <w:sz w:val="26"/>
          <w:szCs w:val="26"/>
        </w:rPr>
      </w:pPr>
      <w:r w:rsidRPr="005131FD">
        <w:rPr>
          <w:sz w:val="26"/>
          <w:szCs w:val="26"/>
        </w:rPr>
        <w:t>Appendix C:</w:t>
      </w:r>
      <w:r w:rsidR="005131FD" w:rsidRPr="005131FD">
        <w:rPr>
          <w:sz w:val="26"/>
          <w:szCs w:val="26"/>
        </w:rPr>
        <w:t xml:space="preserve"> Public entity reform</w:t>
      </w:r>
      <w:r w:rsidR="00543125" w:rsidRPr="005131FD">
        <w:rPr>
          <w:sz w:val="26"/>
          <w:szCs w:val="26"/>
        </w:rPr>
        <w:t xml:space="preserve"> </w:t>
      </w:r>
    </w:p>
    <w:p w14:paraId="006F177D" w14:textId="77777777" w:rsidR="00DC1A28" w:rsidRDefault="00DC1A28" w:rsidP="00FB4901">
      <w:bookmarkStart w:id="125" w:name="_Toc202524013"/>
      <w:r>
        <w:br w:type="page"/>
      </w:r>
    </w:p>
    <w:p w14:paraId="090572FC" w14:textId="77777777" w:rsidR="00BF2B34" w:rsidRDefault="00BF2B34" w:rsidP="0090308F">
      <w:pPr>
        <w:pStyle w:val="Heading1"/>
      </w:pPr>
      <w:r>
        <w:lastRenderedPageBreak/>
        <w:br w:type="page"/>
      </w:r>
    </w:p>
    <w:p w14:paraId="38167233" w14:textId="4A10FEA2" w:rsidR="00E479BF" w:rsidRPr="00AA5BC0" w:rsidRDefault="0090308F" w:rsidP="0090308F">
      <w:pPr>
        <w:pStyle w:val="Heading1"/>
      </w:pPr>
      <w:bookmarkStart w:id="126" w:name="_Toc214912032"/>
      <w:r>
        <w:lastRenderedPageBreak/>
        <w:t xml:space="preserve">Appendix A: </w:t>
      </w:r>
      <w:r w:rsidR="00104D14">
        <w:t xml:space="preserve"> </w:t>
      </w:r>
      <w:r w:rsidR="00E479BF" w:rsidRPr="00AA5BC0">
        <w:t>Terms of Reference</w:t>
      </w:r>
      <w:bookmarkEnd w:id="125"/>
      <w:bookmarkEnd w:id="126"/>
    </w:p>
    <w:p w14:paraId="5027D69C" w14:textId="77777777" w:rsidR="00E479BF" w:rsidRPr="00F87F82" w:rsidRDefault="00E479BF" w:rsidP="00856A21">
      <w:pPr>
        <w:spacing w:before="240"/>
        <w:rPr>
          <w:szCs w:val="22"/>
        </w:rPr>
      </w:pPr>
      <w:bookmarkStart w:id="127" w:name="_Toc202330169"/>
      <w:r w:rsidRPr="00BB0C50">
        <w:rPr>
          <w:rFonts w:asciiTheme="majorHAnsi" w:hAnsiTheme="majorHAnsi"/>
          <w:b/>
          <w:color w:val="0F4761" w:themeColor="accent1" w:themeShade="BF"/>
          <w:sz w:val="32"/>
          <w:szCs w:val="32"/>
        </w:rPr>
        <w:t>Independent Review of the VPS – Terms of Reference</w:t>
      </w:r>
      <w:r w:rsidRPr="00BB0C50">
        <w:rPr>
          <w:rFonts w:asciiTheme="majorHAnsi" w:hAnsiTheme="majorHAnsi"/>
          <w:b/>
          <w:color w:val="0F4761" w:themeColor="accent1" w:themeShade="BF"/>
        </w:rPr>
        <w:t xml:space="preserve"> </w:t>
      </w:r>
      <w:r w:rsidRPr="00BB0C50">
        <w:rPr>
          <w:color w:val="0F4761" w:themeColor="accent1" w:themeShade="BF"/>
          <w:szCs w:val="22"/>
        </w:rPr>
        <w:t>(20 February 2025)</w:t>
      </w:r>
      <w:bookmarkEnd w:id="127"/>
    </w:p>
    <w:p w14:paraId="2360EE79" w14:textId="77777777" w:rsidR="00E479BF" w:rsidRPr="00340F53" w:rsidRDefault="00E479BF" w:rsidP="00E479BF">
      <w:pPr>
        <w:pStyle w:val="Heading3"/>
      </w:pPr>
      <w:r w:rsidRPr="00340F53">
        <w:t>Objective</w:t>
      </w:r>
    </w:p>
    <w:p w14:paraId="58A95C97" w14:textId="77777777" w:rsidR="00E479BF" w:rsidRPr="00340F53" w:rsidRDefault="00E479BF" w:rsidP="00E479BF">
      <w:pPr>
        <w:rPr>
          <w:szCs w:val="22"/>
        </w:rPr>
      </w:pPr>
      <w:r w:rsidRPr="00340F53">
        <w:rPr>
          <w:szCs w:val="22"/>
        </w:rPr>
        <w:t>The Victorian Government is focused on supporting Victorians with the cost of living and ensuring that families have access to the essential services they need in health, housing, education, transport and community safety.</w:t>
      </w:r>
    </w:p>
    <w:p w14:paraId="7451F561" w14:textId="77777777" w:rsidR="00E479BF" w:rsidRPr="00340F53" w:rsidRDefault="00E479BF" w:rsidP="00E479BF">
      <w:pPr>
        <w:pStyle w:val="Heading3"/>
      </w:pPr>
      <w:r w:rsidRPr="00340F53">
        <w:t>Leadership and governance</w:t>
      </w:r>
    </w:p>
    <w:p w14:paraId="073F72FE" w14:textId="5F4F8E17" w:rsidR="00E479BF" w:rsidRPr="00340F53" w:rsidRDefault="00E479BF" w:rsidP="00E479BF">
      <w:pPr>
        <w:rPr>
          <w:szCs w:val="22"/>
        </w:rPr>
      </w:pPr>
      <w:r w:rsidRPr="00340F53">
        <w:rPr>
          <w:szCs w:val="22"/>
        </w:rPr>
        <w:t>The Review will operate independently of government and will be led by Helen Silver AO, who</w:t>
      </w:r>
      <w:r w:rsidR="0056494D">
        <w:rPr>
          <w:szCs w:val="22"/>
        </w:rPr>
        <w:t> </w:t>
      </w:r>
      <w:r w:rsidRPr="00340F53">
        <w:rPr>
          <w:szCs w:val="22"/>
        </w:rPr>
        <w:t>will report on and make recommendations to government for consideration.</w:t>
      </w:r>
    </w:p>
    <w:p w14:paraId="282B2B5A" w14:textId="77777777" w:rsidR="00E479BF" w:rsidRPr="00340F53" w:rsidRDefault="00E479BF" w:rsidP="00E479BF">
      <w:pPr>
        <w:pStyle w:val="Heading3"/>
      </w:pPr>
      <w:r w:rsidRPr="00340F53">
        <w:t>Scope</w:t>
      </w:r>
    </w:p>
    <w:p w14:paraId="1B2AF490" w14:textId="77777777" w:rsidR="00E479BF" w:rsidRPr="00340F53" w:rsidRDefault="00E479BF" w:rsidP="00E479BF">
      <w:pPr>
        <w:rPr>
          <w:szCs w:val="22"/>
        </w:rPr>
      </w:pPr>
      <w:r w:rsidRPr="00340F53">
        <w:rPr>
          <w:szCs w:val="22"/>
        </w:rPr>
        <w:t xml:space="preserve">The Independent Review will cover VPS departments and their entities. It will: </w:t>
      </w:r>
    </w:p>
    <w:p w14:paraId="59F4FC1F" w14:textId="77777777" w:rsidR="00E479BF" w:rsidRPr="00340F53" w:rsidRDefault="00E479BF" w:rsidP="00D207B3">
      <w:pPr>
        <w:pStyle w:val="ListParagraph"/>
        <w:numPr>
          <w:ilvl w:val="0"/>
          <w:numId w:val="68"/>
        </w:numPr>
        <w:contextualSpacing w:val="0"/>
        <w:rPr>
          <w:szCs w:val="22"/>
        </w:rPr>
      </w:pPr>
      <w:r w:rsidRPr="00340F53">
        <w:rPr>
          <w:szCs w:val="22"/>
        </w:rPr>
        <w:t xml:space="preserve">identify overlaps, inefficiencies, functions and programs that can be streamlined or eliminated, with a focus on entity consolidation </w:t>
      </w:r>
    </w:p>
    <w:p w14:paraId="267919DD" w14:textId="77777777" w:rsidR="00E479BF" w:rsidRPr="00340F53" w:rsidRDefault="00E479BF" w:rsidP="00D207B3">
      <w:pPr>
        <w:pStyle w:val="ListParagraph"/>
        <w:numPr>
          <w:ilvl w:val="0"/>
          <w:numId w:val="68"/>
        </w:numPr>
        <w:contextualSpacing w:val="0"/>
        <w:rPr>
          <w:szCs w:val="22"/>
        </w:rPr>
      </w:pPr>
      <w:r w:rsidRPr="00340F53">
        <w:rPr>
          <w:szCs w:val="22"/>
        </w:rPr>
        <w:t xml:space="preserve">provide recommendations to increase operational efficiency and to deliver process improvements across all VPS departments and programs </w:t>
      </w:r>
    </w:p>
    <w:p w14:paraId="0EE1FCA5" w14:textId="77777777" w:rsidR="00E479BF" w:rsidRPr="00340F53" w:rsidRDefault="00E479BF" w:rsidP="00D207B3">
      <w:pPr>
        <w:pStyle w:val="ListParagraph"/>
        <w:numPr>
          <w:ilvl w:val="0"/>
          <w:numId w:val="68"/>
        </w:numPr>
        <w:contextualSpacing w:val="0"/>
        <w:rPr>
          <w:szCs w:val="22"/>
        </w:rPr>
      </w:pPr>
      <w:r w:rsidRPr="00340F53">
        <w:rPr>
          <w:szCs w:val="22"/>
        </w:rPr>
        <w:t>provide recommendations on how to reduce the VPS back towards its pre-pandemic share of employment, including an examination of the appropriate levels of executives.</w:t>
      </w:r>
    </w:p>
    <w:p w14:paraId="0EA5F2C0" w14:textId="77777777" w:rsidR="00E479BF" w:rsidRPr="00340F53" w:rsidRDefault="00E479BF" w:rsidP="00E479BF">
      <w:pPr>
        <w:rPr>
          <w:szCs w:val="22"/>
        </w:rPr>
      </w:pPr>
      <w:r w:rsidRPr="00340F53">
        <w:rPr>
          <w:szCs w:val="22"/>
        </w:rPr>
        <w:t>The Review will cover recurrent and operational expenditure. Frontline workers will not be included in the scope of the Review.</w:t>
      </w:r>
    </w:p>
    <w:p w14:paraId="0F5E7B0E" w14:textId="77777777" w:rsidR="00E479BF" w:rsidRPr="00340F53" w:rsidRDefault="00E479BF" w:rsidP="00E479BF">
      <w:pPr>
        <w:pStyle w:val="Heading3"/>
      </w:pPr>
      <w:r w:rsidRPr="00340F53">
        <w:t>Deliverables</w:t>
      </w:r>
    </w:p>
    <w:p w14:paraId="36A3909E" w14:textId="77777777" w:rsidR="00E479BF" w:rsidRPr="00340F53" w:rsidRDefault="00E479BF" w:rsidP="00E479BF">
      <w:pPr>
        <w:rPr>
          <w:szCs w:val="22"/>
        </w:rPr>
      </w:pPr>
      <w:r w:rsidRPr="00340F53">
        <w:rPr>
          <w:szCs w:val="22"/>
        </w:rPr>
        <w:t xml:space="preserve">Interim recommendations for inclusion in the 2025/26 Victorian Budget. </w:t>
      </w:r>
    </w:p>
    <w:p w14:paraId="3BEFD0A5" w14:textId="4212444E" w:rsidR="00E479BF" w:rsidRPr="00340F53" w:rsidRDefault="00E479BF" w:rsidP="00E479BF">
      <w:pPr>
        <w:rPr>
          <w:szCs w:val="22"/>
        </w:rPr>
      </w:pPr>
      <w:r w:rsidRPr="00340F53">
        <w:rPr>
          <w:szCs w:val="22"/>
        </w:rPr>
        <w:t xml:space="preserve">Final Report and </w:t>
      </w:r>
      <w:r w:rsidR="004532F0">
        <w:rPr>
          <w:szCs w:val="22"/>
        </w:rPr>
        <w:t>r</w:t>
      </w:r>
      <w:r w:rsidRPr="00340F53">
        <w:rPr>
          <w:szCs w:val="22"/>
        </w:rPr>
        <w:t>ecommendations by 30 June 2025.</w:t>
      </w:r>
    </w:p>
    <w:p w14:paraId="4848E650" w14:textId="77777777" w:rsidR="00BF2B34" w:rsidRDefault="00BF2B34" w:rsidP="00785144">
      <w:pPr>
        <w:pStyle w:val="Heading1"/>
      </w:pPr>
      <w:bookmarkStart w:id="128" w:name="_Toc202524014"/>
      <w:r>
        <w:br w:type="page"/>
      </w:r>
    </w:p>
    <w:p w14:paraId="3009F8DD" w14:textId="77777777" w:rsidR="00BF2B34" w:rsidRDefault="00BF2B34" w:rsidP="00785144">
      <w:pPr>
        <w:pStyle w:val="Heading1"/>
      </w:pPr>
      <w:r>
        <w:lastRenderedPageBreak/>
        <w:br w:type="page"/>
      </w:r>
    </w:p>
    <w:p w14:paraId="69AED54F" w14:textId="4D96DF86" w:rsidR="00785144" w:rsidRPr="00AA5BC0" w:rsidRDefault="00785144" w:rsidP="00785144">
      <w:pPr>
        <w:pStyle w:val="Heading1"/>
      </w:pPr>
      <w:bookmarkStart w:id="129" w:name="_Toc214912033"/>
      <w:r>
        <w:lastRenderedPageBreak/>
        <w:t xml:space="preserve">Appendix B:  </w:t>
      </w:r>
      <w:r w:rsidRPr="00767B84">
        <w:t>Departmental</w:t>
      </w:r>
      <w:r>
        <w:t xml:space="preserve"> </w:t>
      </w:r>
      <w:r w:rsidR="0072624A">
        <w:t>s</w:t>
      </w:r>
      <w:r>
        <w:t>ummaries</w:t>
      </w:r>
      <w:bookmarkEnd w:id="128"/>
      <w:bookmarkEnd w:id="129"/>
    </w:p>
    <w:p w14:paraId="733A2D69" w14:textId="52AD1722" w:rsidR="00785144" w:rsidRDefault="00785144" w:rsidP="00785144">
      <w:r w:rsidRPr="00F01A97">
        <w:rPr>
          <w:szCs w:val="22"/>
        </w:rPr>
        <w:t>This appendix provides summaries outlining key features of the 10 Victorian Government departments, alongside savings and FTE reductions recommended by the Review.</w:t>
      </w:r>
    </w:p>
    <w:p w14:paraId="19ECFCB3" w14:textId="77777777" w:rsidR="00785144" w:rsidRPr="00BE4368" w:rsidRDefault="00785144" w:rsidP="00785144">
      <w:pPr>
        <w:spacing w:after="0"/>
        <w:rPr>
          <w:b/>
          <w:bCs/>
          <w:color w:val="0F4761" w:themeColor="accent1" w:themeShade="BF"/>
          <w:sz w:val="26"/>
          <w:szCs w:val="26"/>
        </w:rPr>
      </w:pPr>
      <w:r w:rsidRPr="00BE4368">
        <w:rPr>
          <w:b/>
          <w:bCs/>
          <w:color w:val="0F4761" w:themeColor="accent1" w:themeShade="BF"/>
          <w:sz w:val="26"/>
          <w:szCs w:val="26"/>
        </w:rPr>
        <w:t>Identified savings and FTE reductions by department</w:t>
      </w:r>
    </w:p>
    <w:tbl>
      <w:tblPr>
        <w:tblW w:w="9166" w:type="dxa"/>
        <w:tblCellMar>
          <w:left w:w="85" w:type="dxa"/>
          <w:right w:w="0" w:type="dxa"/>
        </w:tblCellMar>
        <w:tblLook w:val="0600" w:firstRow="0" w:lastRow="0" w:firstColumn="0" w:lastColumn="0" w:noHBand="1" w:noVBand="1"/>
      </w:tblPr>
      <w:tblGrid>
        <w:gridCol w:w="5597"/>
        <w:gridCol w:w="1884"/>
        <w:gridCol w:w="1685"/>
      </w:tblGrid>
      <w:tr w:rsidR="00785144" w:rsidRPr="00444BDF" w14:paraId="5FFD635D" w14:textId="77777777" w:rsidTr="00BD3187">
        <w:trPr>
          <w:trHeight w:val="281"/>
        </w:trPr>
        <w:tc>
          <w:tcPr>
            <w:tcW w:w="5597" w:type="dxa"/>
            <w:tcBorders>
              <w:top w:val="single" w:sz="8" w:space="0" w:color="000000" w:themeColor="text1"/>
              <w:left w:val="nil"/>
              <w:bottom w:val="single" w:sz="8" w:space="0" w:color="000000" w:themeColor="text1"/>
              <w:right w:val="nil"/>
            </w:tcBorders>
            <w:tcMar>
              <w:top w:w="15" w:type="dxa"/>
              <w:left w:w="15" w:type="dxa"/>
              <w:bottom w:w="0" w:type="dxa"/>
              <w:right w:w="15" w:type="dxa"/>
            </w:tcMar>
            <w:vAlign w:val="center"/>
            <w:hideMark/>
          </w:tcPr>
          <w:p w14:paraId="33A713B4" w14:textId="77777777" w:rsidR="00785144" w:rsidRPr="00444BDF" w:rsidRDefault="00785144">
            <w:pPr>
              <w:spacing w:line="259" w:lineRule="auto"/>
              <w:rPr>
                <w:szCs w:val="22"/>
              </w:rPr>
            </w:pPr>
            <w:r w:rsidRPr="00444BDF">
              <w:rPr>
                <w:b/>
                <w:bCs/>
                <w:szCs w:val="22"/>
              </w:rPr>
              <w:t>Department</w:t>
            </w:r>
          </w:p>
        </w:tc>
        <w:tc>
          <w:tcPr>
            <w:tcW w:w="1884" w:type="dxa"/>
            <w:tcBorders>
              <w:top w:val="single" w:sz="8" w:space="0" w:color="000000" w:themeColor="text1"/>
              <w:left w:val="nil"/>
              <w:bottom w:val="single" w:sz="8" w:space="0" w:color="000000" w:themeColor="text1"/>
              <w:right w:val="nil"/>
            </w:tcBorders>
            <w:tcMar>
              <w:top w:w="15" w:type="dxa"/>
              <w:left w:w="15" w:type="dxa"/>
              <w:bottom w:w="0" w:type="dxa"/>
              <w:right w:w="15" w:type="dxa"/>
            </w:tcMar>
            <w:vAlign w:val="center"/>
            <w:hideMark/>
          </w:tcPr>
          <w:p w14:paraId="2BABAE78" w14:textId="77777777" w:rsidR="00785144" w:rsidRPr="00444BDF" w:rsidRDefault="00785144" w:rsidP="006423BA">
            <w:pPr>
              <w:spacing w:line="259" w:lineRule="auto"/>
              <w:jc w:val="right"/>
              <w:rPr>
                <w:szCs w:val="22"/>
              </w:rPr>
            </w:pPr>
            <w:r w:rsidRPr="00444BDF">
              <w:rPr>
                <w:b/>
                <w:bCs/>
                <w:szCs w:val="22"/>
              </w:rPr>
              <w:t>Net saving, $millions</w:t>
            </w:r>
          </w:p>
        </w:tc>
        <w:tc>
          <w:tcPr>
            <w:tcW w:w="1685" w:type="dxa"/>
            <w:tcBorders>
              <w:top w:val="single" w:sz="8" w:space="0" w:color="000000" w:themeColor="text1"/>
              <w:left w:val="nil"/>
              <w:bottom w:val="single" w:sz="8" w:space="0" w:color="000000" w:themeColor="text1"/>
              <w:right w:val="nil"/>
            </w:tcBorders>
            <w:tcMar>
              <w:top w:w="15" w:type="dxa"/>
              <w:left w:w="15" w:type="dxa"/>
              <w:bottom w:w="0" w:type="dxa"/>
              <w:right w:w="15" w:type="dxa"/>
            </w:tcMar>
            <w:vAlign w:val="center"/>
            <w:hideMark/>
          </w:tcPr>
          <w:p w14:paraId="7450EF68" w14:textId="77777777" w:rsidR="00785144" w:rsidRPr="00444BDF" w:rsidRDefault="00785144" w:rsidP="006423BA">
            <w:pPr>
              <w:spacing w:line="259" w:lineRule="auto"/>
              <w:jc w:val="right"/>
              <w:rPr>
                <w:szCs w:val="22"/>
              </w:rPr>
            </w:pPr>
            <w:r w:rsidRPr="00444BDF">
              <w:rPr>
                <w:b/>
                <w:bCs/>
                <w:szCs w:val="22"/>
              </w:rPr>
              <w:t>FTE, ongoing</w:t>
            </w:r>
          </w:p>
        </w:tc>
      </w:tr>
      <w:tr w:rsidR="00785144" w:rsidRPr="00444BDF" w14:paraId="3FD54FC2" w14:textId="77777777" w:rsidTr="00BD3187">
        <w:trPr>
          <w:trHeight w:val="153"/>
        </w:trPr>
        <w:tc>
          <w:tcPr>
            <w:tcW w:w="5597" w:type="dxa"/>
            <w:tcBorders>
              <w:top w:val="single" w:sz="8" w:space="0" w:color="000000" w:themeColor="text1"/>
              <w:left w:val="nil"/>
              <w:bottom w:val="nil"/>
              <w:right w:val="nil"/>
            </w:tcBorders>
            <w:tcMar>
              <w:top w:w="15" w:type="dxa"/>
              <w:left w:w="15" w:type="dxa"/>
              <w:bottom w:w="0" w:type="dxa"/>
              <w:right w:w="15" w:type="dxa"/>
            </w:tcMar>
            <w:vAlign w:val="center"/>
            <w:hideMark/>
          </w:tcPr>
          <w:p w14:paraId="16D9C6EC" w14:textId="77777777" w:rsidR="00785144" w:rsidRPr="00444BDF" w:rsidRDefault="00785144">
            <w:pPr>
              <w:spacing w:line="259" w:lineRule="auto"/>
              <w:rPr>
                <w:szCs w:val="22"/>
              </w:rPr>
            </w:pPr>
            <w:r w:rsidRPr="00444BDF">
              <w:rPr>
                <w:szCs w:val="22"/>
              </w:rPr>
              <w:t>Department of Education</w:t>
            </w:r>
          </w:p>
        </w:tc>
        <w:tc>
          <w:tcPr>
            <w:tcW w:w="1884" w:type="dxa"/>
            <w:tcBorders>
              <w:top w:val="single" w:sz="8" w:space="0" w:color="000000" w:themeColor="text1"/>
              <w:left w:val="nil"/>
              <w:bottom w:val="nil"/>
              <w:right w:val="nil"/>
            </w:tcBorders>
            <w:tcMar>
              <w:top w:w="15" w:type="dxa"/>
              <w:left w:w="15" w:type="dxa"/>
              <w:bottom w:w="0" w:type="dxa"/>
              <w:right w:w="15" w:type="dxa"/>
            </w:tcMar>
            <w:vAlign w:val="center"/>
            <w:hideMark/>
          </w:tcPr>
          <w:p w14:paraId="3BB100EF" w14:textId="66EBBCD7" w:rsidR="00785144" w:rsidRPr="00444BDF" w:rsidRDefault="00785144" w:rsidP="006423BA">
            <w:pPr>
              <w:spacing w:line="259" w:lineRule="auto"/>
              <w:jc w:val="right"/>
              <w:rPr>
                <w:szCs w:val="22"/>
              </w:rPr>
            </w:pPr>
            <w:r w:rsidRPr="00444BDF">
              <w:rPr>
                <w:szCs w:val="22"/>
              </w:rPr>
              <w:t>1,</w:t>
            </w:r>
            <w:r w:rsidR="00F11EB4">
              <w:rPr>
                <w:szCs w:val="22"/>
              </w:rPr>
              <w:t>405</w:t>
            </w:r>
          </w:p>
        </w:tc>
        <w:tc>
          <w:tcPr>
            <w:tcW w:w="1685" w:type="dxa"/>
            <w:tcBorders>
              <w:top w:val="single" w:sz="8" w:space="0" w:color="000000" w:themeColor="text1"/>
              <w:left w:val="nil"/>
              <w:bottom w:val="nil"/>
              <w:right w:val="nil"/>
            </w:tcBorders>
            <w:tcMar>
              <w:top w:w="15" w:type="dxa"/>
              <w:left w:w="15" w:type="dxa"/>
              <w:bottom w:w="0" w:type="dxa"/>
              <w:right w:w="15" w:type="dxa"/>
            </w:tcMar>
            <w:vAlign w:val="center"/>
            <w:hideMark/>
          </w:tcPr>
          <w:p w14:paraId="107DA951" w14:textId="6EBB368F" w:rsidR="00785144" w:rsidRPr="00444BDF" w:rsidRDefault="00F11EB4" w:rsidP="006423BA">
            <w:pPr>
              <w:spacing w:line="259" w:lineRule="auto"/>
              <w:jc w:val="right"/>
              <w:rPr>
                <w:szCs w:val="22"/>
              </w:rPr>
            </w:pPr>
            <w:r>
              <w:rPr>
                <w:szCs w:val="22"/>
              </w:rPr>
              <w:t>524</w:t>
            </w:r>
          </w:p>
        </w:tc>
      </w:tr>
      <w:tr w:rsidR="00785144" w:rsidRPr="00444BDF" w14:paraId="7D68D7CF" w14:textId="77777777" w:rsidTr="00BD3187">
        <w:trPr>
          <w:trHeight w:val="221"/>
        </w:trPr>
        <w:tc>
          <w:tcPr>
            <w:tcW w:w="5597" w:type="dxa"/>
            <w:tcBorders>
              <w:top w:val="nil"/>
              <w:left w:val="nil"/>
              <w:bottom w:val="nil"/>
              <w:right w:val="nil"/>
            </w:tcBorders>
            <w:tcMar>
              <w:top w:w="15" w:type="dxa"/>
              <w:left w:w="15" w:type="dxa"/>
              <w:bottom w:w="0" w:type="dxa"/>
              <w:right w:w="15" w:type="dxa"/>
            </w:tcMar>
            <w:vAlign w:val="center"/>
            <w:hideMark/>
          </w:tcPr>
          <w:p w14:paraId="75619C51" w14:textId="77777777" w:rsidR="00785144" w:rsidRPr="00444BDF" w:rsidRDefault="00785144">
            <w:pPr>
              <w:spacing w:line="259" w:lineRule="auto"/>
              <w:rPr>
                <w:szCs w:val="22"/>
              </w:rPr>
            </w:pPr>
            <w:r w:rsidRPr="00444BDF">
              <w:rPr>
                <w:szCs w:val="22"/>
              </w:rPr>
              <w:t>Department of Energy, Environment and Climate Change</w:t>
            </w:r>
          </w:p>
        </w:tc>
        <w:tc>
          <w:tcPr>
            <w:tcW w:w="1884" w:type="dxa"/>
            <w:tcBorders>
              <w:top w:val="nil"/>
              <w:left w:val="nil"/>
              <w:bottom w:val="nil"/>
              <w:right w:val="nil"/>
            </w:tcBorders>
            <w:tcMar>
              <w:top w:w="15" w:type="dxa"/>
              <w:left w:w="15" w:type="dxa"/>
              <w:bottom w:w="0" w:type="dxa"/>
              <w:right w:w="15" w:type="dxa"/>
            </w:tcMar>
            <w:vAlign w:val="center"/>
            <w:hideMark/>
          </w:tcPr>
          <w:p w14:paraId="3CB6BD45" w14:textId="77777777" w:rsidR="00785144" w:rsidRPr="00444BDF" w:rsidRDefault="00785144" w:rsidP="006423BA">
            <w:pPr>
              <w:spacing w:line="259" w:lineRule="auto"/>
              <w:jc w:val="right"/>
              <w:rPr>
                <w:szCs w:val="22"/>
              </w:rPr>
            </w:pPr>
            <w:r w:rsidRPr="00444BDF">
              <w:rPr>
                <w:szCs w:val="22"/>
              </w:rPr>
              <w:t>325</w:t>
            </w:r>
          </w:p>
        </w:tc>
        <w:tc>
          <w:tcPr>
            <w:tcW w:w="1685" w:type="dxa"/>
            <w:tcBorders>
              <w:top w:val="nil"/>
              <w:left w:val="nil"/>
              <w:bottom w:val="nil"/>
              <w:right w:val="nil"/>
            </w:tcBorders>
            <w:tcMar>
              <w:top w:w="15" w:type="dxa"/>
              <w:left w:w="15" w:type="dxa"/>
              <w:bottom w:w="0" w:type="dxa"/>
              <w:right w:w="15" w:type="dxa"/>
            </w:tcMar>
            <w:vAlign w:val="center"/>
            <w:hideMark/>
          </w:tcPr>
          <w:p w14:paraId="4987E4FF" w14:textId="77777777" w:rsidR="00785144" w:rsidRPr="00444BDF" w:rsidRDefault="00785144" w:rsidP="006423BA">
            <w:pPr>
              <w:spacing w:line="259" w:lineRule="auto"/>
              <w:jc w:val="right"/>
              <w:rPr>
                <w:szCs w:val="22"/>
              </w:rPr>
            </w:pPr>
            <w:r w:rsidRPr="00444BDF">
              <w:rPr>
                <w:szCs w:val="22"/>
              </w:rPr>
              <w:t>333</w:t>
            </w:r>
          </w:p>
        </w:tc>
      </w:tr>
      <w:tr w:rsidR="00785144" w:rsidRPr="00444BDF" w14:paraId="013C28D5" w14:textId="77777777" w:rsidTr="00BD3187">
        <w:trPr>
          <w:trHeight w:val="153"/>
        </w:trPr>
        <w:tc>
          <w:tcPr>
            <w:tcW w:w="5597" w:type="dxa"/>
            <w:tcBorders>
              <w:top w:val="nil"/>
              <w:left w:val="nil"/>
              <w:bottom w:val="nil"/>
              <w:right w:val="nil"/>
            </w:tcBorders>
            <w:tcMar>
              <w:top w:w="15" w:type="dxa"/>
              <w:left w:w="15" w:type="dxa"/>
              <w:bottom w:w="0" w:type="dxa"/>
              <w:right w:w="15" w:type="dxa"/>
            </w:tcMar>
            <w:vAlign w:val="center"/>
            <w:hideMark/>
          </w:tcPr>
          <w:p w14:paraId="3A2C23D9" w14:textId="77777777" w:rsidR="00785144" w:rsidRPr="00444BDF" w:rsidRDefault="00785144">
            <w:pPr>
              <w:spacing w:line="259" w:lineRule="auto"/>
              <w:rPr>
                <w:szCs w:val="22"/>
              </w:rPr>
            </w:pPr>
            <w:r w:rsidRPr="00444BDF">
              <w:rPr>
                <w:szCs w:val="22"/>
              </w:rPr>
              <w:t>Department of Families, Fairness and Housing</w:t>
            </w:r>
          </w:p>
        </w:tc>
        <w:tc>
          <w:tcPr>
            <w:tcW w:w="1884" w:type="dxa"/>
            <w:tcBorders>
              <w:top w:val="nil"/>
              <w:left w:val="nil"/>
              <w:bottom w:val="nil"/>
              <w:right w:val="nil"/>
            </w:tcBorders>
            <w:tcMar>
              <w:top w:w="15" w:type="dxa"/>
              <w:left w:w="15" w:type="dxa"/>
              <w:bottom w:w="0" w:type="dxa"/>
              <w:right w:w="15" w:type="dxa"/>
            </w:tcMar>
            <w:vAlign w:val="center"/>
            <w:hideMark/>
          </w:tcPr>
          <w:p w14:paraId="4A681B37" w14:textId="77777777" w:rsidR="00785144" w:rsidRPr="00444BDF" w:rsidRDefault="00785144" w:rsidP="006423BA">
            <w:pPr>
              <w:spacing w:line="259" w:lineRule="auto"/>
              <w:jc w:val="right"/>
              <w:rPr>
                <w:szCs w:val="22"/>
              </w:rPr>
            </w:pPr>
            <w:r w:rsidRPr="00444BDF">
              <w:rPr>
                <w:szCs w:val="22"/>
              </w:rPr>
              <w:t>160</w:t>
            </w:r>
          </w:p>
        </w:tc>
        <w:tc>
          <w:tcPr>
            <w:tcW w:w="1685" w:type="dxa"/>
            <w:tcBorders>
              <w:top w:val="nil"/>
              <w:left w:val="nil"/>
              <w:bottom w:val="nil"/>
              <w:right w:val="nil"/>
            </w:tcBorders>
            <w:tcMar>
              <w:top w:w="15" w:type="dxa"/>
              <w:left w:w="15" w:type="dxa"/>
              <w:bottom w:w="0" w:type="dxa"/>
              <w:right w:w="15" w:type="dxa"/>
            </w:tcMar>
            <w:vAlign w:val="center"/>
            <w:hideMark/>
          </w:tcPr>
          <w:p w14:paraId="16E8EF97" w14:textId="77777777" w:rsidR="00785144" w:rsidRPr="00444BDF" w:rsidRDefault="00785144" w:rsidP="006423BA">
            <w:pPr>
              <w:spacing w:line="259" w:lineRule="auto"/>
              <w:jc w:val="right"/>
              <w:rPr>
                <w:szCs w:val="22"/>
              </w:rPr>
            </w:pPr>
            <w:r w:rsidRPr="00444BDF">
              <w:rPr>
                <w:szCs w:val="22"/>
              </w:rPr>
              <w:t>98</w:t>
            </w:r>
          </w:p>
        </w:tc>
      </w:tr>
      <w:tr w:rsidR="00785144" w:rsidRPr="00444BDF" w14:paraId="69B1FD6D" w14:textId="77777777" w:rsidTr="00BD3187">
        <w:trPr>
          <w:trHeight w:val="153"/>
        </w:trPr>
        <w:tc>
          <w:tcPr>
            <w:tcW w:w="5597" w:type="dxa"/>
            <w:tcBorders>
              <w:top w:val="nil"/>
              <w:left w:val="nil"/>
              <w:bottom w:val="nil"/>
              <w:right w:val="nil"/>
            </w:tcBorders>
            <w:tcMar>
              <w:top w:w="15" w:type="dxa"/>
              <w:left w:w="15" w:type="dxa"/>
              <w:bottom w:w="0" w:type="dxa"/>
              <w:right w:w="15" w:type="dxa"/>
            </w:tcMar>
            <w:vAlign w:val="center"/>
            <w:hideMark/>
          </w:tcPr>
          <w:p w14:paraId="7BF736F6" w14:textId="77777777" w:rsidR="00785144" w:rsidRPr="00444BDF" w:rsidRDefault="00785144">
            <w:pPr>
              <w:spacing w:line="259" w:lineRule="auto"/>
              <w:rPr>
                <w:szCs w:val="22"/>
              </w:rPr>
            </w:pPr>
            <w:r w:rsidRPr="00444BDF">
              <w:rPr>
                <w:szCs w:val="22"/>
              </w:rPr>
              <w:t>Department of Government Services</w:t>
            </w:r>
          </w:p>
        </w:tc>
        <w:tc>
          <w:tcPr>
            <w:tcW w:w="1884" w:type="dxa"/>
            <w:tcBorders>
              <w:top w:val="nil"/>
              <w:left w:val="nil"/>
              <w:bottom w:val="nil"/>
              <w:right w:val="nil"/>
            </w:tcBorders>
            <w:tcMar>
              <w:top w:w="15" w:type="dxa"/>
              <w:left w:w="15" w:type="dxa"/>
              <w:bottom w:w="0" w:type="dxa"/>
              <w:right w:w="15" w:type="dxa"/>
            </w:tcMar>
            <w:vAlign w:val="center"/>
            <w:hideMark/>
          </w:tcPr>
          <w:p w14:paraId="5604756D" w14:textId="77777777" w:rsidR="00785144" w:rsidRPr="00444BDF" w:rsidRDefault="00785144" w:rsidP="006423BA">
            <w:pPr>
              <w:spacing w:line="259" w:lineRule="auto"/>
              <w:jc w:val="right"/>
              <w:rPr>
                <w:szCs w:val="22"/>
              </w:rPr>
            </w:pPr>
            <w:r w:rsidRPr="00444BDF">
              <w:rPr>
                <w:szCs w:val="22"/>
              </w:rPr>
              <w:t>97</w:t>
            </w:r>
          </w:p>
        </w:tc>
        <w:tc>
          <w:tcPr>
            <w:tcW w:w="1685" w:type="dxa"/>
            <w:tcBorders>
              <w:top w:val="nil"/>
              <w:left w:val="nil"/>
              <w:bottom w:val="nil"/>
              <w:right w:val="nil"/>
            </w:tcBorders>
            <w:tcMar>
              <w:top w:w="15" w:type="dxa"/>
              <w:left w:w="15" w:type="dxa"/>
              <w:bottom w:w="0" w:type="dxa"/>
              <w:right w:w="15" w:type="dxa"/>
            </w:tcMar>
            <w:vAlign w:val="center"/>
            <w:hideMark/>
          </w:tcPr>
          <w:p w14:paraId="0419B7EF" w14:textId="77777777" w:rsidR="00785144" w:rsidRPr="00444BDF" w:rsidRDefault="00785144" w:rsidP="006423BA">
            <w:pPr>
              <w:spacing w:line="259" w:lineRule="auto"/>
              <w:jc w:val="right"/>
              <w:rPr>
                <w:szCs w:val="22"/>
              </w:rPr>
            </w:pPr>
            <w:r w:rsidRPr="00444BDF">
              <w:rPr>
                <w:szCs w:val="22"/>
              </w:rPr>
              <w:t>77</w:t>
            </w:r>
          </w:p>
        </w:tc>
      </w:tr>
      <w:tr w:rsidR="00785144" w:rsidRPr="00444BDF" w14:paraId="2AC8AF6A" w14:textId="77777777" w:rsidTr="00BD3187">
        <w:trPr>
          <w:trHeight w:val="153"/>
        </w:trPr>
        <w:tc>
          <w:tcPr>
            <w:tcW w:w="5597" w:type="dxa"/>
            <w:tcBorders>
              <w:top w:val="nil"/>
              <w:left w:val="nil"/>
              <w:bottom w:val="nil"/>
              <w:right w:val="nil"/>
            </w:tcBorders>
            <w:tcMar>
              <w:top w:w="15" w:type="dxa"/>
              <w:left w:w="15" w:type="dxa"/>
              <w:bottom w:w="0" w:type="dxa"/>
              <w:right w:w="15" w:type="dxa"/>
            </w:tcMar>
            <w:vAlign w:val="center"/>
            <w:hideMark/>
          </w:tcPr>
          <w:p w14:paraId="6C5421E0" w14:textId="77777777" w:rsidR="00785144" w:rsidRPr="00444BDF" w:rsidRDefault="00785144">
            <w:pPr>
              <w:spacing w:line="259" w:lineRule="auto"/>
              <w:rPr>
                <w:szCs w:val="22"/>
              </w:rPr>
            </w:pPr>
            <w:r w:rsidRPr="00444BDF">
              <w:rPr>
                <w:szCs w:val="22"/>
              </w:rPr>
              <w:t>Department of Health</w:t>
            </w:r>
          </w:p>
        </w:tc>
        <w:tc>
          <w:tcPr>
            <w:tcW w:w="1884" w:type="dxa"/>
            <w:tcBorders>
              <w:top w:val="nil"/>
              <w:left w:val="nil"/>
              <w:bottom w:val="nil"/>
              <w:right w:val="nil"/>
            </w:tcBorders>
            <w:tcMar>
              <w:top w:w="15" w:type="dxa"/>
              <w:left w:w="15" w:type="dxa"/>
              <w:bottom w:w="0" w:type="dxa"/>
              <w:right w:w="15" w:type="dxa"/>
            </w:tcMar>
            <w:vAlign w:val="center"/>
            <w:hideMark/>
          </w:tcPr>
          <w:p w14:paraId="72A48210" w14:textId="7DACA20E" w:rsidR="00785144" w:rsidRPr="00444BDF" w:rsidRDefault="00785144" w:rsidP="006423BA">
            <w:pPr>
              <w:spacing w:line="259" w:lineRule="auto"/>
              <w:jc w:val="right"/>
              <w:rPr>
                <w:szCs w:val="22"/>
              </w:rPr>
            </w:pPr>
            <w:r w:rsidRPr="00444BDF">
              <w:rPr>
                <w:szCs w:val="22"/>
              </w:rPr>
              <w:t>1,</w:t>
            </w:r>
            <w:r w:rsidRPr="296D6D6A">
              <w:rPr>
                <w:szCs w:val="22"/>
              </w:rPr>
              <w:t>1</w:t>
            </w:r>
            <w:r w:rsidR="00F11EB4">
              <w:rPr>
                <w:szCs w:val="22"/>
              </w:rPr>
              <w:t>35</w:t>
            </w:r>
          </w:p>
        </w:tc>
        <w:tc>
          <w:tcPr>
            <w:tcW w:w="1685" w:type="dxa"/>
            <w:tcBorders>
              <w:top w:val="nil"/>
              <w:left w:val="nil"/>
              <w:bottom w:val="nil"/>
              <w:right w:val="nil"/>
            </w:tcBorders>
            <w:tcMar>
              <w:top w:w="15" w:type="dxa"/>
              <w:left w:w="15" w:type="dxa"/>
              <w:bottom w:w="0" w:type="dxa"/>
              <w:right w:w="15" w:type="dxa"/>
            </w:tcMar>
            <w:vAlign w:val="center"/>
            <w:hideMark/>
          </w:tcPr>
          <w:p w14:paraId="2C1E8B09" w14:textId="362DF146" w:rsidR="00785144" w:rsidRPr="00444BDF" w:rsidRDefault="00F11EB4" w:rsidP="006423BA">
            <w:pPr>
              <w:spacing w:line="259" w:lineRule="auto"/>
              <w:jc w:val="right"/>
              <w:rPr>
                <w:szCs w:val="22"/>
              </w:rPr>
            </w:pPr>
            <w:r>
              <w:rPr>
                <w:szCs w:val="22"/>
              </w:rPr>
              <w:t>47</w:t>
            </w:r>
          </w:p>
        </w:tc>
      </w:tr>
      <w:tr w:rsidR="00785144" w:rsidRPr="00444BDF" w14:paraId="50BB9225" w14:textId="77777777" w:rsidTr="00BD3187">
        <w:trPr>
          <w:trHeight w:val="153"/>
        </w:trPr>
        <w:tc>
          <w:tcPr>
            <w:tcW w:w="5597" w:type="dxa"/>
            <w:tcBorders>
              <w:top w:val="nil"/>
              <w:left w:val="nil"/>
              <w:bottom w:val="nil"/>
              <w:right w:val="nil"/>
            </w:tcBorders>
            <w:tcMar>
              <w:top w:w="15" w:type="dxa"/>
              <w:left w:w="15" w:type="dxa"/>
              <w:bottom w:w="0" w:type="dxa"/>
              <w:right w:w="15" w:type="dxa"/>
            </w:tcMar>
            <w:vAlign w:val="center"/>
            <w:hideMark/>
          </w:tcPr>
          <w:p w14:paraId="6FFE327F" w14:textId="77777777" w:rsidR="00785144" w:rsidRPr="00444BDF" w:rsidRDefault="00785144">
            <w:pPr>
              <w:spacing w:line="259" w:lineRule="auto"/>
              <w:rPr>
                <w:szCs w:val="22"/>
              </w:rPr>
            </w:pPr>
            <w:r w:rsidRPr="00444BDF">
              <w:rPr>
                <w:szCs w:val="22"/>
              </w:rPr>
              <w:t>Department of Jobs, Skills, Industry and Regions</w:t>
            </w:r>
          </w:p>
        </w:tc>
        <w:tc>
          <w:tcPr>
            <w:tcW w:w="1884" w:type="dxa"/>
            <w:tcBorders>
              <w:top w:val="nil"/>
              <w:left w:val="nil"/>
              <w:bottom w:val="nil"/>
              <w:right w:val="nil"/>
            </w:tcBorders>
            <w:tcMar>
              <w:top w:w="15" w:type="dxa"/>
              <w:left w:w="15" w:type="dxa"/>
              <w:bottom w:w="0" w:type="dxa"/>
              <w:right w:w="15" w:type="dxa"/>
            </w:tcMar>
            <w:vAlign w:val="center"/>
            <w:hideMark/>
          </w:tcPr>
          <w:p w14:paraId="05E42CCC" w14:textId="1129A366" w:rsidR="00785144" w:rsidRPr="00444BDF" w:rsidRDefault="00785144" w:rsidP="006423BA">
            <w:pPr>
              <w:spacing w:line="259" w:lineRule="auto"/>
              <w:jc w:val="right"/>
              <w:rPr>
                <w:szCs w:val="22"/>
              </w:rPr>
            </w:pPr>
            <w:r w:rsidRPr="00444BDF">
              <w:rPr>
                <w:szCs w:val="22"/>
              </w:rPr>
              <w:t>68</w:t>
            </w:r>
            <w:r w:rsidR="00795D21">
              <w:rPr>
                <w:szCs w:val="22"/>
              </w:rPr>
              <w:t>7</w:t>
            </w:r>
          </w:p>
        </w:tc>
        <w:tc>
          <w:tcPr>
            <w:tcW w:w="1685" w:type="dxa"/>
            <w:tcBorders>
              <w:top w:val="nil"/>
              <w:left w:val="nil"/>
              <w:bottom w:val="nil"/>
              <w:right w:val="nil"/>
            </w:tcBorders>
            <w:tcMar>
              <w:top w:w="15" w:type="dxa"/>
              <w:left w:w="15" w:type="dxa"/>
              <w:bottom w:w="0" w:type="dxa"/>
              <w:right w:w="15" w:type="dxa"/>
            </w:tcMar>
            <w:vAlign w:val="center"/>
            <w:hideMark/>
          </w:tcPr>
          <w:p w14:paraId="1D974EED" w14:textId="77777777" w:rsidR="00785144" w:rsidRPr="00444BDF" w:rsidRDefault="00785144" w:rsidP="006423BA">
            <w:pPr>
              <w:spacing w:line="259" w:lineRule="auto"/>
              <w:jc w:val="right"/>
              <w:rPr>
                <w:szCs w:val="22"/>
              </w:rPr>
            </w:pPr>
            <w:r w:rsidRPr="00444BDF">
              <w:rPr>
                <w:szCs w:val="22"/>
              </w:rPr>
              <w:t>199</w:t>
            </w:r>
          </w:p>
        </w:tc>
      </w:tr>
      <w:tr w:rsidR="00785144" w:rsidRPr="00444BDF" w14:paraId="579C5A4B" w14:textId="77777777" w:rsidTr="00BD3187">
        <w:trPr>
          <w:trHeight w:val="153"/>
        </w:trPr>
        <w:tc>
          <w:tcPr>
            <w:tcW w:w="5597" w:type="dxa"/>
            <w:tcBorders>
              <w:top w:val="nil"/>
              <w:left w:val="nil"/>
              <w:bottom w:val="nil"/>
              <w:right w:val="nil"/>
            </w:tcBorders>
            <w:tcMar>
              <w:top w:w="15" w:type="dxa"/>
              <w:left w:w="15" w:type="dxa"/>
              <w:bottom w:w="0" w:type="dxa"/>
              <w:right w:w="15" w:type="dxa"/>
            </w:tcMar>
            <w:vAlign w:val="center"/>
            <w:hideMark/>
          </w:tcPr>
          <w:p w14:paraId="46E26A2F" w14:textId="77777777" w:rsidR="00785144" w:rsidRPr="00444BDF" w:rsidRDefault="00785144">
            <w:pPr>
              <w:spacing w:line="259" w:lineRule="auto"/>
              <w:rPr>
                <w:szCs w:val="22"/>
              </w:rPr>
            </w:pPr>
            <w:r w:rsidRPr="00444BDF">
              <w:rPr>
                <w:szCs w:val="22"/>
              </w:rPr>
              <w:t>Department of Justice and Community Safety</w:t>
            </w:r>
          </w:p>
        </w:tc>
        <w:tc>
          <w:tcPr>
            <w:tcW w:w="1884" w:type="dxa"/>
            <w:tcBorders>
              <w:top w:val="nil"/>
              <w:left w:val="nil"/>
              <w:bottom w:val="nil"/>
              <w:right w:val="nil"/>
            </w:tcBorders>
            <w:tcMar>
              <w:top w:w="15" w:type="dxa"/>
              <w:left w:w="15" w:type="dxa"/>
              <w:bottom w:w="0" w:type="dxa"/>
              <w:right w:w="15" w:type="dxa"/>
            </w:tcMar>
            <w:vAlign w:val="center"/>
            <w:hideMark/>
          </w:tcPr>
          <w:p w14:paraId="7710779F" w14:textId="032CC34A" w:rsidR="00785144" w:rsidRPr="00444BDF" w:rsidRDefault="00785144" w:rsidP="006423BA">
            <w:pPr>
              <w:spacing w:line="259" w:lineRule="auto"/>
              <w:jc w:val="right"/>
              <w:rPr>
                <w:szCs w:val="22"/>
              </w:rPr>
            </w:pPr>
            <w:r w:rsidRPr="00444BDF">
              <w:rPr>
                <w:szCs w:val="22"/>
              </w:rPr>
              <w:t>2</w:t>
            </w:r>
            <w:r w:rsidR="00795D21">
              <w:rPr>
                <w:szCs w:val="22"/>
              </w:rPr>
              <w:t>73</w:t>
            </w:r>
          </w:p>
        </w:tc>
        <w:tc>
          <w:tcPr>
            <w:tcW w:w="1685" w:type="dxa"/>
            <w:tcBorders>
              <w:top w:val="nil"/>
              <w:left w:val="nil"/>
              <w:bottom w:val="nil"/>
              <w:right w:val="nil"/>
            </w:tcBorders>
            <w:tcMar>
              <w:top w:w="15" w:type="dxa"/>
              <w:left w:w="15" w:type="dxa"/>
              <w:bottom w:w="0" w:type="dxa"/>
              <w:right w:w="15" w:type="dxa"/>
            </w:tcMar>
            <w:vAlign w:val="center"/>
            <w:hideMark/>
          </w:tcPr>
          <w:p w14:paraId="4DC9F3D7" w14:textId="4A781F1E" w:rsidR="00785144" w:rsidRPr="00444BDF" w:rsidRDefault="00D30C6A" w:rsidP="006423BA">
            <w:pPr>
              <w:spacing w:line="259" w:lineRule="auto"/>
              <w:jc w:val="right"/>
              <w:rPr>
                <w:szCs w:val="22"/>
              </w:rPr>
            </w:pPr>
            <w:r>
              <w:rPr>
                <w:szCs w:val="22"/>
              </w:rPr>
              <w:t>194</w:t>
            </w:r>
          </w:p>
        </w:tc>
      </w:tr>
      <w:tr w:rsidR="00785144" w:rsidRPr="00444BDF" w14:paraId="4D516EE9" w14:textId="77777777" w:rsidTr="00BD3187">
        <w:trPr>
          <w:trHeight w:val="153"/>
        </w:trPr>
        <w:tc>
          <w:tcPr>
            <w:tcW w:w="5597" w:type="dxa"/>
            <w:tcBorders>
              <w:top w:val="nil"/>
              <w:left w:val="nil"/>
              <w:bottom w:val="nil"/>
              <w:right w:val="nil"/>
            </w:tcBorders>
            <w:tcMar>
              <w:top w:w="15" w:type="dxa"/>
              <w:left w:w="15" w:type="dxa"/>
              <w:bottom w:w="0" w:type="dxa"/>
              <w:right w:w="15" w:type="dxa"/>
            </w:tcMar>
            <w:vAlign w:val="center"/>
            <w:hideMark/>
          </w:tcPr>
          <w:p w14:paraId="2440CB43" w14:textId="77777777" w:rsidR="00785144" w:rsidRPr="00444BDF" w:rsidRDefault="00785144">
            <w:pPr>
              <w:spacing w:line="259" w:lineRule="auto"/>
              <w:rPr>
                <w:szCs w:val="22"/>
              </w:rPr>
            </w:pPr>
            <w:r w:rsidRPr="00444BDF">
              <w:rPr>
                <w:szCs w:val="22"/>
              </w:rPr>
              <w:t>Department of Transport and Planning</w:t>
            </w:r>
          </w:p>
        </w:tc>
        <w:tc>
          <w:tcPr>
            <w:tcW w:w="1884" w:type="dxa"/>
            <w:tcBorders>
              <w:top w:val="nil"/>
              <w:left w:val="nil"/>
              <w:bottom w:val="nil"/>
              <w:right w:val="nil"/>
            </w:tcBorders>
            <w:tcMar>
              <w:top w:w="15" w:type="dxa"/>
              <w:left w:w="15" w:type="dxa"/>
              <w:bottom w:w="0" w:type="dxa"/>
              <w:right w:w="15" w:type="dxa"/>
            </w:tcMar>
            <w:vAlign w:val="center"/>
            <w:hideMark/>
          </w:tcPr>
          <w:p w14:paraId="64C27EE9" w14:textId="41178027" w:rsidR="00785144" w:rsidRPr="00444BDF" w:rsidRDefault="00785144" w:rsidP="006423BA">
            <w:pPr>
              <w:spacing w:line="259" w:lineRule="auto"/>
              <w:jc w:val="right"/>
              <w:rPr>
                <w:szCs w:val="22"/>
              </w:rPr>
            </w:pPr>
            <w:r w:rsidRPr="00444BDF">
              <w:rPr>
                <w:szCs w:val="22"/>
              </w:rPr>
              <w:t>2</w:t>
            </w:r>
            <w:r w:rsidR="00D30C6A">
              <w:rPr>
                <w:szCs w:val="22"/>
              </w:rPr>
              <w:t>7</w:t>
            </w:r>
            <w:r w:rsidR="000E6D99">
              <w:rPr>
                <w:szCs w:val="22"/>
              </w:rPr>
              <w:t>0</w:t>
            </w:r>
          </w:p>
        </w:tc>
        <w:tc>
          <w:tcPr>
            <w:tcW w:w="1685" w:type="dxa"/>
            <w:tcBorders>
              <w:top w:val="nil"/>
              <w:left w:val="nil"/>
              <w:bottom w:val="nil"/>
              <w:right w:val="nil"/>
            </w:tcBorders>
            <w:tcMar>
              <w:top w:w="15" w:type="dxa"/>
              <w:left w:w="15" w:type="dxa"/>
              <w:bottom w:w="0" w:type="dxa"/>
              <w:right w:w="15" w:type="dxa"/>
            </w:tcMar>
            <w:vAlign w:val="center"/>
            <w:hideMark/>
          </w:tcPr>
          <w:p w14:paraId="148BABFB" w14:textId="1D8475F2" w:rsidR="00785144" w:rsidRPr="00444BDF" w:rsidRDefault="00D30C6A" w:rsidP="006423BA">
            <w:pPr>
              <w:spacing w:line="259" w:lineRule="auto"/>
              <w:jc w:val="right"/>
              <w:rPr>
                <w:szCs w:val="22"/>
              </w:rPr>
            </w:pPr>
            <w:r>
              <w:rPr>
                <w:szCs w:val="22"/>
              </w:rPr>
              <w:t>107</w:t>
            </w:r>
          </w:p>
        </w:tc>
      </w:tr>
      <w:tr w:rsidR="00785144" w:rsidRPr="00444BDF" w14:paraId="63150D21" w14:textId="77777777" w:rsidTr="00BD3187">
        <w:trPr>
          <w:trHeight w:val="153"/>
        </w:trPr>
        <w:tc>
          <w:tcPr>
            <w:tcW w:w="5597" w:type="dxa"/>
            <w:tcBorders>
              <w:top w:val="nil"/>
              <w:left w:val="nil"/>
              <w:right w:val="nil"/>
            </w:tcBorders>
            <w:tcMar>
              <w:top w:w="15" w:type="dxa"/>
              <w:left w:w="15" w:type="dxa"/>
              <w:bottom w:w="0" w:type="dxa"/>
              <w:right w:w="15" w:type="dxa"/>
            </w:tcMar>
            <w:vAlign w:val="center"/>
            <w:hideMark/>
          </w:tcPr>
          <w:p w14:paraId="4818B95C" w14:textId="77777777" w:rsidR="00785144" w:rsidRPr="00444BDF" w:rsidRDefault="00785144">
            <w:pPr>
              <w:spacing w:line="259" w:lineRule="auto"/>
              <w:rPr>
                <w:szCs w:val="22"/>
              </w:rPr>
            </w:pPr>
            <w:r w:rsidRPr="00444BDF">
              <w:rPr>
                <w:szCs w:val="22"/>
              </w:rPr>
              <w:t>Department of Premier and Cabinet</w:t>
            </w:r>
          </w:p>
        </w:tc>
        <w:tc>
          <w:tcPr>
            <w:tcW w:w="1884" w:type="dxa"/>
            <w:tcBorders>
              <w:top w:val="nil"/>
              <w:left w:val="nil"/>
              <w:right w:val="nil"/>
            </w:tcBorders>
            <w:tcMar>
              <w:top w:w="15" w:type="dxa"/>
              <w:left w:w="15" w:type="dxa"/>
              <w:bottom w:w="0" w:type="dxa"/>
              <w:right w:w="15" w:type="dxa"/>
            </w:tcMar>
            <w:vAlign w:val="center"/>
            <w:hideMark/>
          </w:tcPr>
          <w:p w14:paraId="778BDAA8" w14:textId="77777777" w:rsidR="00785144" w:rsidRPr="00444BDF" w:rsidRDefault="00785144" w:rsidP="006423BA">
            <w:pPr>
              <w:spacing w:line="259" w:lineRule="auto"/>
              <w:jc w:val="right"/>
              <w:rPr>
                <w:szCs w:val="22"/>
              </w:rPr>
            </w:pPr>
            <w:r w:rsidRPr="00444BDF">
              <w:rPr>
                <w:szCs w:val="22"/>
              </w:rPr>
              <w:t>17</w:t>
            </w:r>
          </w:p>
        </w:tc>
        <w:tc>
          <w:tcPr>
            <w:tcW w:w="1685" w:type="dxa"/>
            <w:tcBorders>
              <w:top w:val="nil"/>
              <w:left w:val="nil"/>
              <w:right w:val="nil"/>
            </w:tcBorders>
            <w:tcMar>
              <w:top w:w="15" w:type="dxa"/>
              <w:left w:w="15" w:type="dxa"/>
              <w:bottom w:w="0" w:type="dxa"/>
              <w:right w:w="15" w:type="dxa"/>
            </w:tcMar>
            <w:vAlign w:val="center"/>
            <w:hideMark/>
          </w:tcPr>
          <w:p w14:paraId="4B504FDF" w14:textId="77777777" w:rsidR="00785144" w:rsidRPr="00444BDF" w:rsidRDefault="00785144" w:rsidP="006423BA">
            <w:pPr>
              <w:spacing w:line="259" w:lineRule="auto"/>
              <w:jc w:val="right"/>
              <w:rPr>
                <w:szCs w:val="22"/>
              </w:rPr>
            </w:pPr>
            <w:r w:rsidRPr="00444BDF">
              <w:rPr>
                <w:szCs w:val="22"/>
              </w:rPr>
              <w:t>16</w:t>
            </w:r>
          </w:p>
        </w:tc>
      </w:tr>
      <w:tr w:rsidR="00785144" w:rsidRPr="00444BDF" w14:paraId="26DA4A79" w14:textId="77777777" w:rsidTr="00BD3187">
        <w:trPr>
          <w:trHeight w:val="153"/>
        </w:trPr>
        <w:tc>
          <w:tcPr>
            <w:tcW w:w="5597" w:type="dxa"/>
            <w:tcBorders>
              <w:top w:val="nil"/>
              <w:left w:val="nil"/>
              <w:bottom w:val="double" w:sz="4" w:space="0" w:color="auto"/>
              <w:right w:val="nil"/>
            </w:tcBorders>
            <w:tcMar>
              <w:top w:w="15" w:type="dxa"/>
              <w:left w:w="15" w:type="dxa"/>
              <w:bottom w:w="0" w:type="dxa"/>
              <w:right w:w="15" w:type="dxa"/>
            </w:tcMar>
            <w:vAlign w:val="center"/>
            <w:hideMark/>
          </w:tcPr>
          <w:p w14:paraId="39A59324" w14:textId="77777777" w:rsidR="00785144" w:rsidRPr="00444BDF" w:rsidRDefault="00785144">
            <w:pPr>
              <w:spacing w:line="259" w:lineRule="auto"/>
              <w:rPr>
                <w:szCs w:val="22"/>
              </w:rPr>
            </w:pPr>
            <w:r w:rsidRPr="00444BDF">
              <w:rPr>
                <w:szCs w:val="22"/>
              </w:rPr>
              <w:t>Department of Treasury and Finance</w:t>
            </w:r>
          </w:p>
        </w:tc>
        <w:tc>
          <w:tcPr>
            <w:tcW w:w="1884" w:type="dxa"/>
            <w:tcBorders>
              <w:top w:val="nil"/>
              <w:left w:val="nil"/>
              <w:bottom w:val="double" w:sz="4" w:space="0" w:color="auto"/>
              <w:right w:val="nil"/>
            </w:tcBorders>
            <w:tcMar>
              <w:top w:w="15" w:type="dxa"/>
              <w:left w:w="15" w:type="dxa"/>
              <w:bottom w:w="0" w:type="dxa"/>
              <w:right w:w="15" w:type="dxa"/>
            </w:tcMar>
            <w:vAlign w:val="center"/>
            <w:hideMark/>
          </w:tcPr>
          <w:p w14:paraId="200A91FD" w14:textId="119545FD" w:rsidR="00785144" w:rsidRPr="00444BDF" w:rsidRDefault="00785144" w:rsidP="006423BA">
            <w:pPr>
              <w:spacing w:line="259" w:lineRule="auto"/>
              <w:jc w:val="right"/>
              <w:rPr>
                <w:szCs w:val="22"/>
              </w:rPr>
            </w:pPr>
            <w:r w:rsidRPr="00444BDF">
              <w:rPr>
                <w:szCs w:val="22"/>
              </w:rPr>
              <w:t>1</w:t>
            </w:r>
            <w:r w:rsidR="00B42382">
              <w:rPr>
                <w:szCs w:val="22"/>
              </w:rPr>
              <w:t>33</w:t>
            </w:r>
          </w:p>
        </w:tc>
        <w:tc>
          <w:tcPr>
            <w:tcW w:w="1685" w:type="dxa"/>
            <w:tcBorders>
              <w:top w:val="nil"/>
              <w:left w:val="nil"/>
              <w:bottom w:val="double" w:sz="4" w:space="0" w:color="auto"/>
              <w:right w:val="nil"/>
            </w:tcBorders>
            <w:tcMar>
              <w:top w:w="15" w:type="dxa"/>
              <w:left w:w="15" w:type="dxa"/>
              <w:bottom w:w="0" w:type="dxa"/>
              <w:right w:w="15" w:type="dxa"/>
            </w:tcMar>
            <w:vAlign w:val="center"/>
            <w:hideMark/>
          </w:tcPr>
          <w:p w14:paraId="508F5C71" w14:textId="70DFDF73" w:rsidR="00785144" w:rsidRPr="00444BDF" w:rsidRDefault="006F083C" w:rsidP="006423BA">
            <w:pPr>
              <w:spacing w:line="259" w:lineRule="auto"/>
              <w:jc w:val="right"/>
              <w:rPr>
                <w:szCs w:val="22"/>
              </w:rPr>
            </w:pPr>
            <w:r>
              <w:rPr>
                <w:szCs w:val="22"/>
              </w:rPr>
              <w:t>86</w:t>
            </w:r>
          </w:p>
        </w:tc>
      </w:tr>
      <w:tr w:rsidR="00785144" w:rsidRPr="00444BDF" w14:paraId="0733831D" w14:textId="77777777" w:rsidTr="00BD3187">
        <w:trPr>
          <w:trHeight w:val="153"/>
        </w:trPr>
        <w:tc>
          <w:tcPr>
            <w:tcW w:w="5597" w:type="dxa"/>
            <w:tcBorders>
              <w:top w:val="double" w:sz="4" w:space="0" w:color="auto"/>
              <w:left w:val="nil"/>
              <w:bottom w:val="single" w:sz="4" w:space="0" w:color="auto"/>
              <w:right w:val="nil"/>
            </w:tcBorders>
            <w:tcMar>
              <w:top w:w="15" w:type="dxa"/>
              <w:left w:w="15" w:type="dxa"/>
              <w:bottom w:w="0" w:type="dxa"/>
              <w:right w:w="15" w:type="dxa"/>
            </w:tcMar>
            <w:vAlign w:val="center"/>
          </w:tcPr>
          <w:p w14:paraId="1F67BB42" w14:textId="77777777" w:rsidR="00785144" w:rsidRPr="00EF5572" w:rsidRDefault="00785144">
            <w:pPr>
              <w:spacing w:after="0"/>
              <w:rPr>
                <w:b/>
                <w:bCs/>
                <w:szCs w:val="22"/>
              </w:rPr>
            </w:pPr>
            <w:r w:rsidRPr="00EF5572">
              <w:rPr>
                <w:b/>
                <w:bCs/>
                <w:szCs w:val="22"/>
              </w:rPr>
              <w:t>Total</w:t>
            </w:r>
          </w:p>
        </w:tc>
        <w:tc>
          <w:tcPr>
            <w:tcW w:w="1884" w:type="dxa"/>
            <w:tcBorders>
              <w:top w:val="double" w:sz="4" w:space="0" w:color="auto"/>
              <w:left w:val="nil"/>
              <w:bottom w:val="single" w:sz="4" w:space="0" w:color="auto"/>
              <w:right w:val="nil"/>
            </w:tcBorders>
            <w:tcMar>
              <w:top w:w="15" w:type="dxa"/>
              <w:left w:w="15" w:type="dxa"/>
              <w:bottom w:w="0" w:type="dxa"/>
              <w:right w:w="15" w:type="dxa"/>
            </w:tcMar>
            <w:vAlign w:val="center"/>
          </w:tcPr>
          <w:p w14:paraId="69878866" w14:textId="554ECE7B" w:rsidR="00785144" w:rsidRPr="00EF5572" w:rsidRDefault="00785144" w:rsidP="006423BA">
            <w:pPr>
              <w:spacing w:after="0"/>
              <w:jc w:val="right"/>
              <w:rPr>
                <w:b/>
                <w:bCs/>
                <w:szCs w:val="22"/>
              </w:rPr>
            </w:pPr>
            <w:r w:rsidRPr="00EF5572">
              <w:rPr>
                <w:b/>
                <w:bCs/>
                <w:szCs w:val="22"/>
              </w:rPr>
              <w:t>4,</w:t>
            </w:r>
            <w:r w:rsidR="000A2990">
              <w:rPr>
                <w:b/>
                <w:bCs/>
                <w:szCs w:val="22"/>
              </w:rPr>
              <w:t>5</w:t>
            </w:r>
            <w:r w:rsidR="00781E0F">
              <w:rPr>
                <w:b/>
                <w:bCs/>
                <w:szCs w:val="22"/>
              </w:rPr>
              <w:t>02</w:t>
            </w:r>
          </w:p>
        </w:tc>
        <w:tc>
          <w:tcPr>
            <w:tcW w:w="1685" w:type="dxa"/>
            <w:tcBorders>
              <w:top w:val="double" w:sz="4" w:space="0" w:color="auto"/>
              <w:left w:val="nil"/>
              <w:bottom w:val="single" w:sz="4" w:space="0" w:color="auto"/>
              <w:right w:val="nil"/>
            </w:tcBorders>
            <w:tcMar>
              <w:top w:w="15" w:type="dxa"/>
              <w:left w:w="15" w:type="dxa"/>
              <w:bottom w:w="0" w:type="dxa"/>
              <w:right w:w="15" w:type="dxa"/>
            </w:tcMar>
            <w:vAlign w:val="center"/>
          </w:tcPr>
          <w:p w14:paraId="0F889E74" w14:textId="04A7C987" w:rsidR="00785144" w:rsidRPr="00EF5572" w:rsidRDefault="00785144" w:rsidP="006423BA">
            <w:pPr>
              <w:spacing w:after="0"/>
              <w:jc w:val="right"/>
              <w:rPr>
                <w:b/>
                <w:bCs/>
                <w:szCs w:val="22"/>
              </w:rPr>
            </w:pPr>
            <w:r w:rsidRPr="00EF5572">
              <w:rPr>
                <w:b/>
                <w:bCs/>
                <w:szCs w:val="22"/>
              </w:rPr>
              <w:t>1,</w:t>
            </w:r>
            <w:r w:rsidR="000C01F9">
              <w:rPr>
                <w:b/>
                <w:bCs/>
                <w:szCs w:val="22"/>
              </w:rPr>
              <w:t>681</w:t>
            </w:r>
          </w:p>
        </w:tc>
      </w:tr>
    </w:tbl>
    <w:p w14:paraId="5E39A123" w14:textId="2F0426B8" w:rsidR="00785144" w:rsidRDefault="00785144" w:rsidP="005B6739">
      <w:pPr>
        <w:pStyle w:val="Caption"/>
        <w:spacing w:before="120"/>
      </w:pPr>
      <w:r w:rsidRPr="006D6D01">
        <w:t>Note: Total savings from 2025</w:t>
      </w:r>
      <w:r>
        <w:t>–</w:t>
      </w:r>
      <w:r w:rsidRPr="006D6D01">
        <w:t>26 to 2028</w:t>
      </w:r>
      <w:r>
        <w:t>–</w:t>
      </w:r>
      <w:r w:rsidRPr="006D6D01">
        <w:t xml:space="preserve">29, including those identified in the Review’s interim recommendations. </w:t>
      </w:r>
      <w:r w:rsidR="00E072D1" w:rsidRPr="00140821">
        <w:t xml:space="preserve">Savings do not include those from proposals attributed to the whole of Victorian Government, </w:t>
      </w:r>
      <w:r w:rsidR="008B72DB" w:rsidRPr="00140821">
        <w:t>such as accommodation</w:t>
      </w:r>
      <w:r w:rsidR="001B0113" w:rsidRPr="00140821">
        <w:t xml:space="preserve"> consolidation</w:t>
      </w:r>
      <w:r w:rsidR="008B72DB" w:rsidRPr="00140821">
        <w:t xml:space="preserve"> and shared services reform.</w:t>
      </w:r>
    </w:p>
    <w:p w14:paraId="63E79EFE" w14:textId="77777777" w:rsidR="00785144" w:rsidRPr="00224E29" w:rsidRDefault="00785144" w:rsidP="00785144">
      <w:pPr>
        <w:rPr>
          <w:rFonts w:asciiTheme="majorHAnsi" w:hAnsiTheme="majorHAnsi"/>
          <w:b/>
          <w:bCs/>
        </w:rPr>
      </w:pPr>
      <w:r w:rsidRPr="004655AB">
        <w:rPr>
          <w:rFonts w:asciiTheme="majorHAnsi" w:hAnsiTheme="majorHAnsi"/>
          <w:b/>
          <w:bCs/>
          <w:color w:val="0F4761" w:themeColor="accent1" w:themeShade="BF"/>
          <w:szCs w:val="22"/>
        </w:rPr>
        <w:t>Notes</w:t>
      </w:r>
    </w:p>
    <w:tbl>
      <w:tblPr>
        <w:tblW w:w="9266" w:type="dxa"/>
        <w:tblCellMar>
          <w:left w:w="0" w:type="dxa"/>
          <w:right w:w="0" w:type="dxa"/>
        </w:tblCellMar>
        <w:tblLook w:val="04A0" w:firstRow="1" w:lastRow="0" w:firstColumn="1" w:lastColumn="0" w:noHBand="0" w:noVBand="1"/>
      </w:tblPr>
      <w:tblGrid>
        <w:gridCol w:w="627"/>
        <w:gridCol w:w="8639"/>
      </w:tblGrid>
      <w:tr w:rsidR="00785144" w:rsidRPr="00654C0B" w14:paraId="422390EC" w14:textId="77777777">
        <w:trPr>
          <w:trHeight w:val="586"/>
        </w:trPr>
        <w:tc>
          <w:tcPr>
            <w:tcW w:w="627" w:type="dxa"/>
            <w:tcBorders>
              <w:top w:val="nil"/>
              <w:left w:val="nil"/>
              <w:bottom w:val="nil"/>
              <w:right w:val="nil"/>
            </w:tcBorders>
            <w:tcMar>
              <w:top w:w="15" w:type="dxa"/>
              <w:left w:w="108" w:type="dxa"/>
              <w:bottom w:w="0" w:type="dxa"/>
              <w:right w:w="108" w:type="dxa"/>
            </w:tcMar>
            <w:hideMark/>
          </w:tcPr>
          <w:p w14:paraId="47CB69F6" w14:textId="77777777" w:rsidR="00785144" w:rsidRPr="00654C0B" w:rsidRDefault="00785144">
            <w:pPr>
              <w:spacing w:line="259" w:lineRule="auto"/>
              <w:rPr>
                <w:szCs w:val="22"/>
              </w:rPr>
            </w:pPr>
            <w:r w:rsidRPr="00654C0B">
              <w:rPr>
                <w:szCs w:val="22"/>
              </w:rPr>
              <w:t>*</w:t>
            </w:r>
          </w:p>
        </w:tc>
        <w:tc>
          <w:tcPr>
            <w:tcW w:w="8639" w:type="dxa"/>
            <w:tcBorders>
              <w:top w:val="nil"/>
              <w:left w:val="nil"/>
              <w:bottom w:val="nil"/>
              <w:right w:val="nil"/>
            </w:tcBorders>
            <w:tcMar>
              <w:top w:w="15" w:type="dxa"/>
              <w:left w:w="108" w:type="dxa"/>
              <w:bottom w:w="0" w:type="dxa"/>
              <w:right w:w="108" w:type="dxa"/>
            </w:tcMar>
            <w:hideMark/>
          </w:tcPr>
          <w:p w14:paraId="61ACED96" w14:textId="6EE60CBB" w:rsidR="00785144" w:rsidRPr="00654C0B" w:rsidRDefault="00785144">
            <w:pPr>
              <w:spacing w:line="259" w:lineRule="auto"/>
              <w:rPr>
                <w:szCs w:val="22"/>
              </w:rPr>
            </w:pPr>
            <w:r w:rsidRPr="00654C0B">
              <w:rPr>
                <w:szCs w:val="22"/>
              </w:rPr>
              <w:t>2023</w:t>
            </w:r>
            <w:r w:rsidR="00A95288">
              <w:rPr>
                <w:szCs w:val="22"/>
              </w:rPr>
              <w:t>–</w:t>
            </w:r>
            <w:r w:rsidRPr="00654C0B">
              <w:rPr>
                <w:szCs w:val="22"/>
              </w:rPr>
              <w:t xml:space="preserve">24 Annual Financial Report provides details on actual expenditure by department. Can be sourced from the </w:t>
            </w:r>
            <w:r w:rsidR="008A18B9">
              <w:rPr>
                <w:szCs w:val="22"/>
              </w:rPr>
              <w:t>DTF</w:t>
            </w:r>
            <w:r w:rsidRPr="00654C0B">
              <w:rPr>
                <w:szCs w:val="22"/>
              </w:rPr>
              <w:t xml:space="preserve"> website.</w:t>
            </w:r>
          </w:p>
        </w:tc>
      </w:tr>
      <w:tr w:rsidR="00785144" w:rsidRPr="00654C0B" w14:paraId="05F09694" w14:textId="77777777">
        <w:trPr>
          <w:trHeight w:val="813"/>
        </w:trPr>
        <w:tc>
          <w:tcPr>
            <w:tcW w:w="627" w:type="dxa"/>
            <w:tcBorders>
              <w:top w:val="nil"/>
              <w:left w:val="nil"/>
              <w:bottom w:val="nil"/>
              <w:right w:val="nil"/>
            </w:tcBorders>
            <w:tcMar>
              <w:top w:w="15" w:type="dxa"/>
              <w:left w:w="108" w:type="dxa"/>
              <w:bottom w:w="0" w:type="dxa"/>
              <w:right w:w="108" w:type="dxa"/>
            </w:tcMar>
            <w:hideMark/>
          </w:tcPr>
          <w:p w14:paraId="697B8A1E" w14:textId="77777777" w:rsidR="00785144" w:rsidRPr="00654C0B" w:rsidRDefault="00785144">
            <w:pPr>
              <w:spacing w:line="259" w:lineRule="auto"/>
              <w:rPr>
                <w:szCs w:val="22"/>
              </w:rPr>
            </w:pPr>
            <w:r w:rsidRPr="00654C0B">
              <w:rPr>
                <w:szCs w:val="22"/>
              </w:rPr>
              <w:t>^</w:t>
            </w:r>
          </w:p>
        </w:tc>
        <w:tc>
          <w:tcPr>
            <w:tcW w:w="8639" w:type="dxa"/>
            <w:tcBorders>
              <w:top w:val="nil"/>
              <w:left w:val="nil"/>
              <w:bottom w:val="nil"/>
              <w:right w:val="nil"/>
            </w:tcBorders>
            <w:tcMar>
              <w:top w:w="15" w:type="dxa"/>
              <w:left w:w="108" w:type="dxa"/>
              <w:bottom w:w="0" w:type="dxa"/>
              <w:right w:w="108" w:type="dxa"/>
            </w:tcMar>
            <w:hideMark/>
          </w:tcPr>
          <w:p w14:paraId="436E9FAD" w14:textId="645BEC91" w:rsidR="00785144" w:rsidRPr="00654C0B" w:rsidRDefault="00785144">
            <w:pPr>
              <w:spacing w:line="259" w:lineRule="auto"/>
              <w:rPr>
                <w:szCs w:val="22"/>
              </w:rPr>
            </w:pPr>
            <w:r w:rsidRPr="00654C0B">
              <w:rPr>
                <w:szCs w:val="22"/>
              </w:rPr>
              <w:t xml:space="preserve">VPSC VPS non-departmental entity and departmental annual report FTE data. The most recent data available </w:t>
            </w:r>
            <w:r w:rsidR="007970DA">
              <w:rPr>
                <w:szCs w:val="22"/>
              </w:rPr>
              <w:t>to</w:t>
            </w:r>
            <w:r w:rsidRPr="00654C0B">
              <w:rPr>
                <w:szCs w:val="22"/>
              </w:rPr>
              <w:t xml:space="preserve"> the </w:t>
            </w:r>
            <w:r w:rsidR="007970DA">
              <w:rPr>
                <w:szCs w:val="22"/>
              </w:rPr>
              <w:t>Review</w:t>
            </w:r>
            <w:r w:rsidRPr="00654C0B">
              <w:rPr>
                <w:szCs w:val="22"/>
              </w:rPr>
              <w:t xml:space="preserve"> is June 2024.</w:t>
            </w:r>
          </w:p>
        </w:tc>
      </w:tr>
      <w:tr w:rsidR="00785144" w:rsidRPr="00654C0B" w14:paraId="52C74EFD" w14:textId="77777777">
        <w:trPr>
          <w:trHeight w:val="1266"/>
        </w:trPr>
        <w:tc>
          <w:tcPr>
            <w:tcW w:w="627" w:type="dxa"/>
            <w:tcBorders>
              <w:top w:val="nil"/>
              <w:left w:val="nil"/>
              <w:bottom w:val="nil"/>
              <w:right w:val="nil"/>
            </w:tcBorders>
            <w:tcMar>
              <w:top w:w="15" w:type="dxa"/>
              <w:left w:w="108" w:type="dxa"/>
              <w:bottom w:w="0" w:type="dxa"/>
              <w:right w:w="108" w:type="dxa"/>
            </w:tcMar>
            <w:hideMark/>
          </w:tcPr>
          <w:p w14:paraId="79CD605D" w14:textId="77777777" w:rsidR="00785144" w:rsidRPr="00654C0B" w:rsidRDefault="00785144">
            <w:pPr>
              <w:spacing w:line="259" w:lineRule="auto"/>
              <w:rPr>
                <w:szCs w:val="22"/>
              </w:rPr>
            </w:pPr>
            <w:r w:rsidRPr="00654C0B">
              <w:rPr>
                <w:szCs w:val="22"/>
              </w:rPr>
              <w:t>†</w:t>
            </w:r>
          </w:p>
        </w:tc>
        <w:tc>
          <w:tcPr>
            <w:tcW w:w="8639" w:type="dxa"/>
            <w:tcBorders>
              <w:top w:val="nil"/>
              <w:left w:val="nil"/>
              <w:bottom w:val="nil"/>
              <w:right w:val="nil"/>
            </w:tcBorders>
            <w:tcMar>
              <w:top w:w="15" w:type="dxa"/>
              <w:left w:w="108" w:type="dxa"/>
              <w:bottom w:w="0" w:type="dxa"/>
              <w:right w:w="108" w:type="dxa"/>
            </w:tcMar>
            <w:hideMark/>
          </w:tcPr>
          <w:p w14:paraId="56F6BD41" w14:textId="18A2ACDF" w:rsidR="00785144" w:rsidRPr="00654C0B" w:rsidRDefault="00785144">
            <w:pPr>
              <w:spacing w:line="259" w:lineRule="auto"/>
              <w:rPr>
                <w:szCs w:val="22"/>
              </w:rPr>
            </w:pPr>
            <w:r w:rsidRPr="00654C0B">
              <w:rPr>
                <w:szCs w:val="22"/>
              </w:rPr>
              <w:t xml:space="preserve">2025/26 Victorian Budget, Departmental Performance Statement, details historical departmental expenditure by output group and is also the source for current departmental objectives. The most recent version of this document was published alongside the 2025/26 Budget and can be sourced from the </w:t>
            </w:r>
            <w:r w:rsidR="007970DA">
              <w:rPr>
                <w:szCs w:val="22"/>
              </w:rPr>
              <w:t>DTF</w:t>
            </w:r>
            <w:r w:rsidRPr="00654C0B">
              <w:rPr>
                <w:szCs w:val="22"/>
              </w:rPr>
              <w:t xml:space="preserve"> website.</w:t>
            </w:r>
          </w:p>
        </w:tc>
      </w:tr>
    </w:tbl>
    <w:p w14:paraId="432E1AB9" w14:textId="05F3326E" w:rsidR="00651243" w:rsidRDefault="00785144" w:rsidP="00785144">
      <w:pPr>
        <w:rPr>
          <w:szCs w:val="22"/>
        </w:rPr>
      </w:pPr>
      <w:r w:rsidRPr="00244D46">
        <w:rPr>
          <w:szCs w:val="22"/>
        </w:rPr>
        <w:t>Department specific references are listed at the bottom of each summary.</w:t>
      </w:r>
    </w:p>
    <w:p w14:paraId="5DE25AC9" w14:textId="77777777" w:rsidR="00651243" w:rsidRDefault="00651243">
      <w:pPr>
        <w:rPr>
          <w:szCs w:val="22"/>
        </w:rPr>
      </w:pPr>
      <w:r>
        <w:rPr>
          <w:szCs w:val="22"/>
        </w:rPr>
        <w:br w:type="page"/>
      </w: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85144" w:rsidRPr="00A43B0D" w14:paraId="2DDCE534" w14:textId="77777777">
        <w:trPr>
          <w:trHeight w:val="449"/>
        </w:trPr>
        <w:tc>
          <w:tcPr>
            <w:tcW w:w="9016" w:type="dxa"/>
            <w:gridSpan w:val="2"/>
          </w:tcPr>
          <w:p w14:paraId="5AC40ABD" w14:textId="77777777" w:rsidR="00785144" w:rsidRPr="00303A8B" w:rsidRDefault="00785144" w:rsidP="00303A8B">
            <w:pPr>
              <w:pStyle w:val="Heading3"/>
              <w:rPr>
                <w:rFonts w:asciiTheme="majorHAnsi" w:hAnsiTheme="majorHAnsi"/>
                <w:sz w:val="32"/>
                <w:szCs w:val="32"/>
              </w:rPr>
            </w:pPr>
            <w:r w:rsidRPr="00303A8B">
              <w:rPr>
                <w:rFonts w:asciiTheme="majorHAnsi" w:hAnsiTheme="majorHAnsi"/>
                <w:sz w:val="32"/>
                <w:szCs w:val="32"/>
              </w:rPr>
              <w:lastRenderedPageBreak/>
              <w:t>Department of Education (DE)</w:t>
            </w:r>
          </w:p>
        </w:tc>
      </w:tr>
      <w:tr w:rsidR="00785144" w:rsidRPr="00A43B0D" w14:paraId="57A4318A" w14:textId="77777777">
        <w:trPr>
          <w:trHeight w:val="522"/>
        </w:trPr>
        <w:tc>
          <w:tcPr>
            <w:tcW w:w="9016" w:type="dxa"/>
            <w:gridSpan w:val="2"/>
          </w:tcPr>
          <w:p w14:paraId="0E51CEFD" w14:textId="77777777" w:rsidR="00785144" w:rsidRDefault="00785144">
            <w:pPr>
              <w:spacing w:line="278" w:lineRule="auto"/>
              <w:rPr>
                <w:sz w:val="18"/>
                <w:szCs w:val="18"/>
              </w:rPr>
            </w:pPr>
            <w:r w:rsidRPr="0016115A">
              <w:rPr>
                <w:sz w:val="18"/>
                <w:szCs w:val="18"/>
              </w:rPr>
              <w:t>A great education for every child and young person so they can thrive now, and in the future, for a fairer, smarter and more prosperous state.</w:t>
            </w:r>
          </w:p>
          <w:p w14:paraId="737E843E" w14:textId="77777777" w:rsidR="00785144" w:rsidRPr="00A43B0D" w:rsidRDefault="00785144">
            <w:pPr>
              <w:spacing w:line="278" w:lineRule="auto"/>
              <w:rPr>
                <w:sz w:val="18"/>
                <w:szCs w:val="18"/>
              </w:rPr>
            </w:pPr>
          </w:p>
        </w:tc>
      </w:tr>
      <w:tr w:rsidR="00785144" w:rsidRPr="00A43B0D" w14:paraId="72810B6F" w14:textId="77777777">
        <w:trPr>
          <w:trHeight w:val="967"/>
        </w:trPr>
        <w:tc>
          <w:tcPr>
            <w:tcW w:w="4508" w:type="dxa"/>
          </w:tcPr>
          <w:p w14:paraId="510D4E14" w14:textId="5B417FE6" w:rsidR="00785144" w:rsidRPr="00A43B0D" w:rsidRDefault="00785144">
            <w:pPr>
              <w:spacing w:line="278" w:lineRule="auto"/>
              <w:rPr>
                <w:sz w:val="18"/>
                <w:szCs w:val="18"/>
              </w:rPr>
            </w:pPr>
            <w:r>
              <w:rPr>
                <w:noProof/>
                <w:szCs w:val="22"/>
              </w:rPr>
              <w:drawing>
                <wp:inline distT="0" distB="0" distL="0" distR="0" wp14:anchorId="6E18584C" wp14:editId="4D9516AC">
                  <wp:extent cx="2719070" cy="426720"/>
                  <wp:effectExtent l="0" t="0" r="0" b="0"/>
                  <wp:docPr id="81686409" name="Picture 2" descr="$21.4 billion (2023-24 output)*&#10;20% of government expendi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6409" name="Picture 2" descr="$21.4 billion (2023-24 output)*&#10;20% of government expenditure&#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19070" cy="426720"/>
                          </a:xfrm>
                          <a:prstGeom prst="rect">
                            <a:avLst/>
                          </a:prstGeom>
                          <a:noFill/>
                        </pic:spPr>
                      </pic:pic>
                    </a:graphicData>
                  </a:graphic>
                </wp:inline>
              </w:drawing>
            </w:r>
          </w:p>
        </w:tc>
        <w:tc>
          <w:tcPr>
            <w:tcW w:w="4508" w:type="dxa"/>
          </w:tcPr>
          <w:p w14:paraId="06793208" w14:textId="77777777" w:rsidR="00785144" w:rsidRPr="00A43B0D" w:rsidRDefault="00785144">
            <w:pPr>
              <w:spacing w:line="278" w:lineRule="auto"/>
              <w:rPr>
                <w:sz w:val="18"/>
                <w:szCs w:val="18"/>
              </w:rPr>
            </w:pPr>
            <w:r>
              <w:rPr>
                <w:noProof/>
              </w:rPr>
              <w:t xml:space="preserve"> </w:t>
            </w:r>
            <w:r>
              <w:rPr>
                <w:noProof/>
                <w:sz w:val="18"/>
                <w:szCs w:val="18"/>
              </w:rPr>
              <w:drawing>
                <wp:inline distT="0" distB="0" distL="0" distR="0" wp14:anchorId="218D4662" wp14:editId="1BEDE824">
                  <wp:extent cx="2399991" cy="358775"/>
                  <wp:effectExtent l="0" t="0" r="635" b="3175"/>
                  <wp:docPr id="651063664" name="Picture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63664" name="Picture 3" descr="4"/>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487263" cy="371821"/>
                          </a:xfrm>
                          <a:prstGeom prst="rect">
                            <a:avLst/>
                          </a:prstGeom>
                          <a:noFill/>
                        </pic:spPr>
                      </pic:pic>
                    </a:graphicData>
                  </a:graphic>
                </wp:inline>
              </w:drawing>
            </w:r>
          </w:p>
        </w:tc>
      </w:tr>
      <w:tr w:rsidR="00785144" w:rsidRPr="00A43B0D" w14:paraId="092BBE93" w14:textId="77777777">
        <w:trPr>
          <w:trHeight w:val="922"/>
        </w:trPr>
        <w:tc>
          <w:tcPr>
            <w:tcW w:w="4508" w:type="dxa"/>
          </w:tcPr>
          <w:p w14:paraId="5BA099CF" w14:textId="77777777" w:rsidR="00785144" w:rsidRPr="00354732" w:rsidRDefault="00785144">
            <w:pPr>
              <w:rPr>
                <w:rFonts w:asciiTheme="majorHAnsi" w:hAnsiTheme="majorHAnsi"/>
                <w:b/>
                <w:bCs/>
                <w:color w:val="0F4761" w:themeColor="accent1" w:themeShade="BF"/>
                <w:szCs w:val="22"/>
              </w:rPr>
            </w:pPr>
            <w:r w:rsidRPr="00354732">
              <w:rPr>
                <w:rFonts w:asciiTheme="majorHAnsi" w:hAnsiTheme="majorHAnsi"/>
                <w:b/>
                <w:bCs/>
                <w:color w:val="0F4761" w:themeColor="accent1" w:themeShade="BF"/>
                <w:szCs w:val="22"/>
              </w:rPr>
              <w:t>Objectives</w:t>
            </w:r>
            <w:r w:rsidRPr="00354732">
              <w:rPr>
                <w:rFonts w:asciiTheme="majorHAnsi" w:hAnsiTheme="majorHAnsi"/>
                <w:b/>
                <w:bCs/>
                <w:color w:val="0F4761" w:themeColor="accent1" w:themeShade="BF"/>
                <w:szCs w:val="22"/>
                <w:vertAlign w:val="superscript"/>
              </w:rPr>
              <w:t>†</w:t>
            </w:r>
          </w:p>
          <w:p w14:paraId="3B397709" w14:textId="77777777" w:rsidR="00785144" w:rsidRPr="00C031B9" w:rsidRDefault="00785144" w:rsidP="00785144">
            <w:pPr>
              <w:numPr>
                <w:ilvl w:val="0"/>
                <w:numId w:val="82"/>
              </w:numPr>
              <w:spacing w:line="278" w:lineRule="auto"/>
              <w:ind w:left="414" w:hanging="357"/>
              <w:rPr>
                <w:sz w:val="18"/>
                <w:szCs w:val="18"/>
              </w:rPr>
            </w:pPr>
            <w:r w:rsidRPr="00C031B9">
              <w:rPr>
                <w:sz w:val="18"/>
                <w:szCs w:val="18"/>
              </w:rPr>
              <w:t>Raise development outcomes for three and four-year-old children prior to attending school</w:t>
            </w:r>
          </w:p>
          <w:p w14:paraId="26987022" w14:textId="77777777" w:rsidR="00785144" w:rsidRPr="00C031B9" w:rsidRDefault="00785144" w:rsidP="00785144">
            <w:pPr>
              <w:numPr>
                <w:ilvl w:val="0"/>
                <w:numId w:val="82"/>
              </w:numPr>
              <w:spacing w:line="278" w:lineRule="auto"/>
              <w:ind w:left="414" w:hanging="357"/>
              <w:rPr>
                <w:sz w:val="18"/>
                <w:szCs w:val="18"/>
              </w:rPr>
            </w:pPr>
            <w:r w:rsidRPr="00C031B9">
              <w:rPr>
                <w:sz w:val="18"/>
                <w:szCs w:val="18"/>
              </w:rPr>
              <w:t>Raise learning, development, engagement and wellbeing outcomes for all Victorian students</w:t>
            </w:r>
          </w:p>
          <w:p w14:paraId="4112965A" w14:textId="77777777" w:rsidR="00785144" w:rsidRDefault="00785144" w:rsidP="00785144">
            <w:pPr>
              <w:numPr>
                <w:ilvl w:val="0"/>
                <w:numId w:val="82"/>
              </w:numPr>
              <w:spacing w:line="278" w:lineRule="auto"/>
              <w:ind w:left="414" w:hanging="357"/>
              <w:rPr>
                <w:sz w:val="18"/>
                <w:szCs w:val="18"/>
              </w:rPr>
            </w:pPr>
            <w:r w:rsidRPr="00C031B9">
              <w:rPr>
                <w:sz w:val="18"/>
                <w:szCs w:val="18"/>
              </w:rPr>
              <w:t>Provide equitable and inclusive schooling to all Victorian students</w:t>
            </w:r>
          </w:p>
          <w:p w14:paraId="011ED7E9" w14:textId="77777777" w:rsidR="00785144" w:rsidRPr="003429FF" w:rsidRDefault="00785144">
            <w:pPr>
              <w:spacing w:line="278" w:lineRule="auto"/>
              <w:ind w:left="414"/>
              <w:rPr>
                <w:sz w:val="18"/>
                <w:szCs w:val="18"/>
              </w:rPr>
            </w:pPr>
          </w:p>
        </w:tc>
        <w:tc>
          <w:tcPr>
            <w:tcW w:w="4508" w:type="dxa"/>
          </w:tcPr>
          <w:p w14:paraId="174DB7A0" w14:textId="77777777" w:rsidR="00785144" w:rsidRPr="00354732" w:rsidRDefault="00785144">
            <w:pPr>
              <w:rPr>
                <w:rFonts w:asciiTheme="majorHAnsi" w:hAnsiTheme="majorHAnsi"/>
                <w:b/>
                <w:bCs/>
                <w:color w:val="0F4761" w:themeColor="accent1" w:themeShade="BF"/>
                <w:szCs w:val="22"/>
              </w:rPr>
            </w:pPr>
            <w:r w:rsidRPr="00354732">
              <w:rPr>
                <w:rFonts w:asciiTheme="majorHAnsi" w:hAnsiTheme="majorHAnsi"/>
                <w:b/>
                <w:bCs/>
                <w:color w:val="0F4761" w:themeColor="accent1" w:themeShade="BF"/>
                <w:szCs w:val="22"/>
              </w:rPr>
              <w:t>Ministerial portfolios</w:t>
            </w:r>
          </w:p>
          <w:p w14:paraId="1B8A2E86" w14:textId="77777777" w:rsidR="00785144" w:rsidRPr="00A435FB" w:rsidRDefault="00785144" w:rsidP="00785144">
            <w:pPr>
              <w:numPr>
                <w:ilvl w:val="0"/>
                <w:numId w:val="83"/>
              </w:numPr>
              <w:spacing w:line="278" w:lineRule="auto"/>
              <w:ind w:left="414" w:hanging="357"/>
              <w:rPr>
                <w:sz w:val="18"/>
                <w:szCs w:val="18"/>
              </w:rPr>
            </w:pPr>
            <w:r w:rsidRPr="00A435FB">
              <w:rPr>
                <w:sz w:val="18"/>
                <w:szCs w:val="18"/>
              </w:rPr>
              <w:t>Education</w:t>
            </w:r>
          </w:p>
          <w:p w14:paraId="1F278EE7" w14:textId="77777777" w:rsidR="00785144" w:rsidRDefault="00785144" w:rsidP="00785144">
            <w:pPr>
              <w:numPr>
                <w:ilvl w:val="0"/>
                <w:numId w:val="83"/>
              </w:numPr>
              <w:spacing w:line="278" w:lineRule="auto"/>
              <w:ind w:left="414" w:hanging="357"/>
              <w:rPr>
                <w:sz w:val="18"/>
                <w:szCs w:val="18"/>
              </w:rPr>
            </w:pPr>
            <w:r w:rsidRPr="00A435FB">
              <w:rPr>
                <w:sz w:val="18"/>
                <w:szCs w:val="18"/>
              </w:rPr>
              <w:t>Children</w:t>
            </w:r>
          </w:p>
          <w:p w14:paraId="4BA2094C" w14:textId="77777777" w:rsidR="00785144" w:rsidRDefault="00785144">
            <w:pPr>
              <w:spacing w:line="278" w:lineRule="auto"/>
              <w:rPr>
                <w:sz w:val="18"/>
                <w:szCs w:val="18"/>
              </w:rPr>
            </w:pPr>
          </w:p>
          <w:p w14:paraId="224B94D8" w14:textId="77777777" w:rsidR="00785144" w:rsidRPr="00354732" w:rsidRDefault="00785144">
            <w:pPr>
              <w:rPr>
                <w:rFonts w:asciiTheme="majorHAnsi" w:hAnsiTheme="majorHAnsi"/>
                <w:b/>
                <w:bCs/>
                <w:color w:val="0F4761" w:themeColor="accent1" w:themeShade="BF"/>
                <w:szCs w:val="22"/>
              </w:rPr>
            </w:pPr>
            <w:r w:rsidRPr="00354732">
              <w:rPr>
                <w:rFonts w:asciiTheme="majorHAnsi" w:hAnsiTheme="majorHAnsi"/>
                <w:b/>
                <w:bCs/>
                <w:color w:val="0F4761" w:themeColor="accent1" w:themeShade="BF"/>
                <w:szCs w:val="22"/>
              </w:rPr>
              <w:t>VPS non-departmental entities</w:t>
            </w:r>
            <w:r w:rsidRPr="00354732">
              <w:rPr>
                <w:rFonts w:asciiTheme="majorHAnsi" w:hAnsiTheme="majorHAnsi"/>
                <w:b/>
                <w:bCs/>
                <w:color w:val="0F4761" w:themeColor="accent1" w:themeShade="BF"/>
                <w:szCs w:val="22"/>
                <w:vertAlign w:val="superscript"/>
              </w:rPr>
              <w:t>^</w:t>
            </w:r>
            <w:r w:rsidRPr="00354732">
              <w:rPr>
                <w:rFonts w:asciiTheme="majorHAnsi" w:hAnsiTheme="majorHAnsi"/>
                <w:b/>
                <w:bCs/>
                <w:color w:val="0F4761" w:themeColor="accent1" w:themeShade="BF"/>
                <w:szCs w:val="22"/>
              </w:rPr>
              <w:t xml:space="preserve"> </w:t>
            </w:r>
          </w:p>
          <w:p w14:paraId="4899F7BD" w14:textId="77777777" w:rsidR="00785144" w:rsidRPr="00FD243E" w:rsidRDefault="00785144" w:rsidP="00785144">
            <w:pPr>
              <w:numPr>
                <w:ilvl w:val="0"/>
                <w:numId w:val="84"/>
              </w:numPr>
              <w:spacing w:line="278" w:lineRule="auto"/>
              <w:ind w:left="414" w:hanging="357"/>
              <w:rPr>
                <w:sz w:val="18"/>
                <w:szCs w:val="18"/>
              </w:rPr>
            </w:pPr>
            <w:r w:rsidRPr="00FD243E">
              <w:rPr>
                <w:i/>
                <w:iCs/>
                <w:sz w:val="18"/>
                <w:szCs w:val="18"/>
              </w:rPr>
              <w:t>See footnote 1</w:t>
            </w:r>
          </w:p>
          <w:p w14:paraId="55C1DC42" w14:textId="77777777" w:rsidR="00785144" w:rsidRPr="0089503B" w:rsidRDefault="00785144">
            <w:pPr>
              <w:spacing w:line="278" w:lineRule="auto"/>
              <w:rPr>
                <w:sz w:val="18"/>
                <w:szCs w:val="18"/>
              </w:rPr>
            </w:pPr>
          </w:p>
        </w:tc>
      </w:tr>
      <w:tr w:rsidR="00785144" w:rsidRPr="00A43B0D" w14:paraId="565BB515" w14:textId="77777777">
        <w:trPr>
          <w:trHeight w:val="922"/>
        </w:trPr>
        <w:tc>
          <w:tcPr>
            <w:tcW w:w="4508" w:type="dxa"/>
          </w:tcPr>
          <w:p w14:paraId="6E3AC4C6" w14:textId="77777777" w:rsidR="00785144" w:rsidRPr="000264EC" w:rsidRDefault="00785144">
            <w:pPr>
              <w:rPr>
                <w:szCs w:val="22"/>
              </w:rPr>
            </w:pPr>
            <w:r w:rsidRPr="00942FF8">
              <w:rPr>
                <w:rFonts w:asciiTheme="majorHAnsi" w:hAnsiTheme="majorHAnsi"/>
                <w:b/>
                <w:color w:val="0F4761" w:themeColor="accent1" w:themeShade="BF"/>
                <w:szCs w:val="22"/>
              </w:rPr>
              <w:t>Share of VPS workforce</w:t>
            </w:r>
            <w:r w:rsidRPr="0078732A">
              <w:rPr>
                <w:rFonts w:asciiTheme="majorHAnsi" w:hAnsiTheme="majorHAnsi"/>
                <w:b/>
                <w:color w:val="0F4761" w:themeColor="accent1" w:themeShade="BF"/>
                <w:szCs w:val="22"/>
                <w:vertAlign w:val="superscript"/>
              </w:rPr>
              <w:t>^</w:t>
            </w:r>
            <w:r w:rsidRPr="000264EC">
              <w:rPr>
                <w:bCs/>
                <w:szCs w:val="22"/>
              </w:rPr>
              <w:br/>
            </w:r>
            <w:r w:rsidRPr="00942FF8">
              <w:rPr>
                <w:color w:val="0F4761" w:themeColor="accent1" w:themeShade="BF"/>
                <w:sz w:val="18"/>
                <w:szCs w:val="18"/>
              </w:rPr>
              <w:t>VPS Classifications, June 2024</w:t>
            </w:r>
          </w:p>
          <w:p w14:paraId="5F9BC2AF" w14:textId="77777777" w:rsidR="00785144" w:rsidRPr="00A43B0D" w:rsidRDefault="00785144">
            <w:pPr>
              <w:spacing w:line="278" w:lineRule="auto"/>
              <w:rPr>
                <w:sz w:val="18"/>
                <w:szCs w:val="18"/>
              </w:rPr>
            </w:pPr>
            <w:r w:rsidRPr="00A43B0D">
              <w:rPr>
                <w:noProof/>
                <w:sz w:val="18"/>
                <w:szCs w:val="18"/>
              </w:rPr>
              <w:drawing>
                <wp:inline distT="0" distB="0" distL="0" distR="0" wp14:anchorId="62FB61B0" wp14:editId="60DF7ABF">
                  <wp:extent cx="2242686" cy="1537813"/>
                  <wp:effectExtent l="0" t="0" r="5715" b="5715"/>
                  <wp:docPr id="1284457700" name="Picture 1" descr="A graph of a number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57700" name="Picture 1" descr="A graph of a number of different types of data&#10;&#10;AI-generated content may be incorrect."/>
                          <pic:cNvPicPr/>
                        </pic:nvPicPr>
                        <pic:blipFill>
                          <a:blip r:embed="rId47"/>
                          <a:stretch>
                            <a:fillRect/>
                          </a:stretch>
                        </pic:blipFill>
                        <pic:spPr>
                          <a:xfrm>
                            <a:off x="0" y="0"/>
                            <a:ext cx="2252800" cy="1544748"/>
                          </a:xfrm>
                          <a:prstGeom prst="rect">
                            <a:avLst/>
                          </a:prstGeom>
                        </pic:spPr>
                      </pic:pic>
                    </a:graphicData>
                  </a:graphic>
                </wp:inline>
              </w:drawing>
            </w:r>
          </w:p>
        </w:tc>
        <w:tc>
          <w:tcPr>
            <w:tcW w:w="4508" w:type="dxa"/>
          </w:tcPr>
          <w:p w14:paraId="75889CFF" w14:textId="77777777" w:rsidR="00785144" w:rsidRPr="00354732" w:rsidRDefault="00785144">
            <w:pPr>
              <w:rPr>
                <w:rFonts w:asciiTheme="majorHAnsi" w:hAnsiTheme="majorHAnsi"/>
                <w:b/>
                <w:bCs/>
                <w:color w:val="0F4761" w:themeColor="accent1" w:themeShade="BF"/>
                <w:szCs w:val="22"/>
              </w:rPr>
            </w:pPr>
            <w:r w:rsidRPr="00354732">
              <w:rPr>
                <w:rFonts w:asciiTheme="majorHAnsi" w:hAnsiTheme="majorHAnsi"/>
                <w:b/>
                <w:bCs/>
                <w:color w:val="0F4761" w:themeColor="accent1" w:themeShade="BF"/>
                <w:szCs w:val="22"/>
              </w:rPr>
              <w:t>Demand pressures</w:t>
            </w:r>
          </w:p>
          <w:p w14:paraId="14FBD248" w14:textId="7AD46FAC" w:rsidR="00785144" w:rsidRPr="0008359F" w:rsidRDefault="00785144" w:rsidP="00785144">
            <w:pPr>
              <w:numPr>
                <w:ilvl w:val="0"/>
                <w:numId w:val="85"/>
              </w:numPr>
              <w:spacing w:line="278" w:lineRule="auto"/>
              <w:ind w:left="414" w:hanging="357"/>
              <w:rPr>
                <w:sz w:val="18"/>
                <w:szCs w:val="18"/>
              </w:rPr>
            </w:pPr>
            <w:r w:rsidRPr="0008359F">
              <w:rPr>
                <w:sz w:val="18"/>
                <w:szCs w:val="18"/>
              </w:rPr>
              <w:t>Government school enrolments are growing by around 1 per cent per year.</w:t>
            </w:r>
            <w:r w:rsidRPr="0008359F">
              <w:rPr>
                <w:sz w:val="18"/>
                <w:szCs w:val="18"/>
                <w:vertAlign w:val="superscript"/>
              </w:rPr>
              <w:t>3</w:t>
            </w:r>
          </w:p>
          <w:p w14:paraId="1BBEE083" w14:textId="77777777" w:rsidR="00785144" w:rsidRPr="0008359F" w:rsidRDefault="00785144" w:rsidP="00785144">
            <w:pPr>
              <w:numPr>
                <w:ilvl w:val="0"/>
                <w:numId w:val="85"/>
              </w:numPr>
              <w:spacing w:line="278" w:lineRule="auto"/>
              <w:ind w:left="414" w:hanging="357"/>
              <w:rPr>
                <w:sz w:val="18"/>
                <w:szCs w:val="18"/>
              </w:rPr>
            </w:pPr>
            <w:r w:rsidRPr="0008359F">
              <w:rPr>
                <w:sz w:val="18"/>
                <w:szCs w:val="18"/>
              </w:rPr>
              <w:t>$1.5 billion committed in 2025–26 to build, expand and upgrade school infrastructure.</w:t>
            </w:r>
            <w:r w:rsidRPr="0008359F">
              <w:rPr>
                <w:sz w:val="18"/>
                <w:szCs w:val="18"/>
                <w:vertAlign w:val="superscript"/>
              </w:rPr>
              <w:t>4</w:t>
            </w:r>
          </w:p>
          <w:p w14:paraId="04B7B897" w14:textId="77777777" w:rsidR="00785144" w:rsidRPr="0008359F" w:rsidRDefault="00785144" w:rsidP="00785144">
            <w:pPr>
              <w:numPr>
                <w:ilvl w:val="0"/>
                <w:numId w:val="85"/>
              </w:numPr>
              <w:spacing w:line="278" w:lineRule="auto"/>
              <w:ind w:left="414" w:hanging="357"/>
              <w:rPr>
                <w:sz w:val="18"/>
                <w:szCs w:val="18"/>
              </w:rPr>
            </w:pPr>
            <w:r w:rsidRPr="0008359F">
              <w:rPr>
                <w:sz w:val="18"/>
                <w:szCs w:val="18"/>
              </w:rPr>
              <w:t>Number of students with disabilities in government schools increased by 13 per cent from 2022 to 2024.</w:t>
            </w:r>
            <w:r w:rsidRPr="0008359F">
              <w:rPr>
                <w:sz w:val="18"/>
                <w:szCs w:val="18"/>
                <w:vertAlign w:val="superscript"/>
              </w:rPr>
              <w:t>3</w:t>
            </w:r>
          </w:p>
          <w:p w14:paraId="173138C6" w14:textId="77777777" w:rsidR="00785144" w:rsidRPr="003429FF" w:rsidRDefault="00785144" w:rsidP="00785144">
            <w:pPr>
              <w:numPr>
                <w:ilvl w:val="0"/>
                <w:numId w:val="85"/>
              </w:numPr>
              <w:spacing w:line="278" w:lineRule="auto"/>
              <w:ind w:left="414" w:hanging="357"/>
              <w:rPr>
                <w:sz w:val="18"/>
                <w:szCs w:val="18"/>
              </w:rPr>
            </w:pPr>
            <w:r w:rsidRPr="0008359F">
              <w:rPr>
                <w:sz w:val="18"/>
                <w:szCs w:val="18"/>
              </w:rPr>
              <w:t>Teacher workforce pressures remain, with a projected shortfall of 5,000 teachers by 2028.</w:t>
            </w:r>
            <w:r w:rsidRPr="0008359F">
              <w:rPr>
                <w:sz w:val="18"/>
                <w:szCs w:val="18"/>
                <w:vertAlign w:val="superscript"/>
              </w:rPr>
              <w:t>5</w:t>
            </w:r>
          </w:p>
        </w:tc>
      </w:tr>
      <w:tr w:rsidR="00785144" w:rsidRPr="00A43B0D" w14:paraId="1B85CE2B" w14:textId="77777777">
        <w:trPr>
          <w:trHeight w:val="2388"/>
        </w:trPr>
        <w:tc>
          <w:tcPr>
            <w:tcW w:w="4508" w:type="dxa"/>
          </w:tcPr>
          <w:p w14:paraId="3062E668" w14:textId="77777777" w:rsidR="005E5163" w:rsidRDefault="005E5163" w:rsidP="005E5163">
            <w:pPr>
              <w:rPr>
                <w:rFonts w:asciiTheme="majorHAnsi" w:hAnsiTheme="majorHAnsi"/>
                <w:b/>
                <w:bCs/>
                <w:color w:val="0F4761" w:themeColor="accent1" w:themeShade="BF"/>
                <w:szCs w:val="22"/>
              </w:rPr>
            </w:pPr>
          </w:p>
          <w:p w14:paraId="173EC677" w14:textId="77777777" w:rsidR="005E5163" w:rsidRPr="000264EC" w:rsidRDefault="005E5163" w:rsidP="005E5163">
            <w:pPr>
              <w:rPr>
                <w:szCs w:val="22"/>
              </w:rPr>
            </w:pPr>
            <w:r w:rsidRPr="0078732A">
              <w:rPr>
                <w:rFonts w:asciiTheme="majorHAnsi" w:hAnsiTheme="majorHAnsi"/>
                <w:b/>
                <w:bCs/>
                <w:color w:val="0F4761" w:themeColor="accent1" w:themeShade="BF"/>
                <w:szCs w:val="22"/>
              </w:rPr>
              <w:t>Output expenditure</w:t>
            </w:r>
            <w:r w:rsidRPr="00253480">
              <w:rPr>
                <w:rStyle w:val="Heading3Char"/>
                <w:b w:val="0"/>
                <w:sz w:val="22"/>
                <w:szCs w:val="22"/>
              </w:rPr>
              <w:t>†</w:t>
            </w:r>
            <w:r w:rsidRPr="000264EC">
              <w:rPr>
                <w:szCs w:val="22"/>
              </w:rPr>
              <w:br/>
            </w:r>
            <w:r w:rsidRPr="00253480">
              <w:rPr>
                <w:rStyle w:val="Heading3Char"/>
                <w:sz w:val="18"/>
                <w:szCs w:val="18"/>
              </w:rPr>
              <w:t xml:space="preserve">$ </w:t>
            </w:r>
            <w:proofErr w:type="gramStart"/>
            <w:r w:rsidRPr="00253480">
              <w:rPr>
                <w:rStyle w:val="Heading3Char"/>
                <w:sz w:val="18"/>
                <w:szCs w:val="18"/>
              </w:rPr>
              <w:t>millions</w:t>
            </w:r>
            <w:proofErr w:type="gramEnd"/>
            <w:r w:rsidRPr="00253480">
              <w:rPr>
                <w:rStyle w:val="Heading3Char"/>
                <w:sz w:val="18"/>
                <w:szCs w:val="18"/>
              </w:rPr>
              <w:t>, 2023/24</w:t>
            </w:r>
          </w:p>
          <w:p w14:paraId="5E5082EB" w14:textId="77777777" w:rsidR="00785144" w:rsidRPr="00A43B0D" w:rsidRDefault="00785144">
            <w:pPr>
              <w:spacing w:line="278" w:lineRule="auto"/>
              <w:rPr>
                <w:sz w:val="18"/>
                <w:szCs w:val="18"/>
              </w:rPr>
            </w:pPr>
            <w:r w:rsidRPr="00A43B0D">
              <w:rPr>
                <w:noProof/>
                <w:sz w:val="18"/>
                <w:szCs w:val="18"/>
              </w:rPr>
              <w:drawing>
                <wp:inline distT="0" distB="0" distL="0" distR="0" wp14:anchorId="7874DB1B" wp14:editId="1FE65B18">
                  <wp:extent cx="2698442" cy="2000355"/>
                  <wp:effectExtent l="0" t="0" r="6985" b="0"/>
                  <wp:docPr id="594099476" name="Picture 1" descr="A graph of blue bar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99476" name="Picture 1" descr="A graph of blue bars with white text&#10;&#10;AI-generated content may be incorrect."/>
                          <pic:cNvPicPr/>
                        </pic:nvPicPr>
                        <pic:blipFill>
                          <a:blip r:embed="rId48" cstate="print">
                            <a:extLst>
                              <a:ext uri="{28A0092B-C50C-407E-A947-70E740481C1C}">
                                <a14:useLocalDpi xmlns:a14="http://schemas.microsoft.com/office/drawing/2010/main" val="0"/>
                              </a:ext>
                            </a:extLst>
                          </a:blip>
                          <a:srcRect t="504" b="504"/>
                          <a:stretch>
                            <a:fillRect/>
                          </a:stretch>
                        </pic:blipFill>
                        <pic:spPr bwMode="auto">
                          <a:xfrm>
                            <a:off x="0" y="0"/>
                            <a:ext cx="2698442" cy="2000355"/>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51BB5A58" w14:textId="75E29D22" w:rsidR="00785144" w:rsidRPr="00A43B0D" w:rsidRDefault="00F11EB4">
            <w:pPr>
              <w:spacing w:line="278" w:lineRule="auto"/>
              <w:rPr>
                <w:sz w:val="18"/>
                <w:szCs w:val="18"/>
              </w:rPr>
            </w:pPr>
            <w:r w:rsidRPr="00A43B0D">
              <w:rPr>
                <w:noProof/>
                <w:sz w:val="18"/>
                <w:szCs w:val="18"/>
              </w:rPr>
              <mc:AlternateContent>
                <mc:Choice Requires="wps">
                  <w:drawing>
                    <wp:anchor distT="0" distB="0" distL="114300" distR="114300" simplePos="0" relativeHeight="251658240" behindDoc="0" locked="0" layoutInCell="1" allowOverlap="1" wp14:anchorId="1BECD065" wp14:editId="08316405">
                      <wp:simplePos x="0" y="0"/>
                      <wp:positionH relativeFrom="column">
                        <wp:posOffset>78740</wp:posOffset>
                      </wp:positionH>
                      <wp:positionV relativeFrom="paragraph">
                        <wp:posOffset>992505</wp:posOffset>
                      </wp:positionV>
                      <wp:extent cx="2895600" cy="1475740"/>
                      <wp:effectExtent l="0" t="0" r="0" b="0"/>
                      <wp:wrapNone/>
                      <wp:docPr id="49" name="TextBox 48">
                        <a:extLst xmlns:a="http://schemas.openxmlformats.org/drawingml/2006/main">
                          <a:ext uri="{FF2B5EF4-FFF2-40B4-BE49-F238E27FC236}">
                            <a16:creationId xmlns:a16="http://schemas.microsoft.com/office/drawing/2014/main" id="{C9E5E542-A13E-98EC-E608-CEA8938903FF}"/>
                          </a:ext>
                        </a:extLst>
                      </wp:docPr>
                      <wp:cNvGraphicFramePr/>
                      <a:graphic xmlns:a="http://schemas.openxmlformats.org/drawingml/2006/main">
                        <a:graphicData uri="http://schemas.microsoft.com/office/word/2010/wordprocessingShape">
                          <wps:wsp>
                            <wps:cNvSpPr txBox="1"/>
                            <wps:spPr>
                              <a:xfrm>
                                <a:off x="0" y="0"/>
                                <a:ext cx="2895600" cy="1475740"/>
                              </a:xfrm>
                              <a:prstGeom prst="roundRect">
                                <a:avLst>
                                  <a:gd name="adj" fmla="val 4000"/>
                                </a:avLst>
                              </a:prstGeom>
                              <a:solidFill>
                                <a:schemeClr val="accent1"/>
                              </a:solidFill>
                            </wps:spPr>
                            <wps:txbx>
                              <w:txbxContent>
                                <w:p w14:paraId="60470023" w14:textId="77777777" w:rsidR="00785144" w:rsidRPr="004655AB" w:rsidRDefault="00785144" w:rsidP="00785144">
                                  <w:pPr>
                                    <w:rPr>
                                      <w:rFonts w:hAnsi="Aptos"/>
                                      <w:b/>
                                      <w:color w:val="FFFFFF" w:themeColor="background1"/>
                                      <w:kern w:val="24"/>
                                      <w:szCs w:val="22"/>
                                      <w14:ligatures w14:val="none"/>
                                    </w:rPr>
                                  </w:pPr>
                                  <w:r w:rsidRPr="004655AB">
                                    <w:rPr>
                                      <w:rFonts w:hAnsi="Aptos"/>
                                      <w:b/>
                                      <w:color w:val="FFFFFF" w:themeColor="background1"/>
                                      <w:kern w:val="24"/>
                                      <w:szCs w:val="22"/>
                                    </w:rPr>
                                    <w:t xml:space="preserve">Review’s recommended savings </w:t>
                                  </w:r>
                                </w:p>
                                <w:p w14:paraId="1EDD2897" w14:textId="60A58C6E" w:rsidR="00785144" w:rsidRDefault="00785144" w:rsidP="00785144">
                                  <w:pPr>
                                    <w:ind w:left="720"/>
                                    <w:rPr>
                                      <w:rFonts w:hAnsi="Aptos"/>
                                      <w:color w:val="FFFFFF" w:themeColor="background1"/>
                                      <w:kern w:val="24"/>
                                      <w:sz w:val="32"/>
                                      <w:szCs w:val="32"/>
                                    </w:rPr>
                                  </w:pPr>
                                  <w:r w:rsidRPr="00B038FB">
                                    <w:rPr>
                                      <w:rFonts w:hAnsi="Aptos"/>
                                      <w:b/>
                                      <w:color w:val="FFFFFF" w:themeColor="background1"/>
                                      <w:kern w:val="24"/>
                                      <w:szCs w:val="22"/>
                                    </w:rPr>
                                    <w:t>$1,</w:t>
                                  </w:r>
                                  <w:r w:rsidR="00F11EB4">
                                    <w:rPr>
                                      <w:rFonts w:hAnsi="Aptos"/>
                                      <w:b/>
                                      <w:color w:val="FFFFFF" w:themeColor="background1"/>
                                      <w:kern w:val="24"/>
                                      <w:szCs w:val="22"/>
                                    </w:rPr>
                                    <w:t>405</w:t>
                                  </w:r>
                                  <w:r w:rsidRPr="00B038FB">
                                    <w:rPr>
                                      <w:rFonts w:hAnsi="Aptos"/>
                                      <w:b/>
                                      <w:color w:val="FFFFFF" w:themeColor="background1"/>
                                      <w:kern w:val="24"/>
                                      <w:szCs w:val="22"/>
                                    </w:rPr>
                                    <w:t xml:space="preserve"> million</w:t>
                                  </w:r>
                                  <w:r>
                                    <w:rPr>
                                      <w:rFonts w:hAnsi="Aptos"/>
                                      <w:color w:val="FFFFFF" w:themeColor="background1"/>
                                      <w:kern w:val="24"/>
                                      <w:sz w:val="32"/>
                                      <w:szCs w:val="32"/>
                                    </w:rPr>
                                    <w:br/>
                                  </w:r>
                                  <w:r w:rsidRPr="00B038FB">
                                    <w:rPr>
                                      <w:rFonts w:hAnsi="Aptos"/>
                                      <w:color w:val="FFFFFF" w:themeColor="background1"/>
                                      <w:kern w:val="24"/>
                                      <w:sz w:val="20"/>
                                      <w:szCs w:val="20"/>
                                    </w:rPr>
                                    <w:t>2025</w:t>
                                  </w:r>
                                  <w:r w:rsidRPr="00B038FB">
                                    <w:rPr>
                                      <w:color w:val="FFFFFF" w:themeColor="background1"/>
                                      <w:kern w:val="24"/>
                                      <w:sz w:val="20"/>
                                      <w:szCs w:val="20"/>
                                    </w:rPr>
                                    <w:t>–</w:t>
                                  </w:r>
                                  <w:r w:rsidRPr="00B038FB">
                                    <w:rPr>
                                      <w:rFonts w:hAnsi="Aptos"/>
                                      <w:color w:val="FFFFFF" w:themeColor="background1"/>
                                      <w:kern w:val="24"/>
                                      <w:sz w:val="20"/>
                                      <w:szCs w:val="20"/>
                                    </w:rPr>
                                    <w:t>26 to 2028</w:t>
                                  </w:r>
                                  <w:r w:rsidRPr="00B038FB">
                                    <w:rPr>
                                      <w:color w:val="FFFFFF" w:themeColor="background1"/>
                                      <w:kern w:val="24"/>
                                      <w:sz w:val="20"/>
                                      <w:szCs w:val="20"/>
                                    </w:rPr>
                                    <w:t>–</w:t>
                                  </w:r>
                                  <w:r w:rsidRPr="00B038FB">
                                    <w:rPr>
                                      <w:rFonts w:hAnsi="Aptos"/>
                                      <w:color w:val="FFFFFF" w:themeColor="background1"/>
                                      <w:kern w:val="24"/>
                                      <w:sz w:val="20"/>
                                      <w:szCs w:val="20"/>
                                    </w:rPr>
                                    <w:t>29</w:t>
                                  </w:r>
                                </w:p>
                                <w:p w14:paraId="256AF596" w14:textId="782B1667" w:rsidR="00785144" w:rsidRDefault="00F11EB4" w:rsidP="00785144">
                                  <w:pPr>
                                    <w:ind w:left="720"/>
                                    <w:rPr>
                                      <w:rFonts w:hAnsi="Aptos"/>
                                      <w:color w:val="FFFFFF" w:themeColor="background1"/>
                                      <w:kern w:val="24"/>
                                      <w:sz w:val="32"/>
                                      <w:szCs w:val="32"/>
                                    </w:rPr>
                                  </w:pPr>
                                  <w:r>
                                    <w:rPr>
                                      <w:rFonts w:hAnsi="Aptos"/>
                                      <w:b/>
                                      <w:color w:val="FFFFFF" w:themeColor="background1"/>
                                      <w:kern w:val="24"/>
                                      <w:szCs w:val="22"/>
                                    </w:rPr>
                                    <w:t>524</w:t>
                                  </w:r>
                                  <w:r w:rsidR="00785144" w:rsidRPr="00B038FB">
                                    <w:rPr>
                                      <w:rFonts w:hAnsi="Aptos"/>
                                      <w:b/>
                                      <w:color w:val="FFFFFF" w:themeColor="background1"/>
                                      <w:kern w:val="24"/>
                                      <w:szCs w:val="22"/>
                                    </w:rPr>
                                    <w:t xml:space="preserve"> staff</w:t>
                                  </w:r>
                                  <w:r w:rsidR="00785144">
                                    <w:rPr>
                                      <w:rFonts w:hAnsi="Aptos"/>
                                      <w:color w:val="FFFFFF" w:themeColor="background1"/>
                                      <w:kern w:val="24"/>
                                      <w:sz w:val="32"/>
                                      <w:szCs w:val="32"/>
                                    </w:rPr>
                                    <w:br/>
                                  </w:r>
                                  <w:r w:rsidR="00785144" w:rsidRPr="00B038FB">
                                    <w:rPr>
                                      <w:rFonts w:hAnsi="Aptos"/>
                                      <w:color w:val="FFFFFF" w:themeColor="background1"/>
                                      <w:kern w:val="24"/>
                                      <w:sz w:val="20"/>
                                      <w:szCs w:val="20"/>
                                    </w:rPr>
                                    <w:t>Ongoing FTE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1BECD065" id="TextBox 48" o:spid="_x0000_s1097" style="position:absolute;margin-left:6.2pt;margin-top:78.15pt;width:228pt;height:11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6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" fillcolor="#156082 [3204]" stroked="f">
                      <v:textbox>
                        <w:txbxContent>
                          <w:p w14:paraId="60470023" w14:textId="77777777" w:rsidR="00785144" w:rsidRPr="004655AB" w:rsidRDefault="00785144" w:rsidP="00785144">
                            <w:pPr>
                              <w:rPr>
                                <w:rFonts w:hAnsi="Aptos"/>
                                <w:b/>
                                <w:color w:val="FFFFFF" w:themeColor="background1"/>
                                <w:kern w:val="24"/>
                                <w:szCs w:val="22"/>
                                <w14:ligatures w14:val="none"/>
                              </w:rPr>
                            </w:pPr>
                            <w:r w:rsidRPr="004655AB">
                              <w:rPr>
                                <w:rFonts w:hAnsi="Aptos"/>
                                <w:b/>
                                <w:color w:val="FFFFFF" w:themeColor="background1"/>
                                <w:kern w:val="24"/>
                                <w:szCs w:val="22"/>
                              </w:rPr>
                              <w:t xml:space="preserve">Review’s recommended savings </w:t>
                            </w:r>
                          </w:p>
                          <w:p w14:paraId="1EDD2897" w14:textId="60A58C6E" w:rsidR="00785144" w:rsidRDefault="00785144" w:rsidP="00785144">
                            <w:pPr>
                              <w:ind w:left="720"/>
                              <w:rPr>
                                <w:rFonts w:hAnsi="Aptos"/>
                                <w:color w:val="FFFFFF" w:themeColor="background1"/>
                                <w:kern w:val="24"/>
                                <w:sz w:val="32"/>
                                <w:szCs w:val="32"/>
                              </w:rPr>
                            </w:pPr>
                            <w:r w:rsidRPr="00B038FB">
                              <w:rPr>
                                <w:rFonts w:hAnsi="Aptos"/>
                                <w:b/>
                                <w:color w:val="FFFFFF" w:themeColor="background1"/>
                                <w:kern w:val="24"/>
                                <w:szCs w:val="22"/>
                              </w:rPr>
                              <w:t>$1,</w:t>
                            </w:r>
                            <w:r w:rsidR="00F11EB4">
                              <w:rPr>
                                <w:rFonts w:hAnsi="Aptos"/>
                                <w:b/>
                                <w:color w:val="FFFFFF" w:themeColor="background1"/>
                                <w:kern w:val="24"/>
                                <w:szCs w:val="22"/>
                              </w:rPr>
                              <w:t>405</w:t>
                            </w:r>
                            <w:r w:rsidRPr="00B038FB">
                              <w:rPr>
                                <w:rFonts w:hAnsi="Aptos"/>
                                <w:b/>
                                <w:color w:val="FFFFFF" w:themeColor="background1"/>
                                <w:kern w:val="24"/>
                                <w:szCs w:val="22"/>
                              </w:rPr>
                              <w:t xml:space="preserve"> million</w:t>
                            </w:r>
                            <w:r>
                              <w:rPr>
                                <w:rFonts w:hAnsi="Aptos"/>
                                <w:color w:val="FFFFFF" w:themeColor="background1"/>
                                <w:kern w:val="24"/>
                                <w:sz w:val="32"/>
                                <w:szCs w:val="32"/>
                              </w:rPr>
                              <w:br/>
                            </w:r>
                            <w:r w:rsidRPr="00B038FB">
                              <w:rPr>
                                <w:rFonts w:hAnsi="Aptos"/>
                                <w:color w:val="FFFFFF" w:themeColor="background1"/>
                                <w:kern w:val="24"/>
                                <w:sz w:val="20"/>
                                <w:szCs w:val="20"/>
                              </w:rPr>
                              <w:t>2025</w:t>
                            </w:r>
                            <w:r w:rsidRPr="00B038FB">
                              <w:rPr>
                                <w:color w:val="FFFFFF" w:themeColor="background1"/>
                                <w:kern w:val="24"/>
                                <w:sz w:val="20"/>
                                <w:szCs w:val="20"/>
                              </w:rPr>
                              <w:t>–</w:t>
                            </w:r>
                            <w:r w:rsidRPr="00B038FB">
                              <w:rPr>
                                <w:rFonts w:hAnsi="Aptos"/>
                                <w:color w:val="FFFFFF" w:themeColor="background1"/>
                                <w:kern w:val="24"/>
                                <w:sz w:val="20"/>
                                <w:szCs w:val="20"/>
                              </w:rPr>
                              <w:t>26 to 2028</w:t>
                            </w:r>
                            <w:r w:rsidRPr="00B038FB">
                              <w:rPr>
                                <w:color w:val="FFFFFF" w:themeColor="background1"/>
                                <w:kern w:val="24"/>
                                <w:sz w:val="20"/>
                                <w:szCs w:val="20"/>
                              </w:rPr>
                              <w:t>–</w:t>
                            </w:r>
                            <w:r w:rsidRPr="00B038FB">
                              <w:rPr>
                                <w:rFonts w:hAnsi="Aptos"/>
                                <w:color w:val="FFFFFF" w:themeColor="background1"/>
                                <w:kern w:val="24"/>
                                <w:sz w:val="20"/>
                                <w:szCs w:val="20"/>
                              </w:rPr>
                              <w:t>29</w:t>
                            </w:r>
                          </w:p>
                          <w:p w14:paraId="256AF596" w14:textId="782B1667" w:rsidR="00785144" w:rsidRDefault="00F11EB4" w:rsidP="00785144">
                            <w:pPr>
                              <w:ind w:left="720"/>
                              <w:rPr>
                                <w:rFonts w:hAnsi="Aptos"/>
                                <w:color w:val="FFFFFF" w:themeColor="background1"/>
                                <w:kern w:val="24"/>
                                <w:sz w:val="32"/>
                                <w:szCs w:val="32"/>
                              </w:rPr>
                            </w:pPr>
                            <w:r>
                              <w:rPr>
                                <w:rFonts w:hAnsi="Aptos"/>
                                <w:b/>
                                <w:color w:val="FFFFFF" w:themeColor="background1"/>
                                <w:kern w:val="24"/>
                                <w:szCs w:val="22"/>
                              </w:rPr>
                              <w:t>524</w:t>
                            </w:r>
                            <w:r w:rsidR="00785144" w:rsidRPr="00B038FB">
                              <w:rPr>
                                <w:rFonts w:hAnsi="Aptos"/>
                                <w:b/>
                                <w:color w:val="FFFFFF" w:themeColor="background1"/>
                                <w:kern w:val="24"/>
                                <w:szCs w:val="22"/>
                              </w:rPr>
                              <w:t xml:space="preserve"> staff</w:t>
                            </w:r>
                            <w:r w:rsidR="00785144">
                              <w:rPr>
                                <w:rFonts w:hAnsi="Aptos"/>
                                <w:color w:val="FFFFFF" w:themeColor="background1"/>
                                <w:kern w:val="24"/>
                                <w:sz w:val="32"/>
                                <w:szCs w:val="32"/>
                              </w:rPr>
                              <w:br/>
                            </w:r>
                            <w:r w:rsidR="00785144" w:rsidRPr="00B038FB">
                              <w:rPr>
                                <w:rFonts w:hAnsi="Aptos"/>
                                <w:color w:val="FFFFFF" w:themeColor="background1"/>
                                <w:kern w:val="24"/>
                                <w:sz w:val="20"/>
                                <w:szCs w:val="20"/>
                              </w:rPr>
                              <w:t>Ongoing FTE</w:t>
                            </w:r>
                          </w:p>
                        </w:txbxContent>
                      </v:textbox>
                    </v:roundrect>
                  </w:pict>
                </mc:Fallback>
              </mc:AlternateContent>
            </w:r>
            <w:r w:rsidR="00785144" w:rsidRPr="00A43B0D">
              <w:rPr>
                <w:noProof/>
                <w:sz w:val="18"/>
                <w:szCs w:val="18"/>
              </w:rPr>
              <w:drawing>
                <wp:anchor distT="0" distB="0" distL="114300" distR="114300" simplePos="0" relativeHeight="251658255" behindDoc="0" locked="0" layoutInCell="1" allowOverlap="1" wp14:anchorId="3827A062" wp14:editId="03FA35F5">
                  <wp:simplePos x="0" y="0"/>
                  <wp:positionH relativeFrom="column">
                    <wp:posOffset>214630</wp:posOffset>
                  </wp:positionH>
                  <wp:positionV relativeFrom="paragraph">
                    <wp:posOffset>1350645</wp:posOffset>
                  </wp:positionV>
                  <wp:extent cx="369570" cy="369570"/>
                  <wp:effectExtent l="0" t="0" r="0" b="0"/>
                  <wp:wrapNone/>
                  <wp:docPr id="51" name="Picture 17" descr="A white dollar sign in a circle&#10;&#10;AI-generated content may be incorrect.">
                    <a:extLst xmlns:a="http://schemas.openxmlformats.org/drawingml/2006/main">
                      <a:ext uri="{FF2B5EF4-FFF2-40B4-BE49-F238E27FC236}">
                        <a16:creationId xmlns:a16="http://schemas.microsoft.com/office/drawing/2014/main" id="{5E95BA44-000E-5F82-4AD1-8DDFA53A9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7" descr="A white dollar sign in a circle&#10;&#10;AI-generated content may be incorrect.">
                            <a:extLst>
                              <a:ext uri="{FF2B5EF4-FFF2-40B4-BE49-F238E27FC236}">
                                <a16:creationId xmlns:a16="http://schemas.microsoft.com/office/drawing/2014/main" id="{5E95BA44-000E-5F82-4AD1-8DDFA53A9737}"/>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9570" cy="369570"/>
                          </a:xfrm>
                          <a:prstGeom prst="rect">
                            <a:avLst/>
                          </a:prstGeom>
                          <a:noFill/>
                        </pic:spPr>
                      </pic:pic>
                    </a:graphicData>
                  </a:graphic>
                  <wp14:sizeRelH relativeFrom="page">
                    <wp14:pctWidth>0</wp14:pctWidth>
                  </wp14:sizeRelH>
                  <wp14:sizeRelV relativeFrom="page">
                    <wp14:pctHeight>0</wp14:pctHeight>
                  </wp14:sizeRelV>
                </wp:anchor>
              </w:drawing>
            </w:r>
            <w:r w:rsidR="00785144" w:rsidRPr="00A43B0D">
              <w:rPr>
                <w:noProof/>
                <w:sz w:val="18"/>
                <w:szCs w:val="18"/>
              </w:rPr>
              <w:drawing>
                <wp:anchor distT="0" distB="0" distL="114300" distR="114300" simplePos="0" relativeHeight="251658254" behindDoc="0" locked="0" layoutInCell="1" allowOverlap="1" wp14:anchorId="4371BD0F" wp14:editId="4DBA6D26">
                  <wp:simplePos x="0" y="0"/>
                  <wp:positionH relativeFrom="column">
                    <wp:posOffset>235585</wp:posOffset>
                  </wp:positionH>
                  <wp:positionV relativeFrom="paragraph">
                    <wp:posOffset>1852724</wp:posOffset>
                  </wp:positionV>
                  <wp:extent cx="369570" cy="369570"/>
                  <wp:effectExtent l="0" t="0" r="0" b="0"/>
                  <wp:wrapNone/>
                  <wp:docPr id="52" name="Picture 19" descr="A white logo with a black background&#10;&#10;AI-generated content may be incorrect.">
                    <a:extLst xmlns:a="http://schemas.openxmlformats.org/drawingml/2006/main">
                      <a:ext uri="{FF2B5EF4-FFF2-40B4-BE49-F238E27FC236}">
                        <a16:creationId xmlns:a16="http://schemas.microsoft.com/office/drawing/2014/main" id="{CFC0251D-C711-4D06-A2C1-500418CBC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9" descr="A white logo with a black background&#10;&#10;AI-generated content may be incorrect.">
                            <a:extLst>
                              <a:ext uri="{FF2B5EF4-FFF2-40B4-BE49-F238E27FC236}">
                                <a16:creationId xmlns:a16="http://schemas.microsoft.com/office/drawing/2014/main" id="{CFC0251D-C711-4D06-A2C1-500418CBCF3C}"/>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9570" cy="369570"/>
                          </a:xfrm>
                          <a:prstGeom prst="rect">
                            <a:avLst/>
                          </a:prstGeom>
                          <a:noFill/>
                        </pic:spPr>
                      </pic:pic>
                    </a:graphicData>
                  </a:graphic>
                  <wp14:sizeRelH relativeFrom="page">
                    <wp14:pctWidth>0</wp14:pctWidth>
                  </wp14:sizeRelH>
                  <wp14:sizeRelV relativeFrom="page">
                    <wp14:pctHeight>0</wp14:pctHeight>
                  </wp14:sizeRelV>
                </wp:anchor>
              </w:drawing>
            </w:r>
          </w:p>
        </w:tc>
      </w:tr>
      <w:tr w:rsidR="00785144" w:rsidRPr="00A43B0D" w14:paraId="5C7A2CB3" w14:textId="77777777">
        <w:trPr>
          <w:trHeight w:val="521"/>
        </w:trPr>
        <w:tc>
          <w:tcPr>
            <w:tcW w:w="9016" w:type="dxa"/>
            <w:gridSpan w:val="2"/>
          </w:tcPr>
          <w:p w14:paraId="40046C91" w14:textId="77777777" w:rsidR="005E5163" w:rsidRDefault="005E5163" w:rsidP="005E5163">
            <w:pPr>
              <w:pStyle w:val="ListParagraph"/>
              <w:ind w:left="360"/>
              <w:rPr>
                <w:sz w:val="12"/>
                <w:szCs w:val="12"/>
              </w:rPr>
            </w:pPr>
          </w:p>
          <w:p w14:paraId="7743062F" w14:textId="1F0201FA" w:rsidR="00785144" w:rsidRPr="003E09ED" w:rsidRDefault="00785144" w:rsidP="00785144">
            <w:pPr>
              <w:pStyle w:val="ListParagraph"/>
              <w:numPr>
                <w:ilvl w:val="0"/>
                <w:numId w:val="86"/>
              </w:numPr>
              <w:rPr>
                <w:sz w:val="12"/>
                <w:szCs w:val="12"/>
              </w:rPr>
            </w:pPr>
            <w:r w:rsidRPr="00D61DA5">
              <w:rPr>
                <w:sz w:val="12"/>
                <w:szCs w:val="12"/>
              </w:rPr>
              <w:t xml:space="preserve">Total DE FTE </w:t>
            </w:r>
            <w:proofErr w:type="gramStart"/>
            <w:r w:rsidRPr="00D61DA5">
              <w:rPr>
                <w:sz w:val="12"/>
                <w:szCs w:val="12"/>
              </w:rPr>
              <w:t>figure includes</w:t>
            </w:r>
            <w:proofErr w:type="gramEnd"/>
            <w:r w:rsidRPr="00D61DA5">
              <w:rPr>
                <w:sz w:val="12"/>
                <w:szCs w:val="12"/>
              </w:rPr>
              <w:t xml:space="preserve"> Victorian Academy of Teaching &amp; Leadership, </w:t>
            </w:r>
            <w:r w:rsidR="00802C8B">
              <w:rPr>
                <w:sz w:val="12"/>
                <w:szCs w:val="12"/>
              </w:rPr>
              <w:br/>
            </w:r>
            <w:r w:rsidRPr="00D61DA5">
              <w:rPr>
                <w:sz w:val="12"/>
                <w:szCs w:val="12"/>
              </w:rPr>
              <w:t>Victorian Curriculum &amp; Assessment Authority, Victorian Registration &amp; Qualifications Authority,</w:t>
            </w:r>
            <w:r w:rsidR="00CC4DD8">
              <w:rPr>
                <w:sz w:val="12"/>
                <w:szCs w:val="12"/>
              </w:rPr>
              <w:t xml:space="preserve"> </w:t>
            </w:r>
            <w:r w:rsidR="00C63A59">
              <w:rPr>
                <w:sz w:val="12"/>
                <w:szCs w:val="12"/>
              </w:rPr>
              <w:br/>
            </w:r>
            <w:r w:rsidRPr="00D61DA5">
              <w:rPr>
                <w:sz w:val="12"/>
                <w:szCs w:val="12"/>
              </w:rPr>
              <w:t>Merit Protection Boards and Disciplinary Appeals Boards.</w:t>
            </w:r>
          </w:p>
          <w:p w14:paraId="61512C9D" w14:textId="77777777" w:rsidR="00785144" w:rsidRPr="003E09ED" w:rsidRDefault="00785144" w:rsidP="00785144">
            <w:pPr>
              <w:pStyle w:val="ListParagraph"/>
              <w:numPr>
                <w:ilvl w:val="0"/>
                <w:numId w:val="86"/>
              </w:numPr>
              <w:rPr>
                <w:sz w:val="12"/>
                <w:szCs w:val="12"/>
              </w:rPr>
            </w:pPr>
            <w:r w:rsidRPr="00D61DA5">
              <w:rPr>
                <w:sz w:val="12"/>
                <w:szCs w:val="12"/>
              </w:rPr>
              <w:t xml:space="preserve">Victorian Public Sector Commission, </w:t>
            </w:r>
            <w:r w:rsidRPr="003E09ED">
              <w:rPr>
                <w:i/>
                <w:iCs/>
                <w:sz w:val="12"/>
                <w:szCs w:val="12"/>
              </w:rPr>
              <w:t>State of the Sector</w:t>
            </w:r>
            <w:r w:rsidRPr="00D61DA5">
              <w:rPr>
                <w:sz w:val="12"/>
                <w:szCs w:val="12"/>
              </w:rPr>
              <w:t>, 2024.</w:t>
            </w:r>
          </w:p>
          <w:p w14:paraId="0229607A" w14:textId="77777777" w:rsidR="00785144" w:rsidRPr="003E09ED" w:rsidRDefault="00785144" w:rsidP="00785144">
            <w:pPr>
              <w:pStyle w:val="ListParagraph"/>
              <w:numPr>
                <w:ilvl w:val="0"/>
                <w:numId w:val="86"/>
              </w:numPr>
              <w:rPr>
                <w:sz w:val="12"/>
                <w:szCs w:val="12"/>
              </w:rPr>
            </w:pPr>
            <w:r w:rsidRPr="00D61DA5">
              <w:rPr>
                <w:sz w:val="12"/>
                <w:szCs w:val="12"/>
              </w:rPr>
              <w:t xml:space="preserve">DE, </w:t>
            </w:r>
            <w:r w:rsidRPr="003E09ED">
              <w:rPr>
                <w:i/>
                <w:iCs/>
                <w:sz w:val="12"/>
                <w:szCs w:val="12"/>
              </w:rPr>
              <w:t>Summary Statistics for Victorian Schools</w:t>
            </w:r>
            <w:r w:rsidRPr="00D61DA5">
              <w:rPr>
                <w:sz w:val="12"/>
                <w:szCs w:val="12"/>
              </w:rPr>
              <w:t>, 2025.</w:t>
            </w:r>
          </w:p>
          <w:p w14:paraId="0866C8D8" w14:textId="77777777" w:rsidR="00785144" w:rsidRPr="003E09ED" w:rsidRDefault="00785144" w:rsidP="00785144">
            <w:pPr>
              <w:pStyle w:val="ListParagraph"/>
              <w:numPr>
                <w:ilvl w:val="0"/>
                <w:numId w:val="86"/>
              </w:numPr>
              <w:rPr>
                <w:sz w:val="12"/>
                <w:szCs w:val="12"/>
              </w:rPr>
            </w:pPr>
            <w:r w:rsidRPr="00D61DA5">
              <w:rPr>
                <w:sz w:val="12"/>
                <w:szCs w:val="12"/>
              </w:rPr>
              <w:t>Victorian School Building Authority, 2025.</w:t>
            </w:r>
          </w:p>
          <w:p w14:paraId="6A33B380" w14:textId="77777777" w:rsidR="00785144" w:rsidRPr="003E09ED" w:rsidRDefault="00785144" w:rsidP="00785144">
            <w:pPr>
              <w:pStyle w:val="ListParagraph"/>
              <w:numPr>
                <w:ilvl w:val="0"/>
                <w:numId w:val="86"/>
              </w:numPr>
              <w:rPr>
                <w:sz w:val="12"/>
                <w:szCs w:val="12"/>
              </w:rPr>
            </w:pPr>
            <w:r w:rsidRPr="00D61DA5">
              <w:rPr>
                <w:sz w:val="12"/>
                <w:szCs w:val="12"/>
              </w:rPr>
              <w:t xml:space="preserve"> </w:t>
            </w:r>
            <w:r>
              <w:rPr>
                <w:sz w:val="12"/>
                <w:szCs w:val="12"/>
              </w:rPr>
              <w:t xml:space="preserve">DE, </w:t>
            </w:r>
            <w:r w:rsidRPr="003E09ED">
              <w:rPr>
                <w:i/>
                <w:iCs/>
                <w:sz w:val="12"/>
                <w:szCs w:val="12"/>
              </w:rPr>
              <w:t>Victorian Tracher Supply and Demand Report</w:t>
            </w:r>
            <w:r w:rsidRPr="00D61DA5">
              <w:rPr>
                <w:sz w:val="12"/>
                <w:szCs w:val="12"/>
              </w:rPr>
              <w:t>, 2022.</w:t>
            </w:r>
          </w:p>
        </w:tc>
      </w:tr>
    </w:tbl>
    <w:p w14:paraId="5611BF92" w14:textId="77777777" w:rsidR="00785144" w:rsidRDefault="00785144" w:rsidP="00785144">
      <w:pPr>
        <w:rPr>
          <w:szCs w:val="22"/>
        </w:rPr>
      </w:pPr>
    </w:p>
    <w:p w14:paraId="4EBFE560" w14:textId="77777777" w:rsidR="00785144" w:rsidRDefault="00785144" w:rsidP="00785144">
      <w:pPr>
        <w:rPr>
          <w:szCs w:val="22"/>
        </w:rPr>
      </w:pP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85144" w:rsidRPr="00303A8B" w14:paraId="5D17FB7A" w14:textId="77777777">
        <w:trPr>
          <w:trHeight w:val="449"/>
        </w:trPr>
        <w:tc>
          <w:tcPr>
            <w:tcW w:w="9016" w:type="dxa"/>
            <w:gridSpan w:val="2"/>
          </w:tcPr>
          <w:p w14:paraId="32CF7DC0" w14:textId="7BFD1BDC" w:rsidR="00785144" w:rsidRPr="00303A8B" w:rsidRDefault="00785144" w:rsidP="00303A8B">
            <w:pPr>
              <w:pStyle w:val="Heading3"/>
              <w:rPr>
                <w:rFonts w:asciiTheme="majorHAnsi" w:hAnsiTheme="majorHAnsi"/>
                <w:sz w:val="32"/>
                <w:szCs w:val="32"/>
              </w:rPr>
            </w:pPr>
            <w:r w:rsidRPr="00303A8B">
              <w:rPr>
                <w:rFonts w:asciiTheme="majorHAnsi" w:hAnsiTheme="majorHAnsi"/>
                <w:sz w:val="32"/>
                <w:szCs w:val="32"/>
              </w:rPr>
              <w:lastRenderedPageBreak/>
              <w:t>Department of Energy, Environment and Climate Action (DEECA)</w:t>
            </w:r>
          </w:p>
        </w:tc>
      </w:tr>
      <w:tr w:rsidR="00785144" w:rsidRPr="00A43B0D" w14:paraId="55A58B37" w14:textId="77777777">
        <w:trPr>
          <w:trHeight w:val="276"/>
        </w:trPr>
        <w:tc>
          <w:tcPr>
            <w:tcW w:w="9016" w:type="dxa"/>
            <w:gridSpan w:val="2"/>
          </w:tcPr>
          <w:p w14:paraId="7C175128" w14:textId="77777777" w:rsidR="00785144" w:rsidRDefault="00785144">
            <w:pPr>
              <w:spacing w:line="278" w:lineRule="auto"/>
              <w:rPr>
                <w:sz w:val="18"/>
                <w:szCs w:val="18"/>
              </w:rPr>
            </w:pPr>
            <w:r w:rsidRPr="00F4783E">
              <w:rPr>
                <w:sz w:val="18"/>
                <w:szCs w:val="18"/>
              </w:rPr>
              <w:t>A thriving, productive and sustainable communities, environments and industries across Victoria.</w:t>
            </w:r>
          </w:p>
          <w:p w14:paraId="25916391" w14:textId="77777777" w:rsidR="00785144" w:rsidRPr="00A43B0D" w:rsidRDefault="00785144">
            <w:pPr>
              <w:spacing w:line="278" w:lineRule="auto"/>
              <w:rPr>
                <w:sz w:val="18"/>
                <w:szCs w:val="18"/>
              </w:rPr>
            </w:pPr>
          </w:p>
        </w:tc>
      </w:tr>
      <w:tr w:rsidR="00785144" w:rsidRPr="00A43B0D" w14:paraId="7802D45D" w14:textId="77777777">
        <w:trPr>
          <w:trHeight w:val="587"/>
        </w:trPr>
        <w:tc>
          <w:tcPr>
            <w:tcW w:w="4508" w:type="dxa"/>
          </w:tcPr>
          <w:p w14:paraId="4ADA9924" w14:textId="77777777" w:rsidR="00785144" w:rsidRPr="00A43B0D" w:rsidRDefault="00785144">
            <w:pPr>
              <w:spacing w:line="278" w:lineRule="auto"/>
              <w:rPr>
                <w:sz w:val="18"/>
                <w:szCs w:val="18"/>
              </w:rPr>
            </w:pPr>
            <w:r>
              <w:rPr>
                <w:noProof/>
              </w:rPr>
              <w:drawing>
                <wp:inline distT="0" distB="0" distL="0" distR="0" wp14:anchorId="0B3C3139" wp14:editId="63415BF1">
                  <wp:extent cx="2430780" cy="438337"/>
                  <wp:effectExtent l="0" t="0" r="7620" b="0"/>
                  <wp:docPr id="886812038"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12038" name="Picture 1" descr="A close-up of a text&#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35856" cy="439252"/>
                          </a:xfrm>
                          <a:prstGeom prst="rect">
                            <a:avLst/>
                          </a:prstGeom>
                        </pic:spPr>
                      </pic:pic>
                    </a:graphicData>
                  </a:graphic>
                </wp:inline>
              </w:drawing>
            </w:r>
          </w:p>
        </w:tc>
        <w:tc>
          <w:tcPr>
            <w:tcW w:w="4508" w:type="dxa"/>
          </w:tcPr>
          <w:p w14:paraId="3F31E3F4" w14:textId="77777777" w:rsidR="00785144" w:rsidRPr="00A43B0D" w:rsidRDefault="00785144">
            <w:pPr>
              <w:spacing w:line="278" w:lineRule="auto"/>
              <w:rPr>
                <w:sz w:val="18"/>
                <w:szCs w:val="18"/>
              </w:rPr>
            </w:pPr>
            <w:r>
              <w:rPr>
                <w:noProof/>
              </w:rPr>
              <w:drawing>
                <wp:inline distT="0" distB="0" distL="0" distR="0" wp14:anchorId="6C6E84B9" wp14:editId="5D711D8B">
                  <wp:extent cx="2066395" cy="419100"/>
                  <wp:effectExtent l="0" t="0" r="0" b="0"/>
                  <wp:docPr id="211049432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94321" name="Picture 1" descr="A close-up of a logo&#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73064" cy="420453"/>
                          </a:xfrm>
                          <a:prstGeom prst="rect">
                            <a:avLst/>
                          </a:prstGeom>
                        </pic:spPr>
                      </pic:pic>
                    </a:graphicData>
                  </a:graphic>
                </wp:inline>
              </w:drawing>
            </w:r>
          </w:p>
        </w:tc>
      </w:tr>
      <w:tr w:rsidR="00785144" w:rsidRPr="00A43B0D" w14:paraId="7F7CDA9C" w14:textId="77777777">
        <w:trPr>
          <w:trHeight w:val="922"/>
        </w:trPr>
        <w:tc>
          <w:tcPr>
            <w:tcW w:w="4508" w:type="dxa"/>
          </w:tcPr>
          <w:p w14:paraId="1F99F3FD" w14:textId="77777777" w:rsidR="00785144" w:rsidRDefault="00785144">
            <w:pPr>
              <w:rPr>
                <w:rFonts w:asciiTheme="majorHAnsi" w:hAnsiTheme="majorHAnsi"/>
                <w:b/>
                <w:bCs/>
                <w:color w:val="0F4761" w:themeColor="accent1" w:themeShade="BF"/>
                <w:szCs w:val="22"/>
              </w:rPr>
            </w:pPr>
          </w:p>
          <w:p w14:paraId="703202A8" w14:textId="77777777" w:rsidR="00785144" w:rsidRPr="00354732" w:rsidRDefault="00785144">
            <w:pPr>
              <w:rPr>
                <w:rFonts w:asciiTheme="majorHAnsi" w:hAnsiTheme="majorHAnsi"/>
                <w:b/>
                <w:bCs/>
                <w:color w:val="0F4761" w:themeColor="accent1" w:themeShade="BF"/>
                <w:szCs w:val="22"/>
              </w:rPr>
            </w:pPr>
            <w:r w:rsidRPr="00354732">
              <w:rPr>
                <w:rFonts w:asciiTheme="majorHAnsi" w:hAnsiTheme="majorHAnsi"/>
                <w:b/>
                <w:bCs/>
                <w:color w:val="0F4761" w:themeColor="accent1" w:themeShade="BF"/>
                <w:szCs w:val="22"/>
              </w:rPr>
              <w:t>Objectives</w:t>
            </w:r>
            <w:r w:rsidRPr="00354732">
              <w:rPr>
                <w:rFonts w:asciiTheme="majorHAnsi" w:hAnsiTheme="majorHAnsi"/>
                <w:b/>
                <w:bCs/>
                <w:color w:val="0F4761" w:themeColor="accent1" w:themeShade="BF"/>
                <w:szCs w:val="22"/>
                <w:vertAlign w:val="superscript"/>
              </w:rPr>
              <w:t>†</w:t>
            </w:r>
          </w:p>
          <w:p w14:paraId="499CC764" w14:textId="77777777" w:rsidR="00785144" w:rsidRPr="000264EC" w:rsidRDefault="00785144" w:rsidP="00785144">
            <w:pPr>
              <w:numPr>
                <w:ilvl w:val="0"/>
                <w:numId w:val="82"/>
              </w:numPr>
              <w:ind w:left="414" w:hanging="357"/>
              <w:rPr>
                <w:sz w:val="18"/>
                <w:szCs w:val="18"/>
              </w:rPr>
            </w:pPr>
            <w:r w:rsidRPr="000264EC">
              <w:rPr>
                <w:sz w:val="18"/>
                <w:szCs w:val="18"/>
              </w:rPr>
              <w:t>Productive and sustainably used natural resources</w:t>
            </w:r>
          </w:p>
          <w:p w14:paraId="1E9A1196" w14:textId="583E80ED" w:rsidR="00785144" w:rsidRPr="000264EC" w:rsidRDefault="00785144" w:rsidP="00785144">
            <w:pPr>
              <w:numPr>
                <w:ilvl w:val="0"/>
                <w:numId w:val="82"/>
              </w:numPr>
              <w:ind w:left="414" w:hanging="357"/>
              <w:rPr>
                <w:sz w:val="18"/>
                <w:szCs w:val="18"/>
              </w:rPr>
            </w:pPr>
            <w:r w:rsidRPr="000264EC">
              <w:rPr>
                <w:sz w:val="18"/>
                <w:szCs w:val="18"/>
              </w:rPr>
              <w:t>Net zero emissions, climate ready economy and</w:t>
            </w:r>
            <w:r w:rsidR="008C57BE">
              <w:rPr>
                <w:sz w:val="18"/>
                <w:szCs w:val="18"/>
              </w:rPr>
              <w:t> </w:t>
            </w:r>
            <w:r w:rsidRPr="000264EC">
              <w:rPr>
                <w:sz w:val="18"/>
                <w:szCs w:val="18"/>
              </w:rPr>
              <w:t>community</w:t>
            </w:r>
          </w:p>
          <w:p w14:paraId="17A15B32" w14:textId="77777777" w:rsidR="00785144" w:rsidRPr="000264EC" w:rsidRDefault="00785144" w:rsidP="00785144">
            <w:pPr>
              <w:numPr>
                <w:ilvl w:val="0"/>
                <w:numId w:val="82"/>
              </w:numPr>
              <w:ind w:left="414" w:hanging="357"/>
              <w:rPr>
                <w:sz w:val="18"/>
                <w:szCs w:val="18"/>
              </w:rPr>
            </w:pPr>
            <w:r w:rsidRPr="000264EC">
              <w:rPr>
                <w:sz w:val="18"/>
                <w:szCs w:val="18"/>
              </w:rPr>
              <w:t>Sustainable development of Victoria’s earth resources</w:t>
            </w:r>
          </w:p>
          <w:p w14:paraId="24344D61" w14:textId="77777777" w:rsidR="00785144" w:rsidRPr="000264EC" w:rsidRDefault="00785144" w:rsidP="00785144">
            <w:pPr>
              <w:numPr>
                <w:ilvl w:val="0"/>
                <w:numId w:val="82"/>
              </w:numPr>
              <w:ind w:left="414" w:hanging="357"/>
              <w:rPr>
                <w:sz w:val="18"/>
                <w:szCs w:val="18"/>
              </w:rPr>
            </w:pPr>
            <w:r w:rsidRPr="000264EC">
              <w:rPr>
                <w:sz w:val="18"/>
                <w:szCs w:val="18"/>
              </w:rPr>
              <w:t>Reduced impact of major bushfires and other emergencies</w:t>
            </w:r>
          </w:p>
          <w:p w14:paraId="05894F45" w14:textId="77777777" w:rsidR="00785144" w:rsidRPr="000264EC" w:rsidRDefault="00785144" w:rsidP="00785144">
            <w:pPr>
              <w:numPr>
                <w:ilvl w:val="0"/>
                <w:numId w:val="82"/>
              </w:numPr>
              <w:ind w:left="414" w:hanging="357"/>
              <w:rPr>
                <w:sz w:val="18"/>
                <w:szCs w:val="18"/>
              </w:rPr>
            </w:pPr>
            <w:r w:rsidRPr="000264EC">
              <w:rPr>
                <w:sz w:val="18"/>
                <w:szCs w:val="18"/>
              </w:rPr>
              <w:t>Reliable, sustainable and affordable energy services</w:t>
            </w:r>
          </w:p>
          <w:p w14:paraId="7FB2B30C" w14:textId="77777777" w:rsidR="00785144" w:rsidRPr="000264EC" w:rsidRDefault="00785144" w:rsidP="00785144">
            <w:pPr>
              <w:numPr>
                <w:ilvl w:val="0"/>
                <w:numId w:val="82"/>
              </w:numPr>
              <w:ind w:left="414" w:hanging="357"/>
              <w:rPr>
                <w:sz w:val="18"/>
                <w:szCs w:val="18"/>
              </w:rPr>
            </w:pPr>
            <w:r w:rsidRPr="000264EC">
              <w:rPr>
                <w:sz w:val="18"/>
                <w:szCs w:val="18"/>
              </w:rPr>
              <w:t>Healthy, resilient and biodiverse environment</w:t>
            </w:r>
          </w:p>
          <w:p w14:paraId="058BE147" w14:textId="77777777" w:rsidR="00785144" w:rsidRPr="000264EC" w:rsidRDefault="00785144" w:rsidP="00785144">
            <w:pPr>
              <w:numPr>
                <w:ilvl w:val="0"/>
                <w:numId w:val="82"/>
              </w:numPr>
              <w:ind w:left="414" w:hanging="357"/>
              <w:rPr>
                <w:sz w:val="18"/>
                <w:szCs w:val="18"/>
              </w:rPr>
            </w:pPr>
            <w:r w:rsidRPr="000264EC">
              <w:rPr>
                <w:sz w:val="18"/>
                <w:szCs w:val="18"/>
              </w:rPr>
              <w:t>Productive and effective land management</w:t>
            </w:r>
          </w:p>
          <w:p w14:paraId="624E1577" w14:textId="77777777" w:rsidR="00785144" w:rsidRPr="00B038FB" w:rsidRDefault="00785144" w:rsidP="00785144">
            <w:pPr>
              <w:numPr>
                <w:ilvl w:val="0"/>
                <w:numId w:val="82"/>
              </w:numPr>
              <w:spacing w:line="278" w:lineRule="auto"/>
              <w:ind w:left="414" w:hanging="357"/>
              <w:rPr>
                <w:sz w:val="18"/>
                <w:szCs w:val="18"/>
              </w:rPr>
            </w:pPr>
            <w:r w:rsidRPr="000264EC">
              <w:rPr>
                <w:rFonts w:eastAsiaTheme="minorHAnsi"/>
                <w:sz w:val="18"/>
                <w:szCs w:val="18"/>
                <w:lang w:eastAsia="en-US"/>
              </w:rPr>
              <w:t>Safe, sustainable and productive water resources</w:t>
            </w:r>
          </w:p>
          <w:p w14:paraId="689A6AAB" w14:textId="77777777" w:rsidR="00785144" w:rsidRPr="003429FF" w:rsidRDefault="00785144">
            <w:pPr>
              <w:spacing w:line="278" w:lineRule="auto"/>
              <w:ind w:left="414"/>
              <w:rPr>
                <w:sz w:val="18"/>
                <w:szCs w:val="18"/>
              </w:rPr>
            </w:pPr>
          </w:p>
        </w:tc>
        <w:tc>
          <w:tcPr>
            <w:tcW w:w="4508" w:type="dxa"/>
          </w:tcPr>
          <w:p w14:paraId="06FB064E" w14:textId="77777777" w:rsidR="00785144" w:rsidRDefault="00785144">
            <w:pPr>
              <w:rPr>
                <w:rFonts w:asciiTheme="majorHAnsi" w:hAnsiTheme="majorHAnsi"/>
                <w:b/>
                <w:bCs/>
                <w:color w:val="0F4761" w:themeColor="accent1" w:themeShade="BF"/>
                <w:szCs w:val="22"/>
              </w:rPr>
            </w:pPr>
          </w:p>
          <w:p w14:paraId="672D8C31" w14:textId="77777777" w:rsidR="00785144" w:rsidRPr="00354732" w:rsidRDefault="00785144">
            <w:pPr>
              <w:rPr>
                <w:rFonts w:asciiTheme="majorHAnsi" w:hAnsiTheme="majorHAnsi"/>
                <w:b/>
                <w:bCs/>
                <w:color w:val="0F4761" w:themeColor="accent1" w:themeShade="BF"/>
                <w:szCs w:val="22"/>
              </w:rPr>
            </w:pPr>
            <w:r w:rsidRPr="00354732">
              <w:rPr>
                <w:rFonts w:asciiTheme="majorHAnsi" w:hAnsiTheme="majorHAnsi"/>
                <w:b/>
                <w:bCs/>
                <w:color w:val="0F4761" w:themeColor="accent1" w:themeShade="BF"/>
                <w:szCs w:val="22"/>
              </w:rPr>
              <w:t>Ministerial portfolios</w:t>
            </w:r>
          </w:p>
          <w:p w14:paraId="596813EF" w14:textId="77777777" w:rsidR="00785144" w:rsidRPr="001B1615" w:rsidRDefault="00785144" w:rsidP="00785144">
            <w:pPr>
              <w:numPr>
                <w:ilvl w:val="0"/>
                <w:numId w:val="83"/>
              </w:numPr>
              <w:ind w:left="414" w:hanging="357"/>
              <w:rPr>
                <w:sz w:val="18"/>
                <w:szCs w:val="18"/>
              </w:rPr>
            </w:pPr>
            <w:r w:rsidRPr="001B1615">
              <w:rPr>
                <w:sz w:val="18"/>
                <w:szCs w:val="18"/>
              </w:rPr>
              <w:t>Agriculture</w:t>
            </w:r>
          </w:p>
          <w:p w14:paraId="08D19364" w14:textId="77777777" w:rsidR="00785144" w:rsidRPr="001B1615" w:rsidRDefault="00785144" w:rsidP="00785144">
            <w:pPr>
              <w:numPr>
                <w:ilvl w:val="0"/>
                <w:numId w:val="83"/>
              </w:numPr>
              <w:ind w:left="414" w:hanging="357"/>
              <w:rPr>
                <w:sz w:val="18"/>
                <w:szCs w:val="18"/>
              </w:rPr>
            </w:pPr>
            <w:r w:rsidRPr="001B1615">
              <w:rPr>
                <w:sz w:val="18"/>
                <w:szCs w:val="18"/>
              </w:rPr>
              <w:t>Climate Action</w:t>
            </w:r>
          </w:p>
          <w:p w14:paraId="6B101574" w14:textId="77777777" w:rsidR="00785144" w:rsidRPr="001B1615" w:rsidRDefault="00785144" w:rsidP="00785144">
            <w:pPr>
              <w:numPr>
                <w:ilvl w:val="0"/>
                <w:numId w:val="83"/>
              </w:numPr>
              <w:ind w:left="414" w:hanging="357"/>
              <w:rPr>
                <w:sz w:val="18"/>
                <w:szCs w:val="18"/>
              </w:rPr>
            </w:pPr>
            <w:r w:rsidRPr="001B1615">
              <w:rPr>
                <w:sz w:val="18"/>
                <w:szCs w:val="18"/>
              </w:rPr>
              <w:t>Energy and Resources</w:t>
            </w:r>
          </w:p>
          <w:p w14:paraId="6313F0D5" w14:textId="77777777" w:rsidR="00785144" w:rsidRPr="001B1615" w:rsidRDefault="00785144" w:rsidP="00785144">
            <w:pPr>
              <w:numPr>
                <w:ilvl w:val="0"/>
                <w:numId w:val="83"/>
              </w:numPr>
              <w:ind w:left="414" w:hanging="357"/>
              <w:rPr>
                <w:sz w:val="18"/>
                <w:szCs w:val="18"/>
              </w:rPr>
            </w:pPr>
            <w:r w:rsidRPr="001B1615">
              <w:rPr>
                <w:sz w:val="18"/>
                <w:szCs w:val="18"/>
              </w:rPr>
              <w:t>Environment</w:t>
            </w:r>
          </w:p>
          <w:p w14:paraId="0F0B1896" w14:textId="77777777" w:rsidR="00785144" w:rsidRPr="001B1615" w:rsidRDefault="00785144" w:rsidP="00785144">
            <w:pPr>
              <w:numPr>
                <w:ilvl w:val="0"/>
                <w:numId w:val="83"/>
              </w:numPr>
              <w:ind w:left="414" w:hanging="357"/>
              <w:rPr>
                <w:sz w:val="18"/>
                <w:szCs w:val="18"/>
              </w:rPr>
            </w:pPr>
            <w:r w:rsidRPr="001B1615">
              <w:rPr>
                <w:sz w:val="18"/>
                <w:szCs w:val="18"/>
              </w:rPr>
              <w:t>State Electricity Commission</w:t>
            </w:r>
          </w:p>
          <w:p w14:paraId="37BAF9FA" w14:textId="77777777" w:rsidR="00785144" w:rsidRPr="00A876E7" w:rsidRDefault="00785144" w:rsidP="00785144">
            <w:pPr>
              <w:numPr>
                <w:ilvl w:val="0"/>
                <w:numId w:val="83"/>
              </w:numPr>
              <w:ind w:left="414" w:hanging="357"/>
              <w:rPr>
                <w:sz w:val="18"/>
                <w:szCs w:val="18"/>
              </w:rPr>
            </w:pPr>
            <w:r w:rsidRPr="001B1615">
              <w:rPr>
                <w:sz w:val="18"/>
                <w:szCs w:val="18"/>
              </w:rPr>
              <w:t>Water</w:t>
            </w:r>
          </w:p>
          <w:p w14:paraId="1B14AA3D" w14:textId="77777777" w:rsidR="00785144" w:rsidRPr="001B1615" w:rsidRDefault="00785144">
            <w:pPr>
              <w:ind w:left="414"/>
              <w:rPr>
                <w:sz w:val="18"/>
                <w:szCs w:val="18"/>
              </w:rPr>
            </w:pPr>
          </w:p>
          <w:p w14:paraId="02D3A567" w14:textId="77777777" w:rsidR="00785144" w:rsidRPr="00354732" w:rsidRDefault="00785144">
            <w:pPr>
              <w:rPr>
                <w:rFonts w:asciiTheme="majorHAnsi" w:hAnsiTheme="majorHAnsi"/>
                <w:b/>
                <w:bCs/>
                <w:color w:val="0F4761" w:themeColor="accent1" w:themeShade="BF"/>
                <w:szCs w:val="22"/>
              </w:rPr>
            </w:pPr>
            <w:r w:rsidRPr="00354732">
              <w:rPr>
                <w:rFonts w:asciiTheme="majorHAnsi" w:hAnsiTheme="majorHAnsi"/>
                <w:b/>
                <w:bCs/>
                <w:color w:val="0F4761" w:themeColor="accent1" w:themeShade="BF"/>
                <w:szCs w:val="22"/>
              </w:rPr>
              <w:t>VPS non-departmental entities</w:t>
            </w:r>
            <w:r w:rsidRPr="00354732">
              <w:rPr>
                <w:rFonts w:asciiTheme="majorHAnsi" w:hAnsiTheme="majorHAnsi"/>
                <w:b/>
                <w:bCs/>
                <w:color w:val="0F4761" w:themeColor="accent1" w:themeShade="BF"/>
                <w:szCs w:val="22"/>
                <w:vertAlign w:val="superscript"/>
              </w:rPr>
              <w:t>^</w:t>
            </w:r>
            <w:r w:rsidRPr="00354732">
              <w:rPr>
                <w:rFonts w:asciiTheme="majorHAnsi" w:hAnsiTheme="majorHAnsi"/>
                <w:b/>
                <w:bCs/>
                <w:color w:val="0F4761" w:themeColor="accent1" w:themeShade="BF"/>
                <w:szCs w:val="22"/>
              </w:rPr>
              <w:t xml:space="preserve"> </w:t>
            </w:r>
          </w:p>
          <w:p w14:paraId="0C7D1F96" w14:textId="77777777" w:rsidR="00785144" w:rsidRPr="001B1615" w:rsidRDefault="00785144" w:rsidP="00785144">
            <w:pPr>
              <w:numPr>
                <w:ilvl w:val="0"/>
                <w:numId w:val="83"/>
              </w:numPr>
              <w:ind w:left="414" w:hanging="357"/>
              <w:rPr>
                <w:sz w:val="18"/>
                <w:szCs w:val="18"/>
              </w:rPr>
            </w:pPr>
            <w:r w:rsidRPr="001B1615">
              <w:rPr>
                <w:sz w:val="18"/>
                <w:szCs w:val="18"/>
              </w:rPr>
              <w:t>Environment Protection Authority</w:t>
            </w:r>
          </w:p>
          <w:p w14:paraId="373175B1" w14:textId="77777777" w:rsidR="00785144" w:rsidRPr="00A43B0D" w:rsidRDefault="00785144" w:rsidP="00785144">
            <w:pPr>
              <w:numPr>
                <w:ilvl w:val="0"/>
                <w:numId w:val="83"/>
              </w:numPr>
              <w:ind w:left="414" w:hanging="357"/>
              <w:rPr>
                <w:sz w:val="18"/>
                <w:szCs w:val="18"/>
              </w:rPr>
            </w:pPr>
            <w:proofErr w:type="spellStart"/>
            <w:r w:rsidRPr="001B1615">
              <w:rPr>
                <w:sz w:val="18"/>
                <w:szCs w:val="18"/>
              </w:rPr>
              <w:t>VicGrid</w:t>
            </w:r>
            <w:proofErr w:type="spellEnd"/>
          </w:p>
        </w:tc>
      </w:tr>
      <w:tr w:rsidR="00785144" w:rsidRPr="00A43B0D" w14:paraId="13D259A7" w14:textId="77777777">
        <w:trPr>
          <w:trHeight w:val="922"/>
        </w:trPr>
        <w:tc>
          <w:tcPr>
            <w:tcW w:w="4508" w:type="dxa"/>
          </w:tcPr>
          <w:p w14:paraId="73DB82FD" w14:textId="77777777" w:rsidR="00785144" w:rsidRPr="0078732A" w:rsidRDefault="00785144">
            <w:pPr>
              <w:rPr>
                <w:szCs w:val="22"/>
              </w:rPr>
            </w:pPr>
            <w:r w:rsidRPr="0078732A">
              <w:rPr>
                <w:rFonts w:asciiTheme="majorHAnsi" w:hAnsiTheme="majorHAnsi"/>
                <w:b/>
                <w:color w:val="0F4761" w:themeColor="accent1" w:themeShade="BF"/>
                <w:szCs w:val="22"/>
              </w:rPr>
              <w:t>Share of VPS workforce</w:t>
            </w:r>
            <w:r w:rsidRPr="0078732A">
              <w:rPr>
                <w:rFonts w:asciiTheme="majorHAnsi" w:hAnsiTheme="majorHAnsi"/>
                <w:b/>
                <w:color w:val="0F4761" w:themeColor="accent1" w:themeShade="BF"/>
                <w:szCs w:val="22"/>
                <w:vertAlign w:val="superscript"/>
              </w:rPr>
              <w:t>^</w:t>
            </w:r>
            <w:r w:rsidRPr="0078732A">
              <w:rPr>
                <w:bCs/>
                <w:szCs w:val="22"/>
              </w:rPr>
              <w:br/>
            </w:r>
            <w:r w:rsidRPr="0078732A">
              <w:rPr>
                <w:color w:val="0F4761" w:themeColor="accent1" w:themeShade="BF"/>
                <w:sz w:val="18"/>
                <w:szCs w:val="18"/>
              </w:rPr>
              <w:t>VPS Classifications, June 2024</w:t>
            </w:r>
          </w:p>
          <w:p w14:paraId="473D088A" w14:textId="77777777" w:rsidR="00785144" w:rsidRPr="00A43B0D" w:rsidRDefault="00785144">
            <w:pPr>
              <w:spacing w:line="278" w:lineRule="auto"/>
              <w:rPr>
                <w:sz w:val="18"/>
                <w:szCs w:val="18"/>
              </w:rPr>
            </w:pPr>
            <w:r>
              <w:rPr>
                <w:noProof/>
              </w:rPr>
              <w:drawing>
                <wp:inline distT="0" distB="0" distL="0" distR="0" wp14:anchorId="39D3EFB0" wp14:editId="5787340A">
                  <wp:extent cx="2500604" cy="1422070"/>
                  <wp:effectExtent l="0" t="0" r="0" b="6985"/>
                  <wp:docPr id="1533184453" name="Picture 1" descr="A graph with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84453" name="Picture 1" descr="A graph with blue bars&#10;&#10;AI-generated content may be incorrect."/>
                          <pic:cNvPicPr/>
                        </pic:nvPicPr>
                        <pic:blipFill>
                          <a:blip r:embed="rId53"/>
                          <a:stretch>
                            <a:fillRect/>
                          </a:stretch>
                        </pic:blipFill>
                        <pic:spPr>
                          <a:xfrm>
                            <a:off x="0" y="0"/>
                            <a:ext cx="2513410" cy="1429353"/>
                          </a:xfrm>
                          <a:prstGeom prst="rect">
                            <a:avLst/>
                          </a:prstGeom>
                        </pic:spPr>
                      </pic:pic>
                    </a:graphicData>
                  </a:graphic>
                </wp:inline>
              </w:drawing>
            </w:r>
          </w:p>
        </w:tc>
        <w:tc>
          <w:tcPr>
            <w:tcW w:w="4508" w:type="dxa"/>
          </w:tcPr>
          <w:p w14:paraId="0B7D6DE1" w14:textId="77777777" w:rsidR="00785144" w:rsidRPr="00354732" w:rsidRDefault="00785144">
            <w:pPr>
              <w:rPr>
                <w:rFonts w:asciiTheme="majorHAnsi" w:hAnsiTheme="majorHAnsi"/>
                <w:b/>
                <w:bCs/>
                <w:color w:val="0F4761" w:themeColor="accent1" w:themeShade="BF"/>
                <w:szCs w:val="22"/>
              </w:rPr>
            </w:pPr>
            <w:r w:rsidRPr="00354732">
              <w:rPr>
                <w:rFonts w:asciiTheme="majorHAnsi" w:hAnsiTheme="majorHAnsi"/>
                <w:b/>
                <w:bCs/>
                <w:color w:val="0F4761" w:themeColor="accent1" w:themeShade="BF"/>
                <w:szCs w:val="22"/>
              </w:rPr>
              <w:t>Demand pressures</w:t>
            </w:r>
          </w:p>
          <w:p w14:paraId="65ECF8BF" w14:textId="77777777" w:rsidR="00785144" w:rsidRPr="00B666AB" w:rsidRDefault="00785144" w:rsidP="00785144">
            <w:pPr>
              <w:numPr>
                <w:ilvl w:val="0"/>
                <w:numId w:val="85"/>
              </w:numPr>
              <w:ind w:left="414" w:hanging="357"/>
              <w:rPr>
                <w:sz w:val="18"/>
                <w:szCs w:val="18"/>
              </w:rPr>
            </w:pPr>
            <w:r w:rsidRPr="00B666AB">
              <w:rPr>
                <w:sz w:val="18"/>
                <w:szCs w:val="18"/>
              </w:rPr>
              <w:t>Increasing severity and frequency of natural disasters necessitate improved risk management strategies.</w:t>
            </w:r>
            <w:r w:rsidRPr="00B666AB">
              <w:rPr>
                <w:sz w:val="18"/>
                <w:szCs w:val="18"/>
                <w:vertAlign w:val="superscript"/>
              </w:rPr>
              <w:t>2</w:t>
            </w:r>
          </w:p>
          <w:p w14:paraId="4F0FB770" w14:textId="77777777" w:rsidR="00785144" w:rsidRPr="00B666AB" w:rsidRDefault="00785144" w:rsidP="00785144">
            <w:pPr>
              <w:numPr>
                <w:ilvl w:val="0"/>
                <w:numId w:val="85"/>
              </w:numPr>
              <w:ind w:left="414" w:hanging="357"/>
              <w:rPr>
                <w:sz w:val="18"/>
                <w:szCs w:val="18"/>
              </w:rPr>
            </w:pPr>
            <w:r w:rsidRPr="00B666AB">
              <w:rPr>
                <w:sz w:val="18"/>
                <w:szCs w:val="18"/>
              </w:rPr>
              <w:t>Bringing forward the net zero emissions target from 2050 to 2045 is driving investment towards meeting emissions targets.</w:t>
            </w:r>
            <w:r w:rsidRPr="00B666AB">
              <w:rPr>
                <w:sz w:val="18"/>
                <w:szCs w:val="18"/>
                <w:vertAlign w:val="superscript"/>
              </w:rPr>
              <w:t>3</w:t>
            </w:r>
          </w:p>
          <w:p w14:paraId="28FD2DCA" w14:textId="77777777" w:rsidR="00785144" w:rsidRPr="003429FF" w:rsidRDefault="00785144" w:rsidP="00785144">
            <w:pPr>
              <w:numPr>
                <w:ilvl w:val="0"/>
                <w:numId w:val="85"/>
              </w:numPr>
              <w:spacing w:line="278" w:lineRule="auto"/>
              <w:ind w:left="414" w:hanging="357"/>
              <w:rPr>
                <w:sz w:val="18"/>
                <w:szCs w:val="18"/>
              </w:rPr>
            </w:pPr>
            <w:r w:rsidRPr="00B666AB">
              <w:rPr>
                <w:rFonts w:eastAsiaTheme="minorHAnsi"/>
                <w:sz w:val="18"/>
                <w:szCs w:val="18"/>
                <w:lang w:eastAsia="en-US"/>
              </w:rPr>
              <w:t>The Victorian Government’s 95 per cent renewable electricity target by 2035, alongside re-establishment of the State Electricity Commission, is accelerating demand for new renewable energy and storage projects.</w:t>
            </w:r>
            <w:r w:rsidRPr="006A21CB">
              <w:rPr>
                <w:rFonts w:eastAsiaTheme="minorHAnsi"/>
                <w:sz w:val="18"/>
                <w:szCs w:val="18"/>
                <w:vertAlign w:val="superscript"/>
                <w:lang w:eastAsia="en-US"/>
              </w:rPr>
              <w:t>4</w:t>
            </w:r>
          </w:p>
        </w:tc>
      </w:tr>
      <w:tr w:rsidR="00785144" w:rsidRPr="00A43B0D" w14:paraId="6D16DAB5" w14:textId="77777777">
        <w:trPr>
          <w:trHeight w:val="4283"/>
        </w:trPr>
        <w:tc>
          <w:tcPr>
            <w:tcW w:w="4508" w:type="dxa"/>
          </w:tcPr>
          <w:p w14:paraId="07C62926" w14:textId="77777777" w:rsidR="00785144" w:rsidRPr="0078732A" w:rsidRDefault="00785144">
            <w:pPr>
              <w:rPr>
                <w:color w:val="0F4761" w:themeColor="accent1" w:themeShade="BF"/>
              </w:rPr>
            </w:pPr>
            <w:r w:rsidRPr="0078732A">
              <w:rPr>
                <w:rFonts w:asciiTheme="majorHAnsi" w:hAnsiTheme="majorHAnsi"/>
                <w:b/>
                <w:bCs/>
                <w:color w:val="0F4761" w:themeColor="accent1" w:themeShade="BF"/>
                <w:szCs w:val="22"/>
              </w:rPr>
              <w:t>Output expenditure</w:t>
            </w:r>
            <w:r w:rsidRPr="0078732A">
              <w:rPr>
                <w:rFonts w:asciiTheme="majorHAnsi" w:hAnsiTheme="majorHAnsi"/>
                <w:b/>
                <w:bCs/>
                <w:color w:val="0F4761" w:themeColor="accent1" w:themeShade="BF"/>
                <w:szCs w:val="22"/>
                <w:vertAlign w:val="superscript"/>
              </w:rPr>
              <w:t>†</w:t>
            </w:r>
            <w:r w:rsidRPr="0078732A">
              <w:rPr>
                <w:color w:val="0F4761" w:themeColor="accent1" w:themeShade="BF"/>
              </w:rPr>
              <w:br/>
            </w:r>
            <w:r w:rsidRPr="00253480">
              <w:rPr>
                <w:color w:val="0F4761" w:themeColor="accent1" w:themeShade="BF"/>
                <w:sz w:val="18"/>
                <w:szCs w:val="18"/>
              </w:rPr>
              <w:t xml:space="preserve">$ </w:t>
            </w:r>
            <w:proofErr w:type="gramStart"/>
            <w:r w:rsidRPr="00253480">
              <w:rPr>
                <w:color w:val="0F4761" w:themeColor="accent1" w:themeShade="BF"/>
                <w:sz w:val="18"/>
                <w:szCs w:val="18"/>
              </w:rPr>
              <w:t>millions</w:t>
            </w:r>
            <w:proofErr w:type="gramEnd"/>
            <w:r w:rsidRPr="00253480">
              <w:rPr>
                <w:color w:val="0F4761" w:themeColor="accent1" w:themeShade="BF"/>
                <w:sz w:val="18"/>
                <w:szCs w:val="18"/>
              </w:rPr>
              <w:t>, 2023/24</w:t>
            </w:r>
          </w:p>
          <w:p w14:paraId="5825433C" w14:textId="77777777" w:rsidR="00785144" w:rsidRPr="00A43B0D" w:rsidRDefault="00785144">
            <w:pPr>
              <w:spacing w:line="278" w:lineRule="auto"/>
              <w:rPr>
                <w:sz w:val="18"/>
                <w:szCs w:val="18"/>
              </w:rPr>
            </w:pPr>
            <w:r>
              <w:rPr>
                <w:noProof/>
              </w:rPr>
              <w:drawing>
                <wp:inline distT="0" distB="0" distL="0" distR="0" wp14:anchorId="77B4C2C0" wp14:editId="78E4359A">
                  <wp:extent cx="2683935" cy="2052421"/>
                  <wp:effectExtent l="0" t="0" r="2540" b="5080"/>
                  <wp:docPr id="235766924"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66924" name="Picture 1" descr="A graph of a number of people&#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83935" cy="2052421"/>
                          </a:xfrm>
                          <a:prstGeom prst="rect">
                            <a:avLst/>
                          </a:prstGeom>
                        </pic:spPr>
                      </pic:pic>
                    </a:graphicData>
                  </a:graphic>
                </wp:inline>
              </w:drawing>
            </w:r>
          </w:p>
        </w:tc>
        <w:tc>
          <w:tcPr>
            <w:tcW w:w="4508" w:type="dxa"/>
          </w:tcPr>
          <w:p w14:paraId="289149FD" w14:textId="77777777" w:rsidR="00785144" w:rsidRDefault="00785144">
            <w:pPr>
              <w:spacing w:line="278" w:lineRule="auto"/>
              <w:rPr>
                <w:sz w:val="18"/>
                <w:szCs w:val="18"/>
              </w:rPr>
            </w:pPr>
          </w:p>
          <w:p w14:paraId="68D025AE" w14:textId="77777777" w:rsidR="00785144" w:rsidRDefault="00785144">
            <w:pPr>
              <w:spacing w:line="278" w:lineRule="auto"/>
              <w:rPr>
                <w:sz w:val="18"/>
                <w:szCs w:val="18"/>
              </w:rPr>
            </w:pPr>
          </w:p>
          <w:p w14:paraId="14427BF3" w14:textId="77777777" w:rsidR="00785144" w:rsidRDefault="00785144">
            <w:pPr>
              <w:spacing w:line="278" w:lineRule="auto"/>
              <w:rPr>
                <w:sz w:val="18"/>
                <w:szCs w:val="18"/>
              </w:rPr>
            </w:pPr>
          </w:p>
          <w:p w14:paraId="5599D6CB" w14:textId="77777777" w:rsidR="00785144" w:rsidRDefault="00785144">
            <w:pPr>
              <w:spacing w:line="278" w:lineRule="auto"/>
              <w:rPr>
                <w:sz w:val="18"/>
                <w:szCs w:val="18"/>
              </w:rPr>
            </w:pPr>
          </w:p>
          <w:p w14:paraId="09D20876" w14:textId="77777777" w:rsidR="00785144" w:rsidRDefault="00785144">
            <w:pPr>
              <w:spacing w:line="278" w:lineRule="auto"/>
              <w:rPr>
                <w:sz w:val="18"/>
                <w:szCs w:val="18"/>
              </w:rPr>
            </w:pPr>
          </w:p>
          <w:p w14:paraId="599B3AC2" w14:textId="77777777" w:rsidR="00785144" w:rsidRDefault="00785144">
            <w:pPr>
              <w:spacing w:line="278" w:lineRule="auto"/>
              <w:rPr>
                <w:sz w:val="18"/>
                <w:szCs w:val="18"/>
              </w:rPr>
            </w:pPr>
          </w:p>
          <w:p w14:paraId="3329FE8B" w14:textId="77777777" w:rsidR="00785144" w:rsidRPr="00A43B0D" w:rsidRDefault="00785144">
            <w:pPr>
              <w:spacing w:line="278" w:lineRule="auto"/>
              <w:rPr>
                <w:sz w:val="18"/>
                <w:szCs w:val="18"/>
              </w:rPr>
            </w:pPr>
            <w:r w:rsidRPr="00A43B0D">
              <w:rPr>
                <w:noProof/>
                <w:sz w:val="18"/>
                <w:szCs w:val="18"/>
              </w:rPr>
              <w:drawing>
                <wp:anchor distT="0" distB="0" distL="114300" distR="114300" simplePos="0" relativeHeight="251658244" behindDoc="0" locked="0" layoutInCell="1" allowOverlap="1" wp14:anchorId="5A18ACF1" wp14:editId="7FAF7FF9">
                  <wp:simplePos x="0" y="0"/>
                  <wp:positionH relativeFrom="column">
                    <wp:posOffset>296545</wp:posOffset>
                  </wp:positionH>
                  <wp:positionV relativeFrom="paragraph">
                    <wp:posOffset>634365</wp:posOffset>
                  </wp:positionV>
                  <wp:extent cx="287655" cy="287655"/>
                  <wp:effectExtent l="0" t="0" r="0" b="0"/>
                  <wp:wrapNone/>
                  <wp:docPr id="1663632197" name="Picture 17" descr="A white dollar sign in a circle&#10;&#10;AI-generated content may be incorrect.">
                    <a:extLst xmlns:a="http://schemas.openxmlformats.org/drawingml/2006/main">
                      <a:ext uri="{FF2B5EF4-FFF2-40B4-BE49-F238E27FC236}">
                        <a16:creationId xmlns:a16="http://schemas.microsoft.com/office/drawing/2014/main" id="{5E95BA44-000E-5F82-4AD1-8DDFA53A9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7" descr="A white dollar sign in a circle&#10;&#10;AI-generated content may be incorrect.">
                            <a:extLst>
                              <a:ext uri="{FF2B5EF4-FFF2-40B4-BE49-F238E27FC236}">
                                <a16:creationId xmlns:a16="http://schemas.microsoft.com/office/drawing/2014/main" id="{5E95BA44-000E-5F82-4AD1-8DDFA53A9737}"/>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pic:spPr>
                      </pic:pic>
                    </a:graphicData>
                  </a:graphic>
                  <wp14:sizeRelH relativeFrom="page">
                    <wp14:pctWidth>0</wp14:pctWidth>
                  </wp14:sizeRelH>
                  <wp14:sizeRelV relativeFrom="page">
                    <wp14:pctHeight>0</wp14:pctHeight>
                  </wp14:sizeRelV>
                </wp:anchor>
              </w:drawing>
            </w:r>
            <w:r w:rsidRPr="00A43B0D">
              <w:rPr>
                <w:noProof/>
                <w:sz w:val="18"/>
                <w:szCs w:val="18"/>
              </w:rPr>
              <w:drawing>
                <wp:anchor distT="0" distB="0" distL="114300" distR="114300" simplePos="0" relativeHeight="251658245" behindDoc="0" locked="0" layoutInCell="1" allowOverlap="1" wp14:anchorId="0ACD7F47" wp14:editId="0898782D">
                  <wp:simplePos x="0" y="0"/>
                  <wp:positionH relativeFrom="column">
                    <wp:posOffset>317706</wp:posOffset>
                  </wp:positionH>
                  <wp:positionV relativeFrom="paragraph">
                    <wp:posOffset>1177290</wp:posOffset>
                  </wp:positionV>
                  <wp:extent cx="287655" cy="287655"/>
                  <wp:effectExtent l="0" t="0" r="0" b="0"/>
                  <wp:wrapNone/>
                  <wp:docPr id="183626591" name="Picture 19" descr="A white logo with a black background&#10;&#10;AI-generated content may be incorrect.">
                    <a:extLst xmlns:a="http://schemas.openxmlformats.org/drawingml/2006/main">
                      <a:ext uri="{FF2B5EF4-FFF2-40B4-BE49-F238E27FC236}">
                        <a16:creationId xmlns:a16="http://schemas.microsoft.com/office/drawing/2014/main" id="{CFC0251D-C711-4D06-A2C1-500418CBC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9" descr="A white logo with a black background&#10;&#10;AI-generated content may be incorrect.">
                            <a:extLst>
                              <a:ext uri="{FF2B5EF4-FFF2-40B4-BE49-F238E27FC236}">
                                <a16:creationId xmlns:a16="http://schemas.microsoft.com/office/drawing/2014/main" id="{CFC0251D-C711-4D06-A2C1-500418CBCF3C}"/>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pic:spPr>
                      </pic:pic>
                    </a:graphicData>
                  </a:graphic>
                  <wp14:sizeRelH relativeFrom="page">
                    <wp14:pctWidth>0</wp14:pctWidth>
                  </wp14:sizeRelH>
                  <wp14:sizeRelV relativeFrom="page">
                    <wp14:pctHeight>0</wp14:pctHeight>
                  </wp14:sizeRelV>
                </wp:anchor>
              </w:drawing>
            </w:r>
            <w:r w:rsidRPr="00A43B0D">
              <w:rPr>
                <w:noProof/>
                <w:sz w:val="18"/>
                <w:szCs w:val="18"/>
              </w:rPr>
              <mc:AlternateContent>
                <mc:Choice Requires="wps">
                  <w:drawing>
                    <wp:anchor distT="0" distB="0" distL="114300" distR="114300" simplePos="0" relativeHeight="251658243" behindDoc="0" locked="0" layoutInCell="1" allowOverlap="1" wp14:anchorId="5C46FE5C" wp14:editId="2A98E91D">
                      <wp:simplePos x="0" y="0"/>
                      <wp:positionH relativeFrom="column">
                        <wp:posOffset>86691</wp:posOffset>
                      </wp:positionH>
                      <wp:positionV relativeFrom="paragraph">
                        <wp:posOffset>272415</wp:posOffset>
                      </wp:positionV>
                      <wp:extent cx="2699385" cy="1475740"/>
                      <wp:effectExtent l="0" t="0" r="5715" b="0"/>
                      <wp:wrapNone/>
                      <wp:docPr id="1091332277" name="TextBox 48"/>
                      <wp:cNvGraphicFramePr/>
                      <a:graphic xmlns:a="http://schemas.openxmlformats.org/drawingml/2006/main">
                        <a:graphicData uri="http://schemas.microsoft.com/office/word/2010/wordprocessingShape">
                          <wps:wsp>
                            <wps:cNvSpPr txBox="1"/>
                            <wps:spPr>
                              <a:xfrm>
                                <a:off x="0" y="0"/>
                                <a:ext cx="2699385" cy="1475740"/>
                              </a:xfrm>
                              <a:prstGeom prst="roundRect">
                                <a:avLst>
                                  <a:gd name="adj" fmla="val 4000"/>
                                </a:avLst>
                              </a:prstGeom>
                              <a:solidFill>
                                <a:schemeClr val="accent1"/>
                              </a:solidFill>
                            </wps:spPr>
                            <wps:txbx>
                              <w:txbxContent>
                                <w:p w14:paraId="135C2EF9" w14:textId="77777777" w:rsidR="00785144" w:rsidRPr="00B038FB" w:rsidRDefault="00785144" w:rsidP="00785144">
                                  <w:pPr>
                                    <w:rPr>
                                      <w:rFonts w:hAnsi="Aptos"/>
                                      <w:b/>
                                      <w:color w:val="FFFFFF" w:themeColor="background1"/>
                                      <w:kern w:val="24"/>
                                      <w:szCs w:val="22"/>
                                      <w14:ligatures w14:val="none"/>
                                    </w:rPr>
                                  </w:pPr>
                                  <w:r w:rsidRPr="00B038FB">
                                    <w:rPr>
                                      <w:rFonts w:hAnsi="Aptos"/>
                                      <w:b/>
                                      <w:color w:val="FFFFFF" w:themeColor="background1"/>
                                      <w:kern w:val="24"/>
                                      <w:szCs w:val="22"/>
                                    </w:rPr>
                                    <w:t xml:space="preserve">Review’s recommended savings </w:t>
                                  </w:r>
                                </w:p>
                                <w:p w14:paraId="5282B1C4" w14:textId="77777777" w:rsidR="00785144" w:rsidRDefault="00785144" w:rsidP="00785144">
                                  <w:pPr>
                                    <w:ind w:left="720"/>
                                    <w:rPr>
                                      <w:rFonts w:hAnsi="Aptos"/>
                                      <w:color w:val="FFFFFF" w:themeColor="background1"/>
                                      <w:kern w:val="24"/>
                                      <w:sz w:val="32"/>
                                      <w:szCs w:val="32"/>
                                    </w:rPr>
                                  </w:pPr>
                                  <w:r w:rsidRPr="00B038FB">
                                    <w:rPr>
                                      <w:rFonts w:hAnsi="Aptos"/>
                                      <w:b/>
                                      <w:bCs/>
                                      <w:color w:val="FFFFFF" w:themeColor="background1"/>
                                      <w:kern w:val="24"/>
                                      <w:szCs w:val="22"/>
                                    </w:rPr>
                                    <w:t>$325 million</w:t>
                                  </w:r>
                                  <w:r>
                                    <w:rPr>
                                      <w:rFonts w:hAnsi="Aptos"/>
                                      <w:color w:val="FFFFFF" w:themeColor="background1"/>
                                      <w:kern w:val="24"/>
                                      <w:sz w:val="32"/>
                                      <w:szCs w:val="32"/>
                                    </w:rPr>
                                    <w:br/>
                                  </w:r>
                                  <w:r w:rsidRPr="00B038FB">
                                    <w:rPr>
                                      <w:rFonts w:hAnsi="Aptos"/>
                                      <w:color w:val="FFFFFF" w:themeColor="background1"/>
                                      <w:kern w:val="24"/>
                                      <w:sz w:val="20"/>
                                      <w:szCs w:val="20"/>
                                    </w:rPr>
                                    <w:t>2025</w:t>
                                  </w:r>
                                  <w:r w:rsidRPr="00B038FB">
                                    <w:rPr>
                                      <w:color w:val="FFFFFF" w:themeColor="background1"/>
                                      <w:kern w:val="24"/>
                                      <w:sz w:val="20"/>
                                      <w:szCs w:val="20"/>
                                    </w:rPr>
                                    <w:t>–</w:t>
                                  </w:r>
                                  <w:r w:rsidRPr="00B038FB">
                                    <w:rPr>
                                      <w:rFonts w:hAnsi="Aptos"/>
                                      <w:color w:val="FFFFFF" w:themeColor="background1"/>
                                      <w:kern w:val="24"/>
                                      <w:sz w:val="20"/>
                                      <w:szCs w:val="20"/>
                                    </w:rPr>
                                    <w:t>26 to 2028</w:t>
                                  </w:r>
                                  <w:r w:rsidRPr="00B038FB">
                                    <w:rPr>
                                      <w:color w:val="FFFFFF" w:themeColor="background1"/>
                                      <w:kern w:val="24"/>
                                      <w:sz w:val="20"/>
                                      <w:szCs w:val="20"/>
                                    </w:rPr>
                                    <w:t>–</w:t>
                                  </w:r>
                                  <w:r w:rsidRPr="00B038FB">
                                    <w:rPr>
                                      <w:rFonts w:hAnsi="Aptos"/>
                                      <w:color w:val="FFFFFF" w:themeColor="background1"/>
                                      <w:kern w:val="24"/>
                                      <w:sz w:val="20"/>
                                      <w:szCs w:val="20"/>
                                    </w:rPr>
                                    <w:t>29</w:t>
                                  </w:r>
                                </w:p>
                                <w:p w14:paraId="7AEA8597" w14:textId="77777777" w:rsidR="00785144" w:rsidRDefault="00785144" w:rsidP="00785144">
                                  <w:pPr>
                                    <w:ind w:left="720"/>
                                    <w:rPr>
                                      <w:rFonts w:hAnsi="Aptos"/>
                                      <w:color w:val="FFFFFF" w:themeColor="background1"/>
                                      <w:kern w:val="24"/>
                                      <w:sz w:val="32"/>
                                      <w:szCs w:val="32"/>
                                    </w:rPr>
                                  </w:pPr>
                                  <w:r w:rsidRPr="00B038FB">
                                    <w:rPr>
                                      <w:rFonts w:hAnsi="Aptos"/>
                                      <w:b/>
                                      <w:bCs/>
                                      <w:color w:val="FFFFFF" w:themeColor="background1"/>
                                      <w:kern w:val="24"/>
                                      <w:szCs w:val="22"/>
                                    </w:rPr>
                                    <w:t>333 staff</w:t>
                                  </w:r>
                                  <w:r>
                                    <w:rPr>
                                      <w:rFonts w:hAnsi="Aptos"/>
                                      <w:color w:val="FFFFFF" w:themeColor="background1"/>
                                      <w:kern w:val="24"/>
                                      <w:sz w:val="32"/>
                                      <w:szCs w:val="32"/>
                                    </w:rPr>
                                    <w:br/>
                                  </w:r>
                                  <w:r w:rsidRPr="00B038FB">
                                    <w:rPr>
                                      <w:rFonts w:hAnsi="Aptos"/>
                                      <w:color w:val="FFFFFF" w:themeColor="background1"/>
                                      <w:kern w:val="24"/>
                                      <w:sz w:val="20"/>
                                      <w:szCs w:val="20"/>
                                    </w:rPr>
                                    <w:t>Ongoing FTE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C46FE5C" id="_x0000_s1098" style="position:absolute;margin-left:6.85pt;margin-top:21.45pt;width:212.55pt;height:116.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6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" fillcolor="#156082 [3204]" stroked="f">
                      <v:textbox>
                        <w:txbxContent>
                          <w:p w14:paraId="135C2EF9" w14:textId="77777777" w:rsidR="00785144" w:rsidRPr="00B038FB" w:rsidRDefault="00785144" w:rsidP="00785144">
                            <w:pPr>
                              <w:rPr>
                                <w:rFonts w:hAnsi="Aptos"/>
                                <w:b/>
                                <w:color w:val="FFFFFF" w:themeColor="background1"/>
                                <w:kern w:val="24"/>
                                <w:szCs w:val="22"/>
                                <w14:ligatures w14:val="none"/>
                              </w:rPr>
                            </w:pPr>
                            <w:r w:rsidRPr="00B038FB">
                              <w:rPr>
                                <w:rFonts w:hAnsi="Aptos"/>
                                <w:b/>
                                <w:color w:val="FFFFFF" w:themeColor="background1"/>
                                <w:kern w:val="24"/>
                                <w:szCs w:val="22"/>
                              </w:rPr>
                              <w:t xml:space="preserve">Review’s recommended savings </w:t>
                            </w:r>
                          </w:p>
                          <w:p w14:paraId="5282B1C4" w14:textId="77777777" w:rsidR="00785144" w:rsidRDefault="00785144" w:rsidP="00785144">
                            <w:pPr>
                              <w:ind w:left="720"/>
                              <w:rPr>
                                <w:rFonts w:hAnsi="Aptos"/>
                                <w:color w:val="FFFFFF" w:themeColor="background1"/>
                                <w:kern w:val="24"/>
                                <w:sz w:val="32"/>
                                <w:szCs w:val="32"/>
                              </w:rPr>
                            </w:pPr>
                            <w:r w:rsidRPr="00B038FB">
                              <w:rPr>
                                <w:rFonts w:hAnsi="Aptos"/>
                                <w:b/>
                                <w:bCs/>
                                <w:color w:val="FFFFFF" w:themeColor="background1"/>
                                <w:kern w:val="24"/>
                                <w:szCs w:val="22"/>
                              </w:rPr>
                              <w:t>$325 million</w:t>
                            </w:r>
                            <w:r>
                              <w:rPr>
                                <w:rFonts w:hAnsi="Aptos"/>
                                <w:color w:val="FFFFFF" w:themeColor="background1"/>
                                <w:kern w:val="24"/>
                                <w:sz w:val="32"/>
                                <w:szCs w:val="32"/>
                              </w:rPr>
                              <w:br/>
                            </w:r>
                            <w:r w:rsidRPr="00B038FB">
                              <w:rPr>
                                <w:rFonts w:hAnsi="Aptos"/>
                                <w:color w:val="FFFFFF" w:themeColor="background1"/>
                                <w:kern w:val="24"/>
                                <w:sz w:val="20"/>
                                <w:szCs w:val="20"/>
                              </w:rPr>
                              <w:t>2025</w:t>
                            </w:r>
                            <w:r w:rsidRPr="00B038FB">
                              <w:rPr>
                                <w:color w:val="FFFFFF" w:themeColor="background1"/>
                                <w:kern w:val="24"/>
                                <w:sz w:val="20"/>
                                <w:szCs w:val="20"/>
                              </w:rPr>
                              <w:t>–</w:t>
                            </w:r>
                            <w:r w:rsidRPr="00B038FB">
                              <w:rPr>
                                <w:rFonts w:hAnsi="Aptos"/>
                                <w:color w:val="FFFFFF" w:themeColor="background1"/>
                                <w:kern w:val="24"/>
                                <w:sz w:val="20"/>
                                <w:szCs w:val="20"/>
                              </w:rPr>
                              <w:t>26 to 2028</w:t>
                            </w:r>
                            <w:r w:rsidRPr="00B038FB">
                              <w:rPr>
                                <w:color w:val="FFFFFF" w:themeColor="background1"/>
                                <w:kern w:val="24"/>
                                <w:sz w:val="20"/>
                                <w:szCs w:val="20"/>
                              </w:rPr>
                              <w:t>–</w:t>
                            </w:r>
                            <w:r w:rsidRPr="00B038FB">
                              <w:rPr>
                                <w:rFonts w:hAnsi="Aptos"/>
                                <w:color w:val="FFFFFF" w:themeColor="background1"/>
                                <w:kern w:val="24"/>
                                <w:sz w:val="20"/>
                                <w:szCs w:val="20"/>
                              </w:rPr>
                              <w:t>29</w:t>
                            </w:r>
                          </w:p>
                          <w:p w14:paraId="7AEA8597" w14:textId="77777777" w:rsidR="00785144" w:rsidRDefault="00785144" w:rsidP="00785144">
                            <w:pPr>
                              <w:ind w:left="720"/>
                              <w:rPr>
                                <w:rFonts w:hAnsi="Aptos"/>
                                <w:color w:val="FFFFFF" w:themeColor="background1"/>
                                <w:kern w:val="24"/>
                                <w:sz w:val="32"/>
                                <w:szCs w:val="32"/>
                              </w:rPr>
                            </w:pPr>
                            <w:r w:rsidRPr="00B038FB">
                              <w:rPr>
                                <w:rFonts w:hAnsi="Aptos"/>
                                <w:b/>
                                <w:bCs/>
                                <w:color w:val="FFFFFF" w:themeColor="background1"/>
                                <w:kern w:val="24"/>
                                <w:szCs w:val="22"/>
                              </w:rPr>
                              <w:t>333 staff</w:t>
                            </w:r>
                            <w:r>
                              <w:rPr>
                                <w:rFonts w:hAnsi="Aptos"/>
                                <w:color w:val="FFFFFF" w:themeColor="background1"/>
                                <w:kern w:val="24"/>
                                <w:sz w:val="32"/>
                                <w:szCs w:val="32"/>
                              </w:rPr>
                              <w:br/>
                            </w:r>
                            <w:r w:rsidRPr="00B038FB">
                              <w:rPr>
                                <w:rFonts w:hAnsi="Aptos"/>
                                <w:color w:val="FFFFFF" w:themeColor="background1"/>
                                <w:kern w:val="24"/>
                                <w:sz w:val="20"/>
                                <w:szCs w:val="20"/>
                              </w:rPr>
                              <w:t>Ongoing FTE</w:t>
                            </w:r>
                          </w:p>
                        </w:txbxContent>
                      </v:textbox>
                    </v:roundrect>
                  </w:pict>
                </mc:Fallback>
              </mc:AlternateContent>
            </w:r>
          </w:p>
        </w:tc>
      </w:tr>
      <w:tr w:rsidR="00785144" w:rsidRPr="00A43B0D" w14:paraId="048C0FD3" w14:textId="77777777">
        <w:trPr>
          <w:trHeight w:val="521"/>
        </w:trPr>
        <w:tc>
          <w:tcPr>
            <w:tcW w:w="9016" w:type="dxa"/>
            <w:gridSpan w:val="2"/>
          </w:tcPr>
          <w:p w14:paraId="20D14525" w14:textId="77777777" w:rsidR="00785144" w:rsidRPr="004429FE" w:rsidRDefault="00785144" w:rsidP="00785144">
            <w:pPr>
              <w:pStyle w:val="ListParagraph"/>
              <w:numPr>
                <w:ilvl w:val="0"/>
                <w:numId w:val="87"/>
              </w:numPr>
              <w:rPr>
                <w:sz w:val="12"/>
                <w:szCs w:val="12"/>
              </w:rPr>
            </w:pPr>
            <w:r w:rsidRPr="004429FE">
              <w:rPr>
                <w:sz w:val="12"/>
                <w:szCs w:val="12"/>
              </w:rPr>
              <w:t xml:space="preserve">FTE </w:t>
            </w:r>
            <w:proofErr w:type="gramStart"/>
            <w:r w:rsidRPr="004429FE">
              <w:rPr>
                <w:sz w:val="12"/>
                <w:szCs w:val="12"/>
              </w:rPr>
              <w:t>figure includes</w:t>
            </w:r>
            <w:proofErr w:type="gramEnd"/>
            <w:r w:rsidRPr="004429FE">
              <w:rPr>
                <w:sz w:val="12"/>
                <w:szCs w:val="12"/>
              </w:rPr>
              <w:t xml:space="preserve"> Sustainability Victoria and Recycling Victoria.</w:t>
            </w:r>
          </w:p>
          <w:p w14:paraId="17566BCB" w14:textId="77777777" w:rsidR="00785144" w:rsidRPr="004429FE" w:rsidRDefault="00785144" w:rsidP="00785144">
            <w:pPr>
              <w:pStyle w:val="ListParagraph"/>
              <w:numPr>
                <w:ilvl w:val="0"/>
                <w:numId w:val="87"/>
              </w:numPr>
              <w:rPr>
                <w:sz w:val="12"/>
                <w:szCs w:val="12"/>
              </w:rPr>
            </w:pPr>
            <w:r>
              <w:rPr>
                <w:sz w:val="12"/>
                <w:szCs w:val="12"/>
              </w:rPr>
              <w:t xml:space="preserve">DEECA, </w:t>
            </w:r>
            <w:r w:rsidRPr="004429FE">
              <w:rPr>
                <w:i/>
                <w:sz w:val="12"/>
                <w:szCs w:val="12"/>
              </w:rPr>
              <w:t>Victoria’s Bushfire Management Strategy</w:t>
            </w:r>
            <w:r w:rsidRPr="004429FE">
              <w:rPr>
                <w:sz w:val="12"/>
                <w:szCs w:val="12"/>
              </w:rPr>
              <w:t>, 2024.</w:t>
            </w:r>
          </w:p>
          <w:p w14:paraId="69720BEE" w14:textId="77777777" w:rsidR="00785144" w:rsidRPr="004429FE" w:rsidRDefault="00785144" w:rsidP="00785144">
            <w:pPr>
              <w:pStyle w:val="ListParagraph"/>
              <w:numPr>
                <w:ilvl w:val="0"/>
                <w:numId w:val="87"/>
              </w:numPr>
              <w:rPr>
                <w:sz w:val="12"/>
                <w:szCs w:val="12"/>
              </w:rPr>
            </w:pPr>
            <w:r>
              <w:rPr>
                <w:sz w:val="12"/>
                <w:szCs w:val="12"/>
              </w:rPr>
              <w:t>DEECA,</w:t>
            </w:r>
            <w:r w:rsidRPr="004429FE">
              <w:rPr>
                <w:sz w:val="12"/>
                <w:szCs w:val="12"/>
              </w:rPr>
              <w:t xml:space="preserve"> Annual Report 2023-24</w:t>
            </w:r>
            <w:r>
              <w:rPr>
                <w:sz w:val="12"/>
                <w:szCs w:val="12"/>
              </w:rPr>
              <w:t>, 2023</w:t>
            </w:r>
          </w:p>
          <w:p w14:paraId="5740AAB6" w14:textId="77777777" w:rsidR="00785144" w:rsidRPr="003E09ED" w:rsidRDefault="00785144" w:rsidP="00785144">
            <w:pPr>
              <w:pStyle w:val="ListParagraph"/>
              <w:numPr>
                <w:ilvl w:val="0"/>
                <w:numId w:val="87"/>
              </w:numPr>
              <w:rPr>
                <w:sz w:val="12"/>
                <w:szCs w:val="12"/>
              </w:rPr>
            </w:pPr>
            <w:r>
              <w:rPr>
                <w:rFonts w:eastAsiaTheme="minorHAnsi"/>
                <w:sz w:val="12"/>
                <w:szCs w:val="12"/>
                <w:lang w:eastAsia="en-US"/>
              </w:rPr>
              <w:t xml:space="preserve">DEECA, </w:t>
            </w:r>
            <w:r w:rsidRPr="0084671A">
              <w:rPr>
                <w:rFonts w:eastAsiaTheme="minorHAnsi"/>
                <w:i/>
                <w:sz w:val="12"/>
                <w:szCs w:val="12"/>
                <w:lang w:eastAsia="en-US"/>
              </w:rPr>
              <w:t>Cheaper, Cleaner, Renewable: Our Plan for Victoria's Electricity Future</w:t>
            </w:r>
            <w:r w:rsidRPr="004429FE">
              <w:rPr>
                <w:rFonts w:eastAsiaTheme="minorHAnsi"/>
                <w:sz w:val="12"/>
                <w:szCs w:val="12"/>
                <w:lang w:eastAsia="en-US"/>
              </w:rPr>
              <w:t>, 2024.</w:t>
            </w:r>
          </w:p>
          <w:p w14:paraId="66E1EE9E" w14:textId="77777777" w:rsidR="00785144" w:rsidRPr="003E09ED" w:rsidRDefault="00785144">
            <w:pPr>
              <w:pStyle w:val="ListParagraph"/>
              <w:ind w:left="360"/>
              <w:rPr>
                <w:sz w:val="12"/>
                <w:szCs w:val="12"/>
              </w:rPr>
            </w:pPr>
          </w:p>
        </w:tc>
      </w:tr>
      <w:tr w:rsidR="00785144" w:rsidRPr="00A43B0D" w14:paraId="11F58815" w14:textId="77777777">
        <w:trPr>
          <w:trHeight w:val="449"/>
        </w:trPr>
        <w:tc>
          <w:tcPr>
            <w:tcW w:w="9016" w:type="dxa"/>
            <w:gridSpan w:val="2"/>
          </w:tcPr>
          <w:p w14:paraId="376DFFA7" w14:textId="77777777" w:rsidR="00785144" w:rsidRPr="00303A8B" w:rsidRDefault="00785144" w:rsidP="00303A8B">
            <w:pPr>
              <w:pStyle w:val="Heading3"/>
              <w:numPr>
                <w:ilvl w:val="0"/>
                <w:numId w:val="0"/>
              </w:numPr>
              <w:rPr>
                <w:rFonts w:asciiTheme="majorHAnsi" w:hAnsiTheme="majorHAnsi"/>
                <w:sz w:val="32"/>
                <w:szCs w:val="32"/>
              </w:rPr>
            </w:pPr>
            <w:r w:rsidRPr="00303A8B">
              <w:rPr>
                <w:rFonts w:asciiTheme="majorHAnsi" w:hAnsiTheme="majorHAnsi"/>
                <w:sz w:val="32"/>
                <w:szCs w:val="32"/>
              </w:rPr>
              <w:lastRenderedPageBreak/>
              <w:t>Department of Families, Fairness and Housing (DFFH)</w:t>
            </w:r>
          </w:p>
        </w:tc>
      </w:tr>
      <w:tr w:rsidR="00785144" w:rsidRPr="00A43B0D" w14:paraId="440B7982" w14:textId="77777777">
        <w:trPr>
          <w:trHeight w:val="298"/>
        </w:trPr>
        <w:tc>
          <w:tcPr>
            <w:tcW w:w="9016" w:type="dxa"/>
            <w:gridSpan w:val="2"/>
          </w:tcPr>
          <w:p w14:paraId="20750347" w14:textId="362FC3E0" w:rsidR="00785144" w:rsidRPr="00A43B0D" w:rsidRDefault="00785144">
            <w:pPr>
              <w:spacing w:line="278" w:lineRule="auto"/>
              <w:rPr>
                <w:sz w:val="18"/>
                <w:szCs w:val="18"/>
              </w:rPr>
            </w:pPr>
            <w:r w:rsidRPr="00F0788E">
              <w:rPr>
                <w:sz w:val="18"/>
                <w:szCs w:val="18"/>
              </w:rPr>
              <w:t>Safe and supported children and families, in stable homes and strong communities.</w:t>
            </w:r>
          </w:p>
        </w:tc>
      </w:tr>
      <w:tr w:rsidR="00785144" w:rsidRPr="00A43B0D" w14:paraId="2622495D" w14:textId="77777777">
        <w:trPr>
          <w:trHeight w:val="582"/>
        </w:trPr>
        <w:tc>
          <w:tcPr>
            <w:tcW w:w="4508" w:type="dxa"/>
          </w:tcPr>
          <w:p w14:paraId="07414B58" w14:textId="77777777" w:rsidR="00785144" w:rsidRPr="00A43B0D" w:rsidRDefault="00785144">
            <w:pPr>
              <w:spacing w:line="278" w:lineRule="auto"/>
              <w:rPr>
                <w:sz w:val="18"/>
                <w:szCs w:val="18"/>
              </w:rPr>
            </w:pPr>
            <w:r w:rsidRPr="00A43B0D">
              <w:rPr>
                <w:noProof/>
                <w:sz w:val="18"/>
                <w:szCs w:val="18"/>
              </w:rPr>
              <w:drawing>
                <wp:inline distT="0" distB="0" distL="0" distR="0" wp14:anchorId="4733C145" wp14:editId="65E94A35">
                  <wp:extent cx="2491740" cy="396223"/>
                  <wp:effectExtent l="0" t="0" r="3810" b="4445"/>
                  <wp:docPr id="1161498297"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98297" name="Picture 1" descr="A close up of a text&#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37209" cy="403453"/>
                          </a:xfrm>
                          <a:prstGeom prst="rect">
                            <a:avLst/>
                          </a:prstGeom>
                        </pic:spPr>
                      </pic:pic>
                    </a:graphicData>
                  </a:graphic>
                </wp:inline>
              </w:drawing>
            </w:r>
          </w:p>
        </w:tc>
        <w:tc>
          <w:tcPr>
            <w:tcW w:w="4508" w:type="dxa"/>
          </w:tcPr>
          <w:p w14:paraId="6EF41DA6" w14:textId="77777777" w:rsidR="00785144" w:rsidRPr="00A43B0D" w:rsidRDefault="00785144">
            <w:pPr>
              <w:spacing w:line="278" w:lineRule="auto"/>
              <w:rPr>
                <w:sz w:val="18"/>
                <w:szCs w:val="18"/>
              </w:rPr>
            </w:pPr>
            <w:r w:rsidRPr="00A43B0D">
              <w:rPr>
                <w:noProof/>
                <w:sz w:val="18"/>
                <w:szCs w:val="18"/>
              </w:rPr>
              <w:drawing>
                <wp:inline distT="0" distB="0" distL="0" distR="0" wp14:anchorId="01068182" wp14:editId="41D0B76F">
                  <wp:extent cx="2049780" cy="351954"/>
                  <wp:effectExtent l="0" t="0" r="7620" b="0"/>
                  <wp:docPr id="401335934"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35934" name="Picture 1" descr="A close-up of a logo&#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74077" cy="356126"/>
                          </a:xfrm>
                          <a:prstGeom prst="rect">
                            <a:avLst/>
                          </a:prstGeom>
                        </pic:spPr>
                      </pic:pic>
                    </a:graphicData>
                  </a:graphic>
                </wp:inline>
              </w:drawing>
            </w:r>
          </w:p>
        </w:tc>
      </w:tr>
      <w:tr w:rsidR="00785144" w:rsidRPr="00A43B0D" w14:paraId="4A8AC82F" w14:textId="77777777">
        <w:trPr>
          <w:trHeight w:val="922"/>
        </w:trPr>
        <w:tc>
          <w:tcPr>
            <w:tcW w:w="4508" w:type="dxa"/>
          </w:tcPr>
          <w:p w14:paraId="0C654988" w14:textId="77777777" w:rsidR="00785144" w:rsidRDefault="00785144">
            <w:pPr>
              <w:rPr>
                <w:rFonts w:asciiTheme="majorHAnsi" w:hAnsiTheme="majorHAnsi"/>
                <w:b/>
                <w:bCs/>
                <w:color w:val="0F4761" w:themeColor="accent1" w:themeShade="BF"/>
                <w:szCs w:val="22"/>
              </w:rPr>
            </w:pPr>
          </w:p>
          <w:p w14:paraId="24C2AA98" w14:textId="77777777" w:rsidR="00785144" w:rsidRPr="00354732" w:rsidRDefault="00785144">
            <w:pPr>
              <w:rPr>
                <w:rFonts w:asciiTheme="majorHAnsi" w:hAnsiTheme="majorHAnsi"/>
                <w:b/>
                <w:bCs/>
                <w:color w:val="0F4761" w:themeColor="accent1" w:themeShade="BF"/>
                <w:szCs w:val="22"/>
              </w:rPr>
            </w:pPr>
            <w:r w:rsidRPr="00354732">
              <w:rPr>
                <w:rFonts w:asciiTheme="majorHAnsi" w:hAnsiTheme="majorHAnsi"/>
                <w:b/>
                <w:bCs/>
                <w:color w:val="0F4761" w:themeColor="accent1" w:themeShade="BF"/>
                <w:szCs w:val="22"/>
              </w:rPr>
              <w:t>Objectives</w:t>
            </w:r>
            <w:r w:rsidRPr="00354732">
              <w:rPr>
                <w:rFonts w:asciiTheme="majorHAnsi" w:hAnsiTheme="majorHAnsi"/>
                <w:b/>
                <w:bCs/>
                <w:color w:val="0F4761" w:themeColor="accent1" w:themeShade="BF"/>
                <w:szCs w:val="22"/>
                <w:vertAlign w:val="superscript"/>
              </w:rPr>
              <w:t>†</w:t>
            </w:r>
          </w:p>
          <w:p w14:paraId="5B1747EF" w14:textId="77777777" w:rsidR="00785144" w:rsidRPr="00006BE4" w:rsidRDefault="00785144" w:rsidP="00785144">
            <w:pPr>
              <w:numPr>
                <w:ilvl w:val="0"/>
                <w:numId w:val="82"/>
              </w:numPr>
              <w:ind w:left="414" w:hanging="357"/>
              <w:rPr>
                <w:sz w:val="16"/>
                <w:szCs w:val="16"/>
              </w:rPr>
            </w:pPr>
            <w:r w:rsidRPr="00006BE4">
              <w:rPr>
                <w:sz w:val="16"/>
                <w:szCs w:val="16"/>
              </w:rPr>
              <w:t>Aboriginal voice, knowledge and cultural leadership drive Aboriginal policy, legislation and system reform</w:t>
            </w:r>
          </w:p>
          <w:p w14:paraId="272F76F0" w14:textId="77777777" w:rsidR="00785144" w:rsidRPr="00006BE4" w:rsidRDefault="00785144" w:rsidP="00785144">
            <w:pPr>
              <w:numPr>
                <w:ilvl w:val="0"/>
                <w:numId w:val="82"/>
              </w:numPr>
              <w:ind w:left="414" w:hanging="357"/>
              <w:rPr>
                <w:sz w:val="16"/>
                <w:szCs w:val="16"/>
              </w:rPr>
            </w:pPr>
            <w:r w:rsidRPr="00006BE4">
              <w:rPr>
                <w:sz w:val="16"/>
                <w:szCs w:val="16"/>
              </w:rPr>
              <w:t>Children, young people and families are safe, strong and supported</w:t>
            </w:r>
          </w:p>
          <w:p w14:paraId="62F2AA3B" w14:textId="77777777" w:rsidR="00785144" w:rsidRPr="00006BE4" w:rsidRDefault="00785144" w:rsidP="00785144">
            <w:pPr>
              <w:numPr>
                <w:ilvl w:val="0"/>
                <w:numId w:val="82"/>
              </w:numPr>
              <w:ind w:left="414" w:hanging="357"/>
              <w:rPr>
                <w:sz w:val="16"/>
                <w:szCs w:val="16"/>
              </w:rPr>
            </w:pPr>
            <w:r w:rsidRPr="00006BE4">
              <w:rPr>
                <w:sz w:val="16"/>
                <w:szCs w:val="16"/>
              </w:rPr>
              <w:t>Victorian communities are safe, fair, inclusive and resilient</w:t>
            </w:r>
          </w:p>
          <w:p w14:paraId="1279797F" w14:textId="77777777" w:rsidR="00785144" w:rsidRPr="00006BE4" w:rsidRDefault="00785144" w:rsidP="00785144">
            <w:pPr>
              <w:numPr>
                <w:ilvl w:val="0"/>
                <w:numId w:val="82"/>
              </w:numPr>
              <w:ind w:left="414" w:hanging="357"/>
              <w:rPr>
                <w:sz w:val="16"/>
                <w:szCs w:val="16"/>
              </w:rPr>
            </w:pPr>
            <w:r w:rsidRPr="00006BE4">
              <w:rPr>
                <w:sz w:val="16"/>
                <w:szCs w:val="16"/>
              </w:rPr>
              <w:t>All Victorians have stable, affordable and appropriate housing</w:t>
            </w:r>
          </w:p>
          <w:p w14:paraId="5936AB5E" w14:textId="77777777" w:rsidR="00785144" w:rsidRPr="003429FF" w:rsidRDefault="00785144" w:rsidP="00785144">
            <w:pPr>
              <w:numPr>
                <w:ilvl w:val="0"/>
                <w:numId w:val="82"/>
              </w:numPr>
              <w:ind w:left="414" w:hanging="357"/>
              <w:rPr>
                <w:sz w:val="18"/>
                <w:szCs w:val="18"/>
              </w:rPr>
            </w:pPr>
            <w:r w:rsidRPr="00395CB9">
              <w:rPr>
                <w:sz w:val="16"/>
                <w:szCs w:val="16"/>
              </w:rPr>
              <w:t>Our social services system is integrated, effective, person-</w:t>
            </w:r>
            <w:proofErr w:type="spellStart"/>
            <w:r w:rsidRPr="00395CB9">
              <w:rPr>
                <w:sz w:val="16"/>
                <w:szCs w:val="16"/>
              </w:rPr>
              <w:t>centred</w:t>
            </w:r>
            <w:proofErr w:type="spellEnd"/>
            <w:r w:rsidRPr="00395CB9">
              <w:rPr>
                <w:sz w:val="16"/>
                <w:szCs w:val="16"/>
              </w:rPr>
              <w:t xml:space="preserve"> and sustainable</w:t>
            </w:r>
          </w:p>
        </w:tc>
        <w:tc>
          <w:tcPr>
            <w:tcW w:w="4508" w:type="dxa"/>
          </w:tcPr>
          <w:p w14:paraId="215911C3" w14:textId="77777777" w:rsidR="00785144" w:rsidRDefault="00785144">
            <w:pPr>
              <w:rPr>
                <w:rFonts w:asciiTheme="majorHAnsi" w:hAnsiTheme="majorHAnsi"/>
                <w:b/>
                <w:bCs/>
                <w:color w:val="0F4761" w:themeColor="accent1" w:themeShade="BF"/>
                <w:szCs w:val="22"/>
              </w:rPr>
            </w:pPr>
          </w:p>
          <w:p w14:paraId="710B2CCB" w14:textId="77777777" w:rsidR="00785144" w:rsidRPr="00354732" w:rsidRDefault="00785144">
            <w:pPr>
              <w:rPr>
                <w:rFonts w:asciiTheme="majorHAnsi" w:hAnsiTheme="majorHAnsi"/>
                <w:b/>
                <w:bCs/>
                <w:color w:val="0F4761" w:themeColor="accent1" w:themeShade="BF"/>
                <w:szCs w:val="22"/>
              </w:rPr>
            </w:pPr>
            <w:r w:rsidRPr="00354732">
              <w:rPr>
                <w:rFonts w:asciiTheme="majorHAnsi" w:hAnsiTheme="majorHAnsi"/>
                <w:b/>
                <w:bCs/>
                <w:color w:val="0F4761" w:themeColor="accent1" w:themeShade="BF"/>
                <w:szCs w:val="22"/>
              </w:rPr>
              <w:t>Ministerial portfolios</w:t>
            </w:r>
          </w:p>
          <w:p w14:paraId="54C26879" w14:textId="77777777" w:rsidR="00785144" w:rsidRPr="00202B9D" w:rsidRDefault="00785144" w:rsidP="00785144">
            <w:pPr>
              <w:numPr>
                <w:ilvl w:val="0"/>
                <w:numId w:val="82"/>
              </w:numPr>
              <w:ind w:left="414" w:hanging="357"/>
              <w:rPr>
                <w:sz w:val="16"/>
                <w:szCs w:val="16"/>
              </w:rPr>
            </w:pPr>
            <w:r w:rsidRPr="00202B9D">
              <w:rPr>
                <w:sz w:val="16"/>
                <w:szCs w:val="16"/>
              </w:rPr>
              <w:t xml:space="preserve">Children </w:t>
            </w:r>
          </w:p>
          <w:p w14:paraId="412EC632" w14:textId="77777777" w:rsidR="00785144" w:rsidRPr="00202B9D" w:rsidRDefault="00785144" w:rsidP="00785144">
            <w:pPr>
              <w:numPr>
                <w:ilvl w:val="0"/>
                <w:numId w:val="82"/>
              </w:numPr>
              <w:ind w:left="414" w:hanging="357"/>
              <w:rPr>
                <w:sz w:val="16"/>
                <w:szCs w:val="16"/>
              </w:rPr>
            </w:pPr>
            <w:r w:rsidRPr="00202B9D">
              <w:rPr>
                <w:sz w:val="16"/>
                <w:szCs w:val="16"/>
              </w:rPr>
              <w:t>Disability</w:t>
            </w:r>
          </w:p>
          <w:p w14:paraId="3A7636A5" w14:textId="77777777" w:rsidR="00785144" w:rsidRPr="00202B9D" w:rsidRDefault="00785144" w:rsidP="00785144">
            <w:pPr>
              <w:numPr>
                <w:ilvl w:val="0"/>
                <w:numId w:val="82"/>
              </w:numPr>
              <w:ind w:left="414" w:hanging="357"/>
              <w:rPr>
                <w:sz w:val="16"/>
                <w:szCs w:val="16"/>
              </w:rPr>
            </w:pPr>
            <w:r w:rsidRPr="00202B9D">
              <w:rPr>
                <w:sz w:val="16"/>
                <w:szCs w:val="16"/>
              </w:rPr>
              <w:t xml:space="preserve">Ageing (with DH) </w:t>
            </w:r>
          </w:p>
          <w:p w14:paraId="641B208C" w14:textId="77777777" w:rsidR="00785144" w:rsidRPr="00202B9D" w:rsidRDefault="00785144" w:rsidP="00785144">
            <w:pPr>
              <w:numPr>
                <w:ilvl w:val="0"/>
                <w:numId w:val="82"/>
              </w:numPr>
              <w:ind w:left="414" w:hanging="357"/>
              <w:rPr>
                <w:sz w:val="16"/>
                <w:szCs w:val="16"/>
              </w:rPr>
            </w:pPr>
            <w:r w:rsidRPr="00202B9D">
              <w:rPr>
                <w:sz w:val="16"/>
                <w:szCs w:val="16"/>
              </w:rPr>
              <w:t xml:space="preserve">Carers and Volunteers </w:t>
            </w:r>
          </w:p>
          <w:p w14:paraId="7FBC7512" w14:textId="77777777" w:rsidR="00785144" w:rsidRPr="00202B9D" w:rsidRDefault="00785144" w:rsidP="00785144">
            <w:pPr>
              <w:numPr>
                <w:ilvl w:val="0"/>
                <w:numId w:val="82"/>
              </w:numPr>
              <w:ind w:left="414" w:hanging="357"/>
              <w:rPr>
                <w:sz w:val="16"/>
                <w:szCs w:val="16"/>
              </w:rPr>
            </w:pPr>
            <w:r w:rsidRPr="00202B9D">
              <w:rPr>
                <w:sz w:val="16"/>
                <w:szCs w:val="16"/>
              </w:rPr>
              <w:t>Equality</w:t>
            </w:r>
          </w:p>
          <w:p w14:paraId="7BE4280D" w14:textId="77777777" w:rsidR="00785144" w:rsidRPr="00202B9D" w:rsidRDefault="00785144" w:rsidP="00785144">
            <w:pPr>
              <w:numPr>
                <w:ilvl w:val="0"/>
                <w:numId w:val="82"/>
              </w:numPr>
              <w:ind w:left="414" w:hanging="357"/>
              <w:rPr>
                <w:sz w:val="16"/>
                <w:szCs w:val="16"/>
              </w:rPr>
            </w:pPr>
            <w:r w:rsidRPr="00202B9D">
              <w:rPr>
                <w:sz w:val="16"/>
                <w:szCs w:val="16"/>
              </w:rPr>
              <w:t>Housing and Building (with DTP)</w:t>
            </w:r>
          </w:p>
          <w:p w14:paraId="7AE165F1" w14:textId="77777777" w:rsidR="00785144" w:rsidRPr="00202B9D" w:rsidRDefault="00785144" w:rsidP="00785144">
            <w:pPr>
              <w:numPr>
                <w:ilvl w:val="0"/>
                <w:numId w:val="82"/>
              </w:numPr>
              <w:ind w:left="414" w:hanging="357"/>
              <w:rPr>
                <w:sz w:val="16"/>
                <w:szCs w:val="16"/>
              </w:rPr>
            </w:pPr>
            <w:r w:rsidRPr="00202B9D">
              <w:rPr>
                <w:sz w:val="16"/>
                <w:szCs w:val="16"/>
              </w:rPr>
              <w:t xml:space="preserve">Prevention of Family Violence </w:t>
            </w:r>
          </w:p>
          <w:p w14:paraId="3410CC0F" w14:textId="77777777" w:rsidR="00785144" w:rsidRPr="00202B9D" w:rsidRDefault="00785144" w:rsidP="00785144">
            <w:pPr>
              <w:numPr>
                <w:ilvl w:val="0"/>
                <w:numId w:val="82"/>
              </w:numPr>
              <w:ind w:left="414" w:hanging="357"/>
              <w:rPr>
                <w:sz w:val="16"/>
                <w:szCs w:val="16"/>
              </w:rPr>
            </w:pPr>
            <w:r w:rsidRPr="00202B9D">
              <w:rPr>
                <w:sz w:val="16"/>
                <w:szCs w:val="16"/>
              </w:rPr>
              <w:t>Veterans</w:t>
            </w:r>
          </w:p>
          <w:p w14:paraId="03711885" w14:textId="77777777" w:rsidR="00785144" w:rsidRPr="00202B9D" w:rsidRDefault="00785144" w:rsidP="00785144">
            <w:pPr>
              <w:numPr>
                <w:ilvl w:val="0"/>
                <w:numId w:val="82"/>
              </w:numPr>
              <w:ind w:left="414" w:hanging="357"/>
              <w:rPr>
                <w:sz w:val="16"/>
                <w:szCs w:val="16"/>
              </w:rPr>
            </w:pPr>
            <w:r w:rsidRPr="00202B9D">
              <w:rPr>
                <w:sz w:val="16"/>
                <w:szCs w:val="16"/>
              </w:rPr>
              <w:t xml:space="preserve">Women </w:t>
            </w:r>
          </w:p>
          <w:p w14:paraId="24C65B38" w14:textId="77777777" w:rsidR="00785144" w:rsidRPr="00FE4947" w:rsidRDefault="00785144" w:rsidP="00785144">
            <w:pPr>
              <w:numPr>
                <w:ilvl w:val="0"/>
                <w:numId w:val="82"/>
              </w:numPr>
              <w:ind w:left="414" w:hanging="357"/>
              <w:rPr>
                <w:sz w:val="18"/>
                <w:szCs w:val="18"/>
              </w:rPr>
            </w:pPr>
            <w:r w:rsidRPr="00395CB9">
              <w:rPr>
                <w:sz w:val="16"/>
                <w:szCs w:val="16"/>
              </w:rPr>
              <w:t>Youth</w:t>
            </w:r>
          </w:p>
          <w:p w14:paraId="68A62FF5" w14:textId="77777777" w:rsidR="00785144" w:rsidRPr="00A43B0D" w:rsidRDefault="00785144">
            <w:pPr>
              <w:ind w:left="414"/>
              <w:rPr>
                <w:sz w:val="18"/>
                <w:szCs w:val="18"/>
              </w:rPr>
            </w:pPr>
          </w:p>
        </w:tc>
      </w:tr>
      <w:tr w:rsidR="00785144" w:rsidRPr="00395CB9" w14:paraId="1E61EFBA" w14:textId="77777777">
        <w:trPr>
          <w:trHeight w:val="922"/>
        </w:trPr>
        <w:tc>
          <w:tcPr>
            <w:tcW w:w="4508" w:type="dxa"/>
          </w:tcPr>
          <w:p w14:paraId="492E886B" w14:textId="77777777" w:rsidR="00785144" w:rsidRPr="000264EC" w:rsidRDefault="00785144">
            <w:pPr>
              <w:pStyle w:val="Heading3"/>
              <w:rPr>
                <w:sz w:val="22"/>
                <w:szCs w:val="22"/>
              </w:rPr>
            </w:pPr>
            <w:r w:rsidRPr="0078732A">
              <w:rPr>
                <w:rFonts w:asciiTheme="majorHAnsi" w:hAnsiTheme="majorHAnsi"/>
                <w:sz w:val="22"/>
                <w:szCs w:val="22"/>
              </w:rPr>
              <w:t>Share of VPS workforce</w:t>
            </w:r>
            <w:r w:rsidRPr="0078732A">
              <w:rPr>
                <w:rFonts w:asciiTheme="majorHAnsi" w:hAnsiTheme="majorHAnsi"/>
                <w:sz w:val="22"/>
                <w:szCs w:val="22"/>
                <w:vertAlign w:val="superscript"/>
              </w:rPr>
              <w:t>^</w:t>
            </w:r>
            <w:r w:rsidRPr="000264EC">
              <w:rPr>
                <w:bCs/>
                <w:sz w:val="22"/>
                <w:szCs w:val="22"/>
              </w:rPr>
              <w:br/>
            </w:r>
            <w:r w:rsidRPr="0078732A">
              <w:rPr>
                <w:b w:val="0"/>
                <w:bCs/>
                <w:sz w:val="18"/>
                <w:szCs w:val="18"/>
              </w:rPr>
              <w:t>VPS Classifications, June 2024</w:t>
            </w:r>
          </w:p>
          <w:p w14:paraId="057F212A" w14:textId="7ED970C6" w:rsidR="00785144" w:rsidRPr="00516A11" w:rsidRDefault="00785144" w:rsidP="00516A11">
            <w:pPr>
              <w:spacing w:line="278" w:lineRule="auto"/>
              <w:rPr>
                <w:sz w:val="18"/>
                <w:szCs w:val="18"/>
              </w:rPr>
            </w:pPr>
            <w:r>
              <w:rPr>
                <w:noProof/>
              </w:rPr>
              <w:drawing>
                <wp:inline distT="0" distB="0" distL="0" distR="0" wp14:anchorId="15F69639" wp14:editId="2FEDCB05">
                  <wp:extent cx="2601165" cy="1564849"/>
                  <wp:effectExtent l="0" t="0" r="8890" b="0"/>
                  <wp:docPr id="1597420112" name="Picture 1" descr="A graph with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20112" name="Picture 1" descr="A graph with blue bars&#10;&#10;AI-generated content may be incorrect."/>
                          <pic:cNvPicPr/>
                        </pic:nvPicPr>
                        <pic:blipFill>
                          <a:blip r:embed="rId59"/>
                          <a:stretch>
                            <a:fillRect/>
                          </a:stretch>
                        </pic:blipFill>
                        <pic:spPr>
                          <a:xfrm>
                            <a:off x="0" y="0"/>
                            <a:ext cx="2608762" cy="1569420"/>
                          </a:xfrm>
                          <a:prstGeom prst="rect">
                            <a:avLst/>
                          </a:prstGeom>
                        </pic:spPr>
                      </pic:pic>
                    </a:graphicData>
                  </a:graphic>
                </wp:inline>
              </w:drawing>
            </w:r>
          </w:p>
          <w:p w14:paraId="79E706E4" w14:textId="77777777" w:rsidR="005E5163" w:rsidRDefault="005E5163" w:rsidP="005E5163">
            <w:pPr>
              <w:rPr>
                <w:rFonts w:asciiTheme="majorHAnsi" w:hAnsiTheme="majorHAnsi"/>
                <w:b/>
                <w:bCs/>
                <w:color w:val="0F4761" w:themeColor="accent1" w:themeShade="BF"/>
                <w:szCs w:val="22"/>
              </w:rPr>
            </w:pPr>
          </w:p>
          <w:p w14:paraId="79280000" w14:textId="77777777" w:rsidR="00785144" w:rsidRPr="005E5163" w:rsidRDefault="005E5163" w:rsidP="005E5163">
            <w:pPr>
              <w:rPr>
                <w:color w:val="0F4761" w:themeColor="accent1" w:themeShade="BF"/>
              </w:rPr>
            </w:pPr>
            <w:r w:rsidRPr="0078732A">
              <w:rPr>
                <w:rFonts w:asciiTheme="majorHAnsi" w:hAnsiTheme="majorHAnsi"/>
                <w:b/>
                <w:bCs/>
                <w:color w:val="0F4761" w:themeColor="accent1" w:themeShade="BF"/>
                <w:szCs w:val="22"/>
              </w:rPr>
              <w:t>Output expenditure</w:t>
            </w:r>
            <w:r w:rsidRPr="0078732A">
              <w:rPr>
                <w:rFonts w:asciiTheme="majorHAnsi" w:hAnsiTheme="majorHAnsi"/>
                <w:b/>
                <w:bCs/>
                <w:color w:val="0F4761" w:themeColor="accent1" w:themeShade="BF"/>
                <w:szCs w:val="22"/>
                <w:vertAlign w:val="superscript"/>
              </w:rPr>
              <w:t>†</w:t>
            </w:r>
            <w:r w:rsidRPr="0078732A">
              <w:rPr>
                <w:color w:val="0F4761" w:themeColor="accent1" w:themeShade="BF"/>
              </w:rPr>
              <w:br/>
            </w:r>
            <w:r w:rsidRPr="00253480">
              <w:rPr>
                <w:color w:val="0F4761" w:themeColor="accent1" w:themeShade="BF"/>
                <w:sz w:val="18"/>
                <w:szCs w:val="18"/>
              </w:rPr>
              <w:t xml:space="preserve">$ </w:t>
            </w:r>
            <w:proofErr w:type="gramStart"/>
            <w:r w:rsidRPr="00253480">
              <w:rPr>
                <w:color w:val="0F4761" w:themeColor="accent1" w:themeShade="BF"/>
                <w:sz w:val="18"/>
                <w:szCs w:val="18"/>
              </w:rPr>
              <w:t>millions</w:t>
            </w:r>
            <w:proofErr w:type="gramEnd"/>
            <w:r w:rsidRPr="00253480">
              <w:rPr>
                <w:color w:val="0F4761" w:themeColor="accent1" w:themeShade="BF"/>
                <w:sz w:val="18"/>
                <w:szCs w:val="18"/>
              </w:rPr>
              <w:t>, 2023/24</w:t>
            </w:r>
          </w:p>
        </w:tc>
        <w:tc>
          <w:tcPr>
            <w:tcW w:w="4508" w:type="dxa"/>
          </w:tcPr>
          <w:p w14:paraId="0E95059A" w14:textId="77777777" w:rsidR="00785144" w:rsidRPr="00354732" w:rsidRDefault="00785144">
            <w:pPr>
              <w:rPr>
                <w:rFonts w:asciiTheme="majorHAnsi" w:hAnsiTheme="majorHAnsi"/>
                <w:b/>
                <w:bCs/>
                <w:color w:val="0F4761" w:themeColor="accent1" w:themeShade="BF"/>
                <w:szCs w:val="22"/>
              </w:rPr>
            </w:pPr>
            <w:r w:rsidRPr="00354732">
              <w:rPr>
                <w:rFonts w:asciiTheme="majorHAnsi" w:hAnsiTheme="majorHAnsi"/>
                <w:b/>
                <w:bCs/>
                <w:color w:val="0F4761" w:themeColor="accent1" w:themeShade="BF"/>
                <w:szCs w:val="22"/>
              </w:rPr>
              <w:t>VPS non-departmental entities</w:t>
            </w:r>
            <w:r w:rsidRPr="00354732">
              <w:rPr>
                <w:rFonts w:asciiTheme="majorHAnsi" w:hAnsiTheme="majorHAnsi"/>
                <w:b/>
                <w:bCs/>
                <w:color w:val="0F4761" w:themeColor="accent1" w:themeShade="BF"/>
                <w:szCs w:val="22"/>
                <w:vertAlign w:val="superscript"/>
              </w:rPr>
              <w:t>^</w:t>
            </w:r>
            <w:r w:rsidRPr="00354732">
              <w:rPr>
                <w:rFonts w:asciiTheme="majorHAnsi" w:hAnsiTheme="majorHAnsi"/>
                <w:b/>
                <w:bCs/>
                <w:color w:val="0F4761" w:themeColor="accent1" w:themeShade="BF"/>
                <w:szCs w:val="22"/>
              </w:rPr>
              <w:t xml:space="preserve"> </w:t>
            </w:r>
          </w:p>
          <w:p w14:paraId="06049354" w14:textId="77777777" w:rsidR="00785144" w:rsidRPr="00202B9D" w:rsidRDefault="00785144" w:rsidP="00785144">
            <w:pPr>
              <w:numPr>
                <w:ilvl w:val="0"/>
                <w:numId w:val="84"/>
              </w:numPr>
              <w:spacing w:line="278" w:lineRule="auto"/>
              <w:ind w:left="414" w:hanging="357"/>
              <w:rPr>
                <w:sz w:val="16"/>
                <w:szCs w:val="16"/>
              </w:rPr>
            </w:pPr>
            <w:r w:rsidRPr="00202B9D">
              <w:rPr>
                <w:sz w:val="16"/>
                <w:szCs w:val="16"/>
              </w:rPr>
              <w:t>Commission for Children and Young People</w:t>
            </w:r>
          </w:p>
          <w:p w14:paraId="7894C1B2" w14:textId="77777777" w:rsidR="00785144" w:rsidRPr="00202B9D" w:rsidRDefault="00785144" w:rsidP="00785144">
            <w:pPr>
              <w:numPr>
                <w:ilvl w:val="0"/>
                <w:numId w:val="84"/>
              </w:numPr>
              <w:spacing w:line="278" w:lineRule="auto"/>
              <w:ind w:left="414" w:hanging="357"/>
              <w:rPr>
                <w:sz w:val="16"/>
                <w:szCs w:val="16"/>
              </w:rPr>
            </w:pPr>
            <w:r w:rsidRPr="00202B9D">
              <w:rPr>
                <w:sz w:val="16"/>
                <w:szCs w:val="16"/>
              </w:rPr>
              <w:t>Family Violence Prevention Agency (Respect Victoria)</w:t>
            </w:r>
          </w:p>
          <w:p w14:paraId="7DD7D51A" w14:textId="77777777" w:rsidR="00785144" w:rsidRPr="00202B9D" w:rsidRDefault="00785144" w:rsidP="00785144">
            <w:pPr>
              <w:numPr>
                <w:ilvl w:val="0"/>
                <w:numId w:val="84"/>
              </w:numPr>
              <w:spacing w:line="278" w:lineRule="auto"/>
              <w:ind w:left="414" w:hanging="357"/>
              <w:rPr>
                <w:sz w:val="16"/>
                <w:szCs w:val="16"/>
              </w:rPr>
            </w:pPr>
            <w:r w:rsidRPr="00202B9D">
              <w:rPr>
                <w:sz w:val="16"/>
                <w:szCs w:val="16"/>
              </w:rPr>
              <w:t>Office of the Social Services Regulator</w:t>
            </w:r>
          </w:p>
          <w:p w14:paraId="5C1747FF" w14:textId="77777777" w:rsidR="00785144" w:rsidRPr="00395CB9" w:rsidRDefault="00785144" w:rsidP="00785144">
            <w:pPr>
              <w:numPr>
                <w:ilvl w:val="0"/>
                <w:numId w:val="84"/>
              </w:numPr>
              <w:spacing w:line="278" w:lineRule="auto"/>
              <w:ind w:left="414" w:hanging="357"/>
              <w:rPr>
                <w:sz w:val="16"/>
                <w:szCs w:val="16"/>
              </w:rPr>
            </w:pPr>
            <w:r w:rsidRPr="00202B9D">
              <w:rPr>
                <w:sz w:val="16"/>
                <w:szCs w:val="16"/>
              </w:rPr>
              <w:t>Victorian Disability Worker Commission</w:t>
            </w:r>
          </w:p>
          <w:p w14:paraId="0431DDBA" w14:textId="77777777" w:rsidR="00785144" w:rsidRDefault="00785144">
            <w:pPr>
              <w:rPr>
                <w:rFonts w:asciiTheme="majorHAnsi" w:hAnsiTheme="majorHAnsi"/>
                <w:b/>
                <w:bCs/>
                <w:color w:val="0F4761" w:themeColor="accent1" w:themeShade="BF"/>
                <w:szCs w:val="22"/>
              </w:rPr>
            </w:pPr>
          </w:p>
          <w:p w14:paraId="0813E51E" w14:textId="77777777" w:rsidR="00785144" w:rsidRPr="00354732" w:rsidRDefault="00785144">
            <w:pPr>
              <w:rPr>
                <w:rFonts w:asciiTheme="majorHAnsi" w:hAnsiTheme="majorHAnsi"/>
                <w:b/>
                <w:bCs/>
                <w:color w:val="0F4761" w:themeColor="accent1" w:themeShade="BF"/>
                <w:szCs w:val="22"/>
              </w:rPr>
            </w:pPr>
            <w:r w:rsidRPr="00354732">
              <w:rPr>
                <w:rFonts w:asciiTheme="majorHAnsi" w:hAnsiTheme="majorHAnsi"/>
                <w:b/>
                <w:bCs/>
                <w:color w:val="0F4761" w:themeColor="accent1" w:themeShade="BF"/>
                <w:szCs w:val="22"/>
              </w:rPr>
              <w:t>Demand pressures</w:t>
            </w:r>
          </w:p>
          <w:p w14:paraId="7E495A61" w14:textId="77777777" w:rsidR="00785144" w:rsidRPr="00395CB9" w:rsidRDefault="00785144" w:rsidP="00785144">
            <w:pPr>
              <w:numPr>
                <w:ilvl w:val="0"/>
                <w:numId w:val="85"/>
              </w:numPr>
              <w:spacing w:line="278" w:lineRule="auto"/>
              <w:ind w:left="414" w:hanging="357"/>
              <w:rPr>
                <w:sz w:val="16"/>
                <w:szCs w:val="16"/>
              </w:rPr>
            </w:pPr>
            <w:r w:rsidRPr="00395CB9">
              <w:rPr>
                <w:sz w:val="16"/>
                <w:szCs w:val="16"/>
              </w:rPr>
              <w:t>Victoria’s growing and ageing population is increasing demand for housing, disability and care services.</w:t>
            </w:r>
            <w:r w:rsidRPr="00395CB9">
              <w:rPr>
                <w:sz w:val="16"/>
                <w:szCs w:val="16"/>
                <w:vertAlign w:val="superscript"/>
              </w:rPr>
              <w:t>2</w:t>
            </w:r>
          </w:p>
          <w:p w14:paraId="5F1D3B10" w14:textId="77777777" w:rsidR="00785144" w:rsidRPr="00395CB9" w:rsidRDefault="00785144" w:rsidP="00785144">
            <w:pPr>
              <w:numPr>
                <w:ilvl w:val="0"/>
                <w:numId w:val="85"/>
              </w:numPr>
              <w:spacing w:line="278" w:lineRule="auto"/>
              <w:ind w:left="414" w:hanging="357"/>
              <w:rPr>
                <w:sz w:val="16"/>
                <w:szCs w:val="16"/>
              </w:rPr>
            </w:pPr>
            <w:r w:rsidRPr="00395CB9">
              <w:rPr>
                <w:sz w:val="16"/>
                <w:szCs w:val="16"/>
              </w:rPr>
              <w:t>Rising cost-of-living pressures are driving increased demand for government services and financial assistance.</w:t>
            </w:r>
            <w:r w:rsidRPr="00395CB9">
              <w:rPr>
                <w:sz w:val="16"/>
                <w:szCs w:val="16"/>
                <w:vertAlign w:val="superscript"/>
              </w:rPr>
              <w:t>3</w:t>
            </w:r>
          </w:p>
          <w:p w14:paraId="7F6FD084" w14:textId="77777777" w:rsidR="00785144" w:rsidRPr="00395CB9" w:rsidRDefault="00785144" w:rsidP="00785144">
            <w:pPr>
              <w:numPr>
                <w:ilvl w:val="0"/>
                <w:numId w:val="85"/>
              </w:numPr>
              <w:spacing w:line="278" w:lineRule="auto"/>
              <w:ind w:left="414" w:hanging="357"/>
              <w:rPr>
                <w:sz w:val="16"/>
                <w:szCs w:val="16"/>
              </w:rPr>
            </w:pPr>
            <w:r w:rsidRPr="00395CB9">
              <w:rPr>
                <w:sz w:val="16"/>
                <w:szCs w:val="16"/>
              </w:rPr>
              <w:t xml:space="preserve">More frequent and severe natural disasters are placing added pressure on </w:t>
            </w:r>
            <w:proofErr w:type="gramStart"/>
            <w:r w:rsidRPr="00395CB9">
              <w:rPr>
                <w:sz w:val="16"/>
                <w:szCs w:val="16"/>
              </w:rPr>
              <w:t>emergency</w:t>
            </w:r>
            <w:proofErr w:type="gramEnd"/>
            <w:r w:rsidRPr="00395CB9">
              <w:rPr>
                <w:sz w:val="16"/>
                <w:szCs w:val="16"/>
              </w:rPr>
              <w:t>, housing and social support systems.</w:t>
            </w:r>
            <w:r w:rsidRPr="00395CB9">
              <w:rPr>
                <w:sz w:val="16"/>
                <w:szCs w:val="16"/>
                <w:vertAlign w:val="superscript"/>
              </w:rPr>
              <w:t>4</w:t>
            </w:r>
          </w:p>
          <w:p w14:paraId="7F9F53E2" w14:textId="77777777" w:rsidR="00785144" w:rsidRPr="00395CB9" w:rsidRDefault="00785144" w:rsidP="00785144">
            <w:pPr>
              <w:numPr>
                <w:ilvl w:val="0"/>
                <w:numId w:val="85"/>
              </w:numPr>
              <w:spacing w:line="278" w:lineRule="auto"/>
              <w:ind w:left="414" w:hanging="357"/>
              <w:rPr>
                <w:sz w:val="18"/>
                <w:szCs w:val="18"/>
              </w:rPr>
            </w:pPr>
            <w:r w:rsidRPr="00395CB9">
              <w:rPr>
                <w:sz w:val="16"/>
                <w:szCs w:val="16"/>
              </w:rPr>
              <w:t>Increasing complexity in client needs is placing greater pressure on integrated and specialist service responses.</w:t>
            </w:r>
            <w:r w:rsidRPr="00395CB9">
              <w:rPr>
                <w:sz w:val="16"/>
                <w:szCs w:val="16"/>
                <w:vertAlign w:val="superscript"/>
              </w:rPr>
              <w:t>5</w:t>
            </w:r>
          </w:p>
        </w:tc>
      </w:tr>
      <w:tr w:rsidR="00785144" w:rsidRPr="00A43B0D" w14:paraId="41F2759E" w14:textId="77777777">
        <w:trPr>
          <w:trHeight w:val="2388"/>
        </w:trPr>
        <w:tc>
          <w:tcPr>
            <w:tcW w:w="4508" w:type="dxa"/>
          </w:tcPr>
          <w:p w14:paraId="2E367854" w14:textId="77777777" w:rsidR="00785144" w:rsidRPr="00A43B0D" w:rsidRDefault="00785144">
            <w:pPr>
              <w:spacing w:line="278" w:lineRule="auto"/>
              <w:rPr>
                <w:sz w:val="18"/>
                <w:szCs w:val="18"/>
              </w:rPr>
            </w:pPr>
            <w:r>
              <w:rPr>
                <w:noProof/>
              </w:rPr>
              <w:drawing>
                <wp:inline distT="0" distB="0" distL="0" distR="0" wp14:anchorId="50924F24" wp14:editId="7F19F18A">
                  <wp:extent cx="2466490" cy="2478680"/>
                  <wp:effectExtent l="0" t="0" r="5080" b="0"/>
                  <wp:docPr id="184918330" name="Picture 1" descr="A graph with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8330" name="Picture 1" descr="A graph with blue bars&#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66490" cy="2478680"/>
                          </a:xfrm>
                          <a:prstGeom prst="rect">
                            <a:avLst/>
                          </a:prstGeom>
                        </pic:spPr>
                      </pic:pic>
                    </a:graphicData>
                  </a:graphic>
                </wp:inline>
              </w:drawing>
            </w:r>
          </w:p>
        </w:tc>
        <w:tc>
          <w:tcPr>
            <w:tcW w:w="4508" w:type="dxa"/>
          </w:tcPr>
          <w:p w14:paraId="7AB30C79" w14:textId="77777777" w:rsidR="00785144" w:rsidRPr="00A43B0D" w:rsidRDefault="00785144">
            <w:pPr>
              <w:rPr>
                <w:sz w:val="18"/>
                <w:szCs w:val="18"/>
              </w:rPr>
            </w:pPr>
            <w:r w:rsidRPr="00A43B0D">
              <w:rPr>
                <w:noProof/>
                <w:sz w:val="18"/>
                <w:szCs w:val="18"/>
              </w:rPr>
              <w:drawing>
                <wp:anchor distT="0" distB="0" distL="114300" distR="114300" simplePos="0" relativeHeight="251658251" behindDoc="0" locked="0" layoutInCell="1" allowOverlap="1" wp14:anchorId="5C99A8AA" wp14:editId="0DE86D22">
                  <wp:simplePos x="0" y="0"/>
                  <wp:positionH relativeFrom="column">
                    <wp:posOffset>300990</wp:posOffset>
                  </wp:positionH>
                  <wp:positionV relativeFrom="paragraph">
                    <wp:posOffset>1915795</wp:posOffset>
                  </wp:positionV>
                  <wp:extent cx="287655" cy="287655"/>
                  <wp:effectExtent l="0" t="0" r="0" b="0"/>
                  <wp:wrapNone/>
                  <wp:docPr id="1021839782" name="Picture 19" descr="A white logo with a black background&#10;&#10;AI-generated content may be incorrect.">
                    <a:extLst xmlns:a="http://schemas.openxmlformats.org/drawingml/2006/main">
                      <a:ext uri="{FF2B5EF4-FFF2-40B4-BE49-F238E27FC236}">
                        <a16:creationId xmlns:a16="http://schemas.microsoft.com/office/drawing/2014/main" id="{CFC0251D-C711-4D06-A2C1-500418CBC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9" descr="A white logo with a black background&#10;&#10;AI-generated content may be incorrect.">
                            <a:extLst>
                              <a:ext uri="{FF2B5EF4-FFF2-40B4-BE49-F238E27FC236}">
                                <a16:creationId xmlns:a16="http://schemas.microsoft.com/office/drawing/2014/main" id="{CFC0251D-C711-4D06-A2C1-500418CBCF3C}"/>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pic:spPr>
                      </pic:pic>
                    </a:graphicData>
                  </a:graphic>
                  <wp14:sizeRelH relativeFrom="page">
                    <wp14:pctWidth>0</wp14:pctWidth>
                  </wp14:sizeRelH>
                  <wp14:sizeRelV relativeFrom="page">
                    <wp14:pctHeight>0</wp14:pctHeight>
                  </wp14:sizeRelV>
                </wp:anchor>
              </w:drawing>
            </w:r>
            <w:r w:rsidRPr="00A43B0D">
              <w:rPr>
                <w:noProof/>
                <w:sz w:val="18"/>
                <w:szCs w:val="18"/>
              </w:rPr>
              <w:drawing>
                <wp:anchor distT="0" distB="0" distL="114300" distR="114300" simplePos="0" relativeHeight="251658250" behindDoc="0" locked="0" layoutInCell="1" allowOverlap="1" wp14:anchorId="28AF6FFE" wp14:editId="6D68376A">
                  <wp:simplePos x="0" y="0"/>
                  <wp:positionH relativeFrom="column">
                    <wp:posOffset>283210</wp:posOffset>
                  </wp:positionH>
                  <wp:positionV relativeFrom="paragraph">
                    <wp:posOffset>1398270</wp:posOffset>
                  </wp:positionV>
                  <wp:extent cx="287655" cy="287655"/>
                  <wp:effectExtent l="0" t="0" r="0" b="0"/>
                  <wp:wrapNone/>
                  <wp:docPr id="307062773" name="Picture 17" descr="A white dollar sign in a circle&#10;&#10;AI-generated content may be incorrect.">
                    <a:extLst xmlns:a="http://schemas.openxmlformats.org/drawingml/2006/main">
                      <a:ext uri="{FF2B5EF4-FFF2-40B4-BE49-F238E27FC236}">
                        <a16:creationId xmlns:a16="http://schemas.microsoft.com/office/drawing/2014/main" id="{5E95BA44-000E-5F82-4AD1-8DDFA53A9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7" descr="A white dollar sign in a circle&#10;&#10;AI-generated content may be incorrect.">
                            <a:extLst>
                              <a:ext uri="{FF2B5EF4-FFF2-40B4-BE49-F238E27FC236}">
                                <a16:creationId xmlns:a16="http://schemas.microsoft.com/office/drawing/2014/main" id="{5E95BA44-000E-5F82-4AD1-8DDFA53A9737}"/>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pic:spPr>
                      </pic:pic>
                    </a:graphicData>
                  </a:graphic>
                  <wp14:sizeRelH relativeFrom="page">
                    <wp14:pctWidth>0</wp14:pctWidth>
                  </wp14:sizeRelH>
                  <wp14:sizeRelV relativeFrom="page">
                    <wp14:pctHeight>0</wp14:pctHeight>
                  </wp14:sizeRelV>
                </wp:anchor>
              </w:drawing>
            </w:r>
            <w:r w:rsidRPr="00A43B0D">
              <w:rPr>
                <w:noProof/>
                <w:sz w:val="18"/>
                <w:szCs w:val="18"/>
              </w:rPr>
              <mc:AlternateContent>
                <mc:Choice Requires="wps">
                  <w:drawing>
                    <wp:anchor distT="0" distB="0" distL="114300" distR="114300" simplePos="0" relativeHeight="251658246" behindDoc="0" locked="0" layoutInCell="1" allowOverlap="1" wp14:anchorId="5222DD09" wp14:editId="1E86821B">
                      <wp:simplePos x="0" y="0"/>
                      <wp:positionH relativeFrom="column">
                        <wp:posOffset>86278</wp:posOffset>
                      </wp:positionH>
                      <wp:positionV relativeFrom="paragraph">
                        <wp:posOffset>1026160</wp:posOffset>
                      </wp:positionV>
                      <wp:extent cx="2699385" cy="1475740"/>
                      <wp:effectExtent l="0" t="0" r="5715" b="0"/>
                      <wp:wrapNone/>
                      <wp:docPr id="2032992729" name="TextBox 48"/>
                      <wp:cNvGraphicFramePr/>
                      <a:graphic xmlns:a="http://schemas.openxmlformats.org/drawingml/2006/main">
                        <a:graphicData uri="http://schemas.microsoft.com/office/word/2010/wordprocessingShape">
                          <wps:wsp>
                            <wps:cNvSpPr txBox="1"/>
                            <wps:spPr>
                              <a:xfrm>
                                <a:off x="0" y="0"/>
                                <a:ext cx="2699385" cy="1475740"/>
                              </a:xfrm>
                              <a:prstGeom prst="roundRect">
                                <a:avLst>
                                  <a:gd name="adj" fmla="val 4000"/>
                                </a:avLst>
                              </a:prstGeom>
                              <a:solidFill>
                                <a:schemeClr val="accent1"/>
                              </a:solidFill>
                            </wps:spPr>
                            <wps:txbx>
                              <w:txbxContent>
                                <w:p w14:paraId="1213E672" w14:textId="77777777" w:rsidR="00785144" w:rsidRPr="00B038FB" w:rsidRDefault="00785144" w:rsidP="00785144">
                                  <w:pPr>
                                    <w:rPr>
                                      <w:rFonts w:hAnsi="Aptos"/>
                                      <w:b/>
                                      <w:color w:val="FFFFFF" w:themeColor="background1"/>
                                      <w:kern w:val="24"/>
                                      <w:szCs w:val="22"/>
                                      <w14:ligatures w14:val="none"/>
                                    </w:rPr>
                                  </w:pPr>
                                  <w:r w:rsidRPr="00B038FB">
                                    <w:rPr>
                                      <w:rFonts w:hAnsi="Aptos"/>
                                      <w:b/>
                                      <w:color w:val="FFFFFF" w:themeColor="background1"/>
                                      <w:kern w:val="24"/>
                                      <w:szCs w:val="22"/>
                                    </w:rPr>
                                    <w:t xml:space="preserve">Review’s recommended savings </w:t>
                                  </w:r>
                                </w:p>
                                <w:p w14:paraId="207C6F2B" w14:textId="77777777" w:rsidR="00785144" w:rsidRDefault="00785144" w:rsidP="00785144">
                                  <w:pPr>
                                    <w:ind w:left="720"/>
                                    <w:rPr>
                                      <w:rFonts w:hAnsi="Aptos"/>
                                      <w:color w:val="FFFFFF" w:themeColor="background1"/>
                                      <w:kern w:val="24"/>
                                      <w:sz w:val="32"/>
                                      <w:szCs w:val="32"/>
                                    </w:rPr>
                                  </w:pPr>
                                  <w:r w:rsidRPr="00B038FB">
                                    <w:rPr>
                                      <w:rFonts w:hAnsi="Aptos"/>
                                      <w:b/>
                                      <w:bCs/>
                                      <w:color w:val="FFFFFF" w:themeColor="background1"/>
                                      <w:kern w:val="24"/>
                                      <w:szCs w:val="22"/>
                                    </w:rPr>
                                    <w:t>$160 million</w:t>
                                  </w:r>
                                  <w:r>
                                    <w:rPr>
                                      <w:rFonts w:hAnsi="Aptos"/>
                                      <w:color w:val="FFFFFF" w:themeColor="background1"/>
                                      <w:kern w:val="24"/>
                                      <w:sz w:val="32"/>
                                      <w:szCs w:val="32"/>
                                    </w:rPr>
                                    <w:br/>
                                  </w:r>
                                  <w:r w:rsidRPr="00B038FB">
                                    <w:rPr>
                                      <w:rFonts w:hAnsi="Aptos"/>
                                      <w:color w:val="FFFFFF" w:themeColor="background1"/>
                                      <w:kern w:val="24"/>
                                      <w:sz w:val="20"/>
                                      <w:szCs w:val="20"/>
                                    </w:rPr>
                                    <w:t>2025</w:t>
                                  </w:r>
                                  <w:r w:rsidRPr="00B038FB">
                                    <w:rPr>
                                      <w:color w:val="FFFFFF" w:themeColor="background1"/>
                                      <w:kern w:val="24"/>
                                      <w:sz w:val="20"/>
                                      <w:szCs w:val="20"/>
                                    </w:rPr>
                                    <w:t>–</w:t>
                                  </w:r>
                                  <w:r w:rsidRPr="00B038FB">
                                    <w:rPr>
                                      <w:rFonts w:hAnsi="Aptos"/>
                                      <w:color w:val="FFFFFF" w:themeColor="background1"/>
                                      <w:kern w:val="24"/>
                                      <w:sz w:val="20"/>
                                      <w:szCs w:val="20"/>
                                    </w:rPr>
                                    <w:t>26 to 2028</w:t>
                                  </w:r>
                                  <w:r w:rsidRPr="00B038FB">
                                    <w:rPr>
                                      <w:color w:val="FFFFFF" w:themeColor="background1"/>
                                      <w:kern w:val="24"/>
                                      <w:sz w:val="20"/>
                                      <w:szCs w:val="20"/>
                                    </w:rPr>
                                    <w:t>–</w:t>
                                  </w:r>
                                  <w:r w:rsidRPr="00B038FB">
                                    <w:rPr>
                                      <w:rFonts w:hAnsi="Aptos"/>
                                      <w:color w:val="FFFFFF" w:themeColor="background1"/>
                                      <w:kern w:val="24"/>
                                      <w:sz w:val="20"/>
                                      <w:szCs w:val="20"/>
                                    </w:rPr>
                                    <w:t>29</w:t>
                                  </w:r>
                                </w:p>
                                <w:p w14:paraId="60C19099" w14:textId="77777777" w:rsidR="00785144" w:rsidRDefault="00785144" w:rsidP="00785144">
                                  <w:pPr>
                                    <w:ind w:left="720"/>
                                    <w:rPr>
                                      <w:rFonts w:hAnsi="Aptos"/>
                                      <w:color w:val="FFFFFF" w:themeColor="background1"/>
                                      <w:kern w:val="24"/>
                                      <w:sz w:val="32"/>
                                      <w:szCs w:val="32"/>
                                    </w:rPr>
                                  </w:pPr>
                                  <w:r w:rsidRPr="00B038FB">
                                    <w:rPr>
                                      <w:rFonts w:hAnsi="Aptos"/>
                                      <w:b/>
                                      <w:bCs/>
                                      <w:color w:val="FFFFFF" w:themeColor="background1"/>
                                      <w:kern w:val="24"/>
                                      <w:szCs w:val="22"/>
                                    </w:rPr>
                                    <w:t>98 staff</w:t>
                                  </w:r>
                                  <w:r>
                                    <w:rPr>
                                      <w:rFonts w:hAnsi="Aptos"/>
                                      <w:color w:val="FFFFFF" w:themeColor="background1"/>
                                      <w:kern w:val="24"/>
                                      <w:sz w:val="32"/>
                                      <w:szCs w:val="32"/>
                                    </w:rPr>
                                    <w:br/>
                                  </w:r>
                                  <w:r w:rsidRPr="00B038FB">
                                    <w:rPr>
                                      <w:rFonts w:hAnsi="Aptos"/>
                                      <w:color w:val="FFFFFF" w:themeColor="background1"/>
                                      <w:kern w:val="24"/>
                                      <w:sz w:val="20"/>
                                      <w:szCs w:val="20"/>
                                    </w:rPr>
                                    <w:t>Ongoing FTE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222DD09" id="_x0000_s1099" style="position:absolute;margin-left:6.8pt;margin-top:80.8pt;width:212.55pt;height:116.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6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" fillcolor="#156082 [3204]" stroked="f">
                      <v:textbox>
                        <w:txbxContent>
                          <w:p w14:paraId="1213E672" w14:textId="77777777" w:rsidR="00785144" w:rsidRPr="00B038FB" w:rsidRDefault="00785144" w:rsidP="00785144">
                            <w:pPr>
                              <w:rPr>
                                <w:rFonts w:hAnsi="Aptos"/>
                                <w:b/>
                                <w:color w:val="FFFFFF" w:themeColor="background1"/>
                                <w:kern w:val="24"/>
                                <w:szCs w:val="22"/>
                                <w14:ligatures w14:val="none"/>
                              </w:rPr>
                            </w:pPr>
                            <w:r w:rsidRPr="00B038FB">
                              <w:rPr>
                                <w:rFonts w:hAnsi="Aptos"/>
                                <w:b/>
                                <w:color w:val="FFFFFF" w:themeColor="background1"/>
                                <w:kern w:val="24"/>
                                <w:szCs w:val="22"/>
                              </w:rPr>
                              <w:t xml:space="preserve">Review’s recommended savings </w:t>
                            </w:r>
                          </w:p>
                          <w:p w14:paraId="207C6F2B" w14:textId="77777777" w:rsidR="00785144" w:rsidRDefault="00785144" w:rsidP="00785144">
                            <w:pPr>
                              <w:ind w:left="720"/>
                              <w:rPr>
                                <w:rFonts w:hAnsi="Aptos"/>
                                <w:color w:val="FFFFFF" w:themeColor="background1"/>
                                <w:kern w:val="24"/>
                                <w:sz w:val="32"/>
                                <w:szCs w:val="32"/>
                              </w:rPr>
                            </w:pPr>
                            <w:r w:rsidRPr="00B038FB">
                              <w:rPr>
                                <w:rFonts w:hAnsi="Aptos"/>
                                <w:b/>
                                <w:bCs/>
                                <w:color w:val="FFFFFF" w:themeColor="background1"/>
                                <w:kern w:val="24"/>
                                <w:szCs w:val="22"/>
                              </w:rPr>
                              <w:t>$160 million</w:t>
                            </w:r>
                            <w:r>
                              <w:rPr>
                                <w:rFonts w:hAnsi="Aptos"/>
                                <w:color w:val="FFFFFF" w:themeColor="background1"/>
                                <w:kern w:val="24"/>
                                <w:sz w:val="32"/>
                                <w:szCs w:val="32"/>
                              </w:rPr>
                              <w:br/>
                            </w:r>
                            <w:r w:rsidRPr="00B038FB">
                              <w:rPr>
                                <w:rFonts w:hAnsi="Aptos"/>
                                <w:color w:val="FFFFFF" w:themeColor="background1"/>
                                <w:kern w:val="24"/>
                                <w:sz w:val="20"/>
                                <w:szCs w:val="20"/>
                              </w:rPr>
                              <w:t>2025</w:t>
                            </w:r>
                            <w:r w:rsidRPr="00B038FB">
                              <w:rPr>
                                <w:color w:val="FFFFFF" w:themeColor="background1"/>
                                <w:kern w:val="24"/>
                                <w:sz w:val="20"/>
                                <w:szCs w:val="20"/>
                              </w:rPr>
                              <w:t>–</w:t>
                            </w:r>
                            <w:r w:rsidRPr="00B038FB">
                              <w:rPr>
                                <w:rFonts w:hAnsi="Aptos"/>
                                <w:color w:val="FFFFFF" w:themeColor="background1"/>
                                <w:kern w:val="24"/>
                                <w:sz w:val="20"/>
                                <w:szCs w:val="20"/>
                              </w:rPr>
                              <w:t>26 to 2028</w:t>
                            </w:r>
                            <w:r w:rsidRPr="00B038FB">
                              <w:rPr>
                                <w:color w:val="FFFFFF" w:themeColor="background1"/>
                                <w:kern w:val="24"/>
                                <w:sz w:val="20"/>
                                <w:szCs w:val="20"/>
                              </w:rPr>
                              <w:t>–</w:t>
                            </w:r>
                            <w:r w:rsidRPr="00B038FB">
                              <w:rPr>
                                <w:rFonts w:hAnsi="Aptos"/>
                                <w:color w:val="FFFFFF" w:themeColor="background1"/>
                                <w:kern w:val="24"/>
                                <w:sz w:val="20"/>
                                <w:szCs w:val="20"/>
                              </w:rPr>
                              <w:t>29</w:t>
                            </w:r>
                          </w:p>
                          <w:p w14:paraId="60C19099" w14:textId="77777777" w:rsidR="00785144" w:rsidRDefault="00785144" w:rsidP="00785144">
                            <w:pPr>
                              <w:ind w:left="720"/>
                              <w:rPr>
                                <w:rFonts w:hAnsi="Aptos"/>
                                <w:color w:val="FFFFFF" w:themeColor="background1"/>
                                <w:kern w:val="24"/>
                                <w:sz w:val="32"/>
                                <w:szCs w:val="32"/>
                              </w:rPr>
                            </w:pPr>
                            <w:r w:rsidRPr="00B038FB">
                              <w:rPr>
                                <w:rFonts w:hAnsi="Aptos"/>
                                <w:b/>
                                <w:bCs/>
                                <w:color w:val="FFFFFF" w:themeColor="background1"/>
                                <w:kern w:val="24"/>
                                <w:szCs w:val="22"/>
                              </w:rPr>
                              <w:t>98 staff</w:t>
                            </w:r>
                            <w:r>
                              <w:rPr>
                                <w:rFonts w:hAnsi="Aptos"/>
                                <w:color w:val="FFFFFF" w:themeColor="background1"/>
                                <w:kern w:val="24"/>
                                <w:sz w:val="32"/>
                                <w:szCs w:val="32"/>
                              </w:rPr>
                              <w:br/>
                            </w:r>
                            <w:r w:rsidRPr="00B038FB">
                              <w:rPr>
                                <w:rFonts w:hAnsi="Aptos"/>
                                <w:color w:val="FFFFFF" w:themeColor="background1"/>
                                <w:kern w:val="24"/>
                                <w:sz w:val="20"/>
                                <w:szCs w:val="20"/>
                              </w:rPr>
                              <w:t>Ongoing FTE</w:t>
                            </w:r>
                          </w:p>
                        </w:txbxContent>
                      </v:textbox>
                    </v:roundrect>
                  </w:pict>
                </mc:Fallback>
              </mc:AlternateContent>
            </w:r>
          </w:p>
        </w:tc>
      </w:tr>
      <w:tr w:rsidR="00785144" w:rsidRPr="00C51F1E" w14:paraId="3CEFA6EF" w14:textId="77777777">
        <w:trPr>
          <w:trHeight w:val="521"/>
        </w:trPr>
        <w:tc>
          <w:tcPr>
            <w:tcW w:w="9016" w:type="dxa"/>
            <w:gridSpan w:val="2"/>
          </w:tcPr>
          <w:p w14:paraId="0D970B63" w14:textId="77777777" w:rsidR="00785144" w:rsidRDefault="00785144">
            <w:pPr>
              <w:pStyle w:val="ListParagraph"/>
              <w:ind w:left="360"/>
              <w:rPr>
                <w:sz w:val="12"/>
                <w:szCs w:val="12"/>
              </w:rPr>
            </w:pPr>
          </w:p>
          <w:p w14:paraId="769C9866" w14:textId="77777777" w:rsidR="00785144" w:rsidRPr="00C51F1E" w:rsidRDefault="00785144" w:rsidP="00785144">
            <w:pPr>
              <w:pStyle w:val="ListParagraph"/>
              <w:numPr>
                <w:ilvl w:val="0"/>
                <w:numId w:val="88"/>
              </w:numPr>
              <w:rPr>
                <w:sz w:val="12"/>
                <w:szCs w:val="12"/>
              </w:rPr>
            </w:pPr>
            <w:r w:rsidRPr="00C51F1E">
              <w:rPr>
                <w:sz w:val="12"/>
                <w:szCs w:val="12"/>
              </w:rPr>
              <w:t>FTE figure includes child protection workers.</w:t>
            </w:r>
          </w:p>
          <w:p w14:paraId="708F6D2C" w14:textId="77777777" w:rsidR="00785144" w:rsidRPr="00C51F1E" w:rsidRDefault="00785144" w:rsidP="00785144">
            <w:pPr>
              <w:pStyle w:val="ListParagraph"/>
              <w:numPr>
                <w:ilvl w:val="0"/>
                <w:numId w:val="88"/>
              </w:numPr>
              <w:rPr>
                <w:sz w:val="12"/>
                <w:szCs w:val="12"/>
              </w:rPr>
            </w:pPr>
            <w:r w:rsidRPr="00D61DA5">
              <w:rPr>
                <w:sz w:val="12"/>
                <w:szCs w:val="12"/>
              </w:rPr>
              <w:t xml:space="preserve">DFFH, </w:t>
            </w:r>
            <w:r w:rsidRPr="00C51F1E">
              <w:rPr>
                <w:i/>
                <w:iCs/>
                <w:sz w:val="12"/>
                <w:szCs w:val="12"/>
              </w:rPr>
              <w:t>Ageing well in Victoria 2022-2026</w:t>
            </w:r>
            <w:r w:rsidRPr="00C51F1E">
              <w:rPr>
                <w:sz w:val="12"/>
                <w:szCs w:val="12"/>
              </w:rPr>
              <w:t>, 2022.</w:t>
            </w:r>
          </w:p>
          <w:p w14:paraId="495C3562" w14:textId="77777777" w:rsidR="00785144" w:rsidRPr="00C51F1E" w:rsidRDefault="00785144" w:rsidP="00785144">
            <w:pPr>
              <w:pStyle w:val="ListParagraph"/>
              <w:numPr>
                <w:ilvl w:val="0"/>
                <w:numId w:val="88"/>
              </w:numPr>
              <w:rPr>
                <w:sz w:val="12"/>
                <w:szCs w:val="12"/>
              </w:rPr>
            </w:pPr>
            <w:r w:rsidRPr="00C51F1E">
              <w:rPr>
                <w:sz w:val="12"/>
                <w:szCs w:val="12"/>
              </w:rPr>
              <w:t xml:space="preserve">Consumer Affairs Victoria, </w:t>
            </w:r>
            <w:r w:rsidRPr="00C51F1E">
              <w:rPr>
                <w:i/>
                <w:iCs/>
                <w:sz w:val="12"/>
                <w:szCs w:val="12"/>
              </w:rPr>
              <w:t>Annual Report 2023-24</w:t>
            </w:r>
            <w:r w:rsidRPr="00C51F1E">
              <w:rPr>
                <w:sz w:val="12"/>
                <w:szCs w:val="12"/>
              </w:rPr>
              <w:t>, 2024.</w:t>
            </w:r>
          </w:p>
          <w:p w14:paraId="7178C8F0" w14:textId="77777777" w:rsidR="00785144" w:rsidRPr="00C51F1E" w:rsidRDefault="00785144" w:rsidP="00785144">
            <w:pPr>
              <w:pStyle w:val="ListParagraph"/>
              <w:numPr>
                <w:ilvl w:val="0"/>
                <w:numId w:val="88"/>
              </w:numPr>
              <w:rPr>
                <w:sz w:val="12"/>
                <w:szCs w:val="12"/>
              </w:rPr>
            </w:pPr>
            <w:r w:rsidRPr="00D61DA5">
              <w:rPr>
                <w:sz w:val="12"/>
                <w:szCs w:val="12"/>
              </w:rPr>
              <w:t xml:space="preserve">DFFH, </w:t>
            </w:r>
            <w:r w:rsidRPr="00C51F1E">
              <w:rPr>
                <w:i/>
                <w:iCs/>
                <w:sz w:val="12"/>
                <w:szCs w:val="12"/>
              </w:rPr>
              <w:t>2028 Strategic Plan</w:t>
            </w:r>
            <w:r w:rsidRPr="00C51F1E">
              <w:rPr>
                <w:sz w:val="12"/>
                <w:szCs w:val="12"/>
              </w:rPr>
              <w:t>, 2024.</w:t>
            </w:r>
          </w:p>
          <w:p w14:paraId="41C1A54F" w14:textId="77777777" w:rsidR="00785144" w:rsidRPr="00C51F1E" w:rsidRDefault="00785144" w:rsidP="00785144">
            <w:pPr>
              <w:pStyle w:val="ListParagraph"/>
              <w:numPr>
                <w:ilvl w:val="0"/>
                <w:numId w:val="88"/>
              </w:numPr>
              <w:rPr>
                <w:i/>
                <w:iCs/>
                <w:sz w:val="12"/>
                <w:szCs w:val="12"/>
              </w:rPr>
            </w:pPr>
            <w:r w:rsidRPr="00D61DA5">
              <w:rPr>
                <w:sz w:val="12"/>
                <w:szCs w:val="12"/>
              </w:rPr>
              <w:t>DFFH</w:t>
            </w:r>
            <w:r w:rsidRPr="00C51F1E">
              <w:rPr>
                <w:sz w:val="12"/>
                <w:szCs w:val="12"/>
              </w:rPr>
              <w:t xml:space="preserve">, </w:t>
            </w:r>
            <w:r w:rsidRPr="00C51F1E">
              <w:rPr>
                <w:i/>
                <w:iCs/>
                <w:sz w:val="12"/>
                <w:szCs w:val="12"/>
              </w:rPr>
              <w:t>Service provision framework: Complex needs</w:t>
            </w:r>
            <w:r w:rsidRPr="00C51F1E">
              <w:rPr>
                <w:sz w:val="12"/>
                <w:szCs w:val="12"/>
              </w:rPr>
              <w:t>, 2020.</w:t>
            </w:r>
          </w:p>
        </w:tc>
      </w:tr>
      <w:tr w:rsidR="00785144" w:rsidRPr="00A43B0D" w14:paraId="4743C1E5" w14:textId="77777777">
        <w:trPr>
          <w:trHeight w:val="449"/>
        </w:trPr>
        <w:tc>
          <w:tcPr>
            <w:tcW w:w="9016" w:type="dxa"/>
            <w:gridSpan w:val="2"/>
          </w:tcPr>
          <w:p w14:paraId="54010C5A" w14:textId="052B1F4A" w:rsidR="00785144" w:rsidRPr="00303A8B" w:rsidRDefault="00785144" w:rsidP="00303A8B">
            <w:pPr>
              <w:pStyle w:val="Heading3"/>
              <w:rPr>
                <w:rFonts w:asciiTheme="majorHAnsi" w:hAnsiTheme="majorHAnsi"/>
                <w:sz w:val="32"/>
                <w:szCs w:val="32"/>
              </w:rPr>
            </w:pPr>
            <w:r w:rsidRPr="00303A8B">
              <w:rPr>
                <w:rFonts w:asciiTheme="majorHAnsi" w:hAnsiTheme="majorHAnsi"/>
                <w:sz w:val="32"/>
                <w:szCs w:val="32"/>
              </w:rPr>
              <w:lastRenderedPageBreak/>
              <w:t>Department of Government Services (DGS)</w:t>
            </w:r>
          </w:p>
        </w:tc>
      </w:tr>
      <w:tr w:rsidR="00785144" w:rsidRPr="00A43B0D" w14:paraId="5501F9D8" w14:textId="77777777">
        <w:trPr>
          <w:trHeight w:val="276"/>
        </w:trPr>
        <w:tc>
          <w:tcPr>
            <w:tcW w:w="9016" w:type="dxa"/>
            <w:gridSpan w:val="2"/>
          </w:tcPr>
          <w:p w14:paraId="0D7248EF" w14:textId="77777777" w:rsidR="00785144" w:rsidRDefault="00785144">
            <w:pPr>
              <w:spacing w:line="278" w:lineRule="auto"/>
              <w:rPr>
                <w:sz w:val="18"/>
                <w:szCs w:val="18"/>
              </w:rPr>
            </w:pPr>
            <w:r w:rsidRPr="00107FC0">
              <w:rPr>
                <w:sz w:val="18"/>
                <w:szCs w:val="18"/>
              </w:rPr>
              <w:t>Improve how Victorians and businesses engage with government, and to accelerate digital transformation and corporate services reform across the Victorian Public Service.</w:t>
            </w:r>
          </w:p>
          <w:p w14:paraId="7464AB06" w14:textId="77777777" w:rsidR="00785144" w:rsidRPr="00A43B0D" w:rsidRDefault="00785144">
            <w:pPr>
              <w:spacing w:line="278" w:lineRule="auto"/>
              <w:rPr>
                <w:sz w:val="18"/>
                <w:szCs w:val="18"/>
              </w:rPr>
            </w:pPr>
          </w:p>
        </w:tc>
      </w:tr>
      <w:tr w:rsidR="00785144" w:rsidRPr="00A43B0D" w14:paraId="0D90112F" w14:textId="77777777">
        <w:trPr>
          <w:trHeight w:val="655"/>
        </w:trPr>
        <w:tc>
          <w:tcPr>
            <w:tcW w:w="4508" w:type="dxa"/>
          </w:tcPr>
          <w:p w14:paraId="47DAA644" w14:textId="77777777" w:rsidR="00785144" w:rsidRPr="00A43B0D" w:rsidRDefault="00785144">
            <w:pPr>
              <w:spacing w:line="278" w:lineRule="auto"/>
              <w:rPr>
                <w:sz w:val="18"/>
                <w:szCs w:val="18"/>
              </w:rPr>
            </w:pPr>
            <w:r>
              <w:rPr>
                <w:noProof/>
              </w:rPr>
              <w:drawing>
                <wp:inline distT="0" distB="0" distL="0" distR="0" wp14:anchorId="293A0580" wp14:editId="215441A2">
                  <wp:extent cx="2542737" cy="403745"/>
                  <wp:effectExtent l="0" t="0" r="0" b="0"/>
                  <wp:docPr id="2029421864"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21864" name="Picture 1" descr="A close-up of a text&#10;&#10;AI-generated content may be incorrec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42737" cy="403745"/>
                          </a:xfrm>
                          <a:prstGeom prst="rect">
                            <a:avLst/>
                          </a:prstGeom>
                        </pic:spPr>
                      </pic:pic>
                    </a:graphicData>
                  </a:graphic>
                </wp:inline>
              </w:drawing>
            </w:r>
          </w:p>
        </w:tc>
        <w:tc>
          <w:tcPr>
            <w:tcW w:w="4508" w:type="dxa"/>
          </w:tcPr>
          <w:p w14:paraId="2A294D88" w14:textId="77777777" w:rsidR="00785144" w:rsidRPr="00A43B0D" w:rsidRDefault="00785144">
            <w:pPr>
              <w:spacing w:line="278" w:lineRule="auto"/>
              <w:rPr>
                <w:sz w:val="18"/>
                <w:szCs w:val="18"/>
              </w:rPr>
            </w:pPr>
            <w:r>
              <w:rPr>
                <w:noProof/>
              </w:rPr>
              <w:drawing>
                <wp:inline distT="0" distB="0" distL="0" distR="0" wp14:anchorId="22B0985F" wp14:editId="38669920">
                  <wp:extent cx="2019782" cy="361191"/>
                  <wp:effectExtent l="0" t="0" r="0" b="1270"/>
                  <wp:docPr id="384223371" name="Picture 1"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23371" name="Picture 1" descr="A blue text on a white background&#10;&#10;AI-generated content may be incorrec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55554" cy="367588"/>
                          </a:xfrm>
                          <a:prstGeom prst="rect">
                            <a:avLst/>
                          </a:prstGeom>
                        </pic:spPr>
                      </pic:pic>
                    </a:graphicData>
                  </a:graphic>
                </wp:inline>
              </w:drawing>
            </w:r>
          </w:p>
        </w:tc>
      </w:tr>
      <w:tr w:rsidR="00785144" w:rsidRPr="00A43B0D" w14:paraId="48E9455F" w14:textId="77777777">
        <w:trPr>
          <w:trHeight w:val="922"/>
        </w:trPr>
        <w:tc>
          <w:tcPr>
            <w:tcW w:w="4508" w:type="dxa"/>
          </w:tcPr>
          <w:p w14:paraId="6AEFE315" w14:textId="77777777" w:rsidR="00785144" w:rsidRDefault="00785144">
            <w:pPr>
              <w:rPr>
                <w:rFonts w:asciiTheme="majorHAnsi" w:hAnsiTheme="majorHAnsi"/>
                <w:b/>
                <w:bCs/>
                <w:color w:val="0F4761" w:themeColor="accent1" w:themeShade="BF"/>
                <w:szCs w:val="22"/>
              </w:rPr>
            </w:pPr>
          </w:p>
          <w:p w14:paraId="0FE78083" w14:textId="77777777" w:rsidR="00785144" w:rsidRPr="00354732" w:rsidRDefault="00785144">
            <w:pPr>
              <w:rPr>
                <w:rFonts w:asciiTheme="majorHAnsi" w:hAnsiTheme="majorHAnsi"/>
                <w:b/>
                <w:bCs/>
                <w:color w:val="0F4761" w:themeColor="accent1" w:themeShade="BF"/>
                <w:szCs w:val="22"/>
              </w:rPr>
            </w:pPr>
            <w:r w:rsidRPr="00354732">
              <w:rPr>
                <w:rFonts w:asciiTheme="majorHAnsi" w:hAnsiTheme="majorHAnsi"/>
                <w:b/>
                <w:bCs/>
                <w:color w:val="0F4761" w:themeColor="accent1" w:themeShade="BF"/>
                <w:szCs w:val="22"/>
              </w:rPr>
              <w:t>Objectives</w:t>
            </w:r>
            <w:r w:rsidRPr="00354732">
              <w:rPr>
                <w:rFonts w:asciiTheme="majorHAnsi" w:hAnsiTheme="majorHAnsi"/>
                <w:b/>
                <w:bCs/>
                <w:color w:val="0F4761" w:themeColor="accent1" w:themeShade="BF"/>
                <w:szCs w:val="22"/>
                <w:vertAlign w:val="superscript"/>
              </w:rPr>
              <w:t>†</w:t>
            </w:r>
          </w:p>
          <w:p w14:paraId="3F39DA03" w14:textId="77777777" w:rsidR="00785144" w:rsidRPr="00107FC0" w:rsidRDefault="00785144" w:rsidP="00785144">
            <w:pPr>
              <w:numPr>
                <w:ilvl w:val="0"/>
                <w:numId w:val="82"/>
              </w:numPr>
              <w:ind w:left="414" w:hanging="357"/>
              <w:rPr>
                <w:sz w:val="18"/>
                <w:szCs w:val="18"/>
              </w:rPr>
            </w:pPr>
            <w:r w:rsidRPr="00107FC0">
              <w:rPr>
                <w:sz w:val="18"/>
                <w:szCs w:val="18"/>
              </w:rPr>
              <w:t>Make it easier for individuals and businesses to engage with government</w:t>
            </w:r>
          </w:p>
          <w:p w14:paraId="296D7650" w14:textId="77777777" w:rsidR="00785144" w:rsidRPr="00107FC0" w:rsidRDefault="00785144" w:rsidP="00785144">
            <w:pPr>
              <w:numPr>
                <w:ilvl w:val="0"/>
                <w:numId w:val="82"/>
              </w:numPr>
              <w:ind w:left="414" w:hanging="357"/>
              <w:rPr>
                <w:sz w:val="18"/>
                <w:szCs w:val="18"/>
              </w:rPr>
            </w:pPr>
            <w:r w:rsidRPr="00107FC0">
              <w:rPr>
                <w:sz w:val="18"/>
                <w:szCs w:val="18"/>
              </w:rPr>
              <w:t>Accelerate digital transformation for Government</w:t>
            </w:r>
          </w:p>
          <w:p w14:paraId="6760B101" w14:textId="77777777" w:rsidR="00785144" w:rsidRPr="00107FC0" w:rsidRDefault="00785144" w:rsidP="00785144">
            <w:pPr>
              <w:numPr>
                <w:ilvl w:val="0"/>
                <w:numId w:val="82"/>
              </w:numPr>
              <w:ind w:left="414" w:hanging="357"/>
              <w:rPr>
                <w:sz w:val="18"/>
                <w:szCs w:val="18"/>
              </w:rPr>
            </w:pPr>
            <w:r w:rsidRPr="00107FC0">
              <w:rPr>
                <w:sz w:val="18"/>
                <w:szCs w:val="18"/>
              </w:rPr>
              <w:t>Deliver corporate services that enable efficiency, productivity and high-quality service delivery</w:t>
            </w:r>
          </w:p>
          <w:p w14:paraId="03735A52" w14:textId="77777777" w:rsidR="00785144" w:rsidRPr="003429FF" w:rsidRDefault="00785144">
            <w:pPr>
              <w:spacing w:line="278" w:lineRule="auto"/>
              <w:ind w:left="57"/>
              <w:rPr>
                <w:sz w:val="18"/>
                <w:szCs w:val="18"/>
              </w:rPr>
            </w:pPr>
          </w:p>
        </w:tc>
        <w:tc>
          <w:tcPr>
            <w:tcW w:w="4508" w:type="dxa"/>
          </w:tcPr>
          <w:p w14:paraId="7B5C9EED" w14:textId="77777777" w:rsidR="00785144" w:rsidRDefault="00785144">
            <w:pPr>
              <w:rPr>
                <w:rFonts w:asciiTheme="majorHAnsi" w:hAnsiTheme="majorHAnsi"/>
                <w:b/>
                <w:bCs/>
                <w:color w:val="0F4761" w:themeColor="accent1" w:themeShade="BF"/>
                <w:szCs w:val="22"/>
              </w:rPr>
            </w:pPr>
          </w:p>
          <w:p w14:paraId="2B49F192" w14:textId="77777777" w:rsidR="00785144" w:rsidRPr="00354732" w:rsidRDefault="00785144">
            <w:pPr>
              <w:rPr>
                <w:rFonts w:asciiTheme="majorHAnsi" w:hAnsiTheme="majorHAnsi"/>
                <w:b/>
                <w:bCs/>
                <w:color w:val="0F4761" w:themeColor="accent1" w:themeShade="BF"/>
                <w:szCs w:val="22"/>
              </w:rPr>
            </w:pPr>
            <w:r w:rsidRPr="00354732">
              <w:rPr>
                <w:rFonts w:asciiTheme="majorHAnsi" w:hAnsiTheme="majorHAnsi"/>
                <w:b/>
                <w:bCs/>
                <w:color w:val="0F4761" w:themeColor="accent1" w:themeShade="BF"/>
                <w:szCs w:val="22"/>
              </w:rPr>
              <w:t>Ministerial portfolios</w:t>
            </w:r>
          </w:p>
          <w:p w14:paraId="4EC53119" w14:textId="77777777" w:rsidR="00785144" w:rsidRPr="00107FC0" w:rsidRDefault="00785144" w:rsidP="00785144">
            <w:pPr>
              <w:numPr>
                <w:ilvl w:val="0"/>
                <w:numId w:val="83"/>
              </w:numPr>
              <w:ind w:left="414" w:hanging="357"/>
              <w:rPr>
                <w:sz w:val="18"/>
                <w:szCs w:val="18"/>
              </w:rPr>
            </w:pPr>
            <w:r w:rsidRPr="00107FC0">
              <w:rPr>
                <w:sz w:val="18"/>
                <w:szCs w:val="18"/>
              </w:rPr>
              <w:t>Consumer Affairs</w:t>
            </w:r>
          </w:p>
          <w:p w14:paraId="7DF97BB9" w14:textId="77777777" w:rsidR="00785144" w:rsidRPr="00107FC0" w:rsidRDefault="00785144" w:rsidP="00785144">
            <w:pPr>
              <w:numPr>
                <w:ilvl w:val="0"/>
                <w:numId w:val="83"/>
              </w:numPr>
              <w:ind w:left="414" w:hanging="357"/>
              <w:rPr>
                <w:sz w:val="18"/>
                <w:szCs w:val="18"/>
              </w:rPr>
            </w:pPr>
            <w:r w:rsidRPr="00107FC0">
              <w:rPr>
                <w:sz w:val="18"/>
                <w:szCs w:val="18"/>
              </w:rPr>
              <w:t>Government Services</w:t>
            </w:r>
          </w:p>
          <w:p w14:paraId="670C5AC5" w14:textId="77777777" w:rsidR="00785144" w:rsidRPr="00107FC0" w:rsidRDefault="00785144" w:rsidP="00785144">
            <w:pPr>
              <w:numPr>
                <w:ilvl w:val="0"/>
                <w:numId w:val="83"/>
              </w:numPr>
              <w:ind w:left="414" w:hanging="357"/>
              <w:rPr>
                <w:sz w:val="18"/>
                <w:szCs w:val="18"/>
              </w:rPr>
            </w:pPr>
            <w:r w:rsidRPr="00107FC0">
              <w:rPr>
                <w:sz w:val="18"/>
                <w:szCs w:val="18"/>
              </w:rPr>
              <w:t>Local Government</w:t>
            </w:r>
          </w:p>
          <w:p w14:paraId="60032D6D" w14:textId="77777777" w:rsidR="00785144" w:rsidRDefault="00785144">
            <w:pPr>
              <w:rPr>
                <w:rFonts w:asciiTheme="majorHAnsi" w:hAnsiTheme="majorHAnsi"/>
                <w:b/>
                <w:bCs/>
                <w:color w:val="0F4761" w:themeColor="accent1" w:themeShade="BF"/>
                <w:szCs w:val="22"/>
              </w:rPr>
            </w:pPr>
          </w:p>
          <w:p w14:paraId="74F2A415" w14:textId="77777777" w:rsidR="00785144" w:rsidRPr="00354732" w:rsidRDefault="00785144">
            <w:pPr>
              <w:rPr>
                <w:rFonts w:asciiTheme="majorHAnsi" w:hAnsiTheme="majorHAnsi"/>
                <w:b/>
                <w:bCs/>
                <w:color w:val="0F4761" w:themeColor="accent1" w:themeShade="BF"/>
                <w:szCs w:val="22"/>
              </w:rPr>
            </w:pPr>
            <w:r w:rsidRPr="00354732">
              <w:rPr>
                <w:rFonts w:asciiTheme="majorHAnsi" w:hAnsiTheme="majorHAnsi"/>
                <w:b/>
                <w:bCs/>
                <w:color w:val="0F4761" w:themeColor="accent1" w:themeShade="BF"/>
                <w:szCs w:val="22"/>
              </w:rPr>
              <w:t>VPS non-departmental entities</w:t>
            </w:r>
            <w:r w:rsidRPr="00354732">
              <w:rPr>
                <w:rFonts w:asciiTheme="majorHAnsi" w:hAnsiTheme="majorHAnsi"/>
                <w:b/>
                <w:bCs/>
                <w:color w:val="0F4761" w:themeColor="accent1" w:themeShade="BF"/>
                <w:szCs w:val="22"/>
                <w:vertAlign w:val="superscript"/>
              </w:rPr>
              <w:t>^</w:t>
            </w:r>
            <w:r w:rsidRPr="00354732">
              <w:rPr>
                <w:rFonts w:asciiTheme="majorHAnsi" w:hAnsiTheme="majorHAnsi"/>
                <w:b/>
                <w:bCs/>
                <w:color w:val="0F4761" w:themeColor="accent1" w:themeShade="BF"/>
                <w:szCs w:val="22"/>
              </w:rPr>
              <w:t xml:space="preserve"> </w:t>
            </w:r>
          </w:p>
          <w:p w14:paraId="1B8DB2A4" w14:textId="77777777" w:rsidR="00785144" w:rsidRPr="00910241" w:rsidRDefault="00785144" w:rsidP="00785144">
            <w:pPr>
              <w:numPr>
                <w:ilvl w:val="0"/>
                <w:numId w:val="83"/>
              </w:numPr>
              <w:ind w:left="414" w:hanging="357"/>
              <w:rPr>
                <w:sz w:val="18"/>
                <w:szCs w:val="18"/>
              </w:rPr>
            </w:pPr>
            <w:proofErr w:type="spellStart"/>
            <w:r w:rsidRPr="00910241">
              <w:rPr>
                <w:sz w:val="18"/>
                <w:szCs w:val="18"/>
              </w:rPr>
              <w:t>CenITex</w:t>
            </w:r>
            <w:proofErr w:type="spellEnd"/>
          </w:p>
          <w:p w14:paraId="260AFE8B" w14:textId="77777777" w:rsidR="00785144" w:rsidRPr="00910241" w:rsidRDefault="00785144" w:rsidP="00785144">
            <w:pPr>
              <w:numPr>
                <w:ilvl w:val="0"/>
                <w:numId w:val="83"/>
              </w:numPr>
              <w:ind w:left="414" w:hanging="357"/>
              <w:rPr>
                <w:sz w:val="18"/>
                <w:szCs w:val="18"/>
              </w:rPr>
            </w:pPr>
            <w:r w:rsidRPr="00910241">
              <w:rPr>
                <w:sz w:val="18"/>
                <w:szCs w:val="18"/>
              </w:rPr>
              <w:t>Service Victoria</w:t>
            </w:r>
          </w:p>
          <w:p w14:paraId="0ED3E07C" w14:textId="77777777" w:rsidR="00785144" w:rsidRDefault="00785144" w:rsidP="00785144">
            <w:pPr>
              <w:numPr>
                <w:ilvl w:val="0"/>
                <w:numId w:val="83"/>
              </w:numPr>
              <w:ind w:left="414" w:hanging="357"/>
              <w:rPr>
                <w:sz w:val="18"/>
                <w:szCs w:val="18"/>
              </w:rPr>
            </w:pPr>
            <w:r w:rsidRPr="00910241">
              <w:rPr>
                <w:sz w:val="18"/>
                <w:szCs w:val="18"/>
              </w:rPr>
              <w:t>Public Record Office Victoria</w:t>
            </w:r>
          </w:p>
          <w:p w14:paraId="71579B2F" w14:textId="77777777" w:rsidR="00785144" w:rsidRPr="00910241" w:rsidRDefault="00785144">
            <w:pPr>
              <w:ind w:left="414"/>
              <w:rPr>
                <w:sz w:val="18"/>
                <w:szCs w:val="18"/>
              </w:rPr>
            </w:pPr>
          </w:p>
        </w:tc>
      </w:tr>
      <w:tr w:rsidR="00785144" w:rsidRPr="00A43B0D" w14:paraId="0FA758E4" w14:textId="77777777">
        <w:trPr>
          <w:trHeight w:val="922"/>
        </w:trPr>
        <w:tc>
          <w:tcPr>
            <w:tcW w:w="4508" w:type="dxa"/>
          </w:tcPr>
          <w:p w14:paraId="38172B8C" w14:textId="77777777" w:rsidR="00785144" w:rsidRPr="000264EC" w:rsidRDefault="00785144">
            <w:pPr>
              <w:pStyle w:val="Heading3"/>
              <w:rPr>
                <w:sz w:val="22"/>
                <w:szCs w:val="22"/>
              </w:rPr>
            </w:pPr>
            <w:r w:rsidRPr="00113FD8">
              <w:rPr>
                <w:sz w:val="22"/>
                <w:szCs w:val="22"/>
              </w:rPr>
              <w:t>Share of VPS workforce</w:t>
            </w:r>
            <w:r w:rsidRPr="00113FD8">
              <w:rPr>
                <w:sz w:val="22"/>
                <w:szCs w:val="22"/>
                <w:vertAlign w:val="superscript"/>
              </w:rPr>
              <w:t>^</w:t>
            </w:r>
            <w:r w:rsidRPr="000264EC">
              <w:rPr>
                <w:bCs/>
                <w:sz w:val="22"/>
                <w:szCs w:val="22"/>
              </w:rPr>
              <w:br/>
            </w:r>
            <w:r w:rsidRPr="00113FD8">
              <w:rPr>
                <w:b w:val="0"/>
                <w:bCs/>
                <w:sz w:val="18"/>
                <w:szCs w:val="18"/>
              </w:rPr>
              <w:t>VPS Classifications, June 2024</w:t>
            </w:r>
          </w:p>
          <w:p w14:paraId="6BEE721F" w14:textId="77777777" w:rsidR="00785144" w:rsidRPr="00A43B0D" w:rsidRDefault="00785144">
            <w:pPr>
              <w:spacing w:line="278" w:lineRule="auto"/>
              <w:rPr>
                <w:sz w:val="18"/>
                <w:szCs w:val="18"/>
              </w:rPr>
            </w:pPr>
            <w:r>
              <w:rPr>
                <w:noProof/>
              </w:rPr>
              <w:drawing>
                <wp:inline distT="0" distB="0" distL="0" distR="0" wp14:anchorId="79FE5370" wp14:editId="530D4015">
                  <wp:extent cx="2390986" cy="1702883"/>
                  <wp:effectExtent l="0" t="0" r="0" b="0"/>
                  <wp:docPr id="1166316906" name="Picture 1" descr="A graph of blue bar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16906" name="Picture 1" descr="A graph of blue bars with white text&#10;&#10;AI-generated content may be incorrec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06043" cy="1713607"/>
                          </a:xfrm>
                          <a:prstGeom prst="rect">
                            <a:avLst/>
                          </a:prstGeom>
                        </pic:spPr>
                      </pic:pic>
                    </a:graphicData>
                  </a:graphic>
                </wp:inline>
              </w:drawing>
            </w:r>
          </w:p>
        </w:tc>
        <w:tc>
          <w:tcPr>
            <w:tcW w:w="4508" w:type="dxa"/>
          </w:tcPr>
          <w:p w14:paraId="359D0E6A" w14:textId="77777777" w:rsidR="00785144" w:rsidRPr="00354732" w:rsidRDefault="00785144">
            <w:pPr>
              <w:rPr>
                <w:rFonts w:asciiTheme="majorHAnsi" w:hAnsiTheme="majorHAnsi"/>
                <w:b/>
                <w:bCs/>
                <w:color w:val="0F4761" w:themeColor="accent1" w:themeShade="BF"/>
                <w:szCs w:val="22"/>
              </w:rPr>
            </w:pPr>
            <w:r w:rsidRPr="00354732">
              <w:rPr>
                <w:rFonts w:asciiTheme="majorHAnsi" w:hAnsiTheme="majorHAnsi"/>
                <w:b/>
                <w:bCs/>
                <w:color w:val="0F4761" w:themeColor="accent1" w:themeShade="BF"/>
                <w:szCs w:val="22"/>
              </w:rPr>
              <w:t>Demand pressures</w:t>
            </w:r>
          </w:p>
          <w:p w14:paraId="653EDBC9" w14:textId="77777777" w:rsidR="00785144" w:rsidRPr="00910241" w:rsidRDefault="00785144" w:rsidP="00785144">
            <w:pPr>
              <w:numPr>
                <w:ilvl w:val="0"/>
                <w:numId w:val="85"/>
              </w:numPr>
              <w:ind w:left="414" w:hanging="357"/>
              <w:rPr>
                <w:sz w:val="18"/>
                <w:szCs w:val="18"/>
              </w:rPr>
            </w:pPr>
            <w:r w:rsidRPr="00910241">
              <w:rPr>
                <w:sz w:val="18"/>
                <w:szCs w:val="18"/>
              </w:rPr>
              <w:t xml:space="preserve">Rapid advances in technology and growing cyber risks are increasing pressure to </w:t>
            </w:r>
            <w:proofErr w:type="spellStart"/>
            <w:r w:rsidRPr="00910241">
              <w:rPr>
                <w:sz w:val="18"/>
                <w:szCs w:val="18"/>
              </w:rPr>
              <w:t>modernise</w:t>
            </w:r>
            <w:proofErr w:type="spellEnd"/>
            <w:r w:rsidRPr="00910241">
              <w:rPr>
                <w:sz w:val="18"/>
                <w:szCs w:val="18"/>
              </w:rPr>
              <w:t xml:space="preserve"> digital service delivery while maintaining privacy, security, and service resilience.</w:t>
            </w:r>
            <w:r w:rsidRPr="00910241">
              <w:rPr>
                <w:sz w:val="18"/>
                <w:szCs w:val="18"/>
                <w:vertAlign w:val="superscript"/>
              </w:rPr>
              <w:t>1</w:t>
            </w:r>
          </w:p>
          <w:p w14:paraId="3782A1B6" w14:textId="77777777" w:rsidR="00785144" w:rsidRPr="00910241" w:rsidRDefault="00785144" w:rsidP="00785144">
            <w:pPr>
              <w:numPr>
                <w:ilvl w:val="0"/>
                <w:numId w:val="85"/>
              </w:numPr>
              <w:ind w:left="414" w:hanging="357"/>
              <w:rPr>
                <w:sz w:val="18"/>
                <w:szCs w:val="18"/>
              </w:rPr>
            </w:pPr>
            <w:r w:rsidRPr="00910241">
              <w:rPr>
                <w:sz w:val="18"/>
                <w:szCs w:val="18"/>
              </w:rPr>
              <w:t>Cost of living pressures are driving higher demand for support services such as consumer rights enforcement and concessions.</w:t>
            </w:r>
            <w:r w:rsidRPr="00910241">
              <w:rPr>
                <w:sz w:val="18"/>
                <w:szCs w:val="18"/>
                <w:vertAlign w:val="superscript"/>
              </w:rPr>
              <w:t>1</w:t>
            </w:r>
          </w:p>
          <w:p w14:paraId="298287FA" w14:textId="77777777" w:rsidR="00785144" w:rsidRPr="003429FF" w:rsidRDefault="00785144">
            <w:pPr>
              <w:spacing w:line="278" w:lineRule="auto"/>
              <w:rPr>
                <w:sz w:val="18"/>
                <w:szCs w:val="18"/>
              </w:rPr>
            </w:pPr>
          </w:p>
        </w:tc>
      </w:tr>
      <w:tr w:rsidR="00785144" w:rsidRPr="00A43B0D" w14:paraId="6A380217" w14:textId="77777777">
        <w:trPr>
          <w:trHeight w:val="4238"/>
        </w:trPr>
        <w:tc>
          <w:tcPr>
            <w:tcW w:w="4508" w:type="dxa"/>
          </w:tcPr>
          <w:p w14:paraId="56A3057E" w14:textId="77777777" w:rsidR="00AD7443" w:rsidRDefault="00AD7443" w:rsidP="00AD7443">
            <w:pPr>
              <w:rPr>
                <w:rFonts w:asciiTheme="majorHAnsi" w:hAnsiTheme="majorHAnsi"/>
                <w:b/>
                <w:bCs/>
                <w:color w:val="0F4761" w:themeColor="accent1" w:themeShade="BF"/>
                <w:szCs w:val="22"/>
              </w:rPr>
            </w:pPr>
          </w:p>
          <w:p w14:paraId="2209D8DB" w14:textId="77777777" w:rsidR="00AD7443" w:rsidRPr="000264EC" w:rsidRDefault="00AD7443" w:rsidP="00AD7443">
            <w:pPr>
              <w:rPr>
                <w:szCs w:val="22"/>
              </w:rPr>
            </w:pPr>
            <w:r w:rsidRPr="0078732A">
              <w:rPr>
                <w:rFonts w:asciiTheme="majorHAnsi" w:hAnsiTheme="majorHAnsi"/>
                <w:b/>
                <w:bCs/>
                <w:color w:val="0F4761" w:themeColor="accent1" w:themeShade="BF"/>
                <w:szCs w:val="22"/>
              </w:rPr>
              <w:t>Output expenditure</w:t>
            </w:r>
            <w:r w:rsidRPr="00113FD8">
              <w:rPr>
                <w:szCs w:val="22"/>
                <w:vertAlign w:val="superscript"/>
              </w:rPr>
              <w:t>†</w:t>
            </w:r>
            <w:r w:rsidRPr="000264EC">
              <w:rPr>
                <w:szCs w:val="22"/>
              </w:rPr>
              <w:br/>
            </w:r>
            <w:r w:rsidRPr="00113FD8">
              <w:rPr>
                <w:b/>
                <w:sz w:val="18"/>
                <w:szCs w:val="18"/>
              </w:rPr>
              <w:t xml:space="preserve">$ </w:t>
            </w:r>
            <w:proofErr w:type="gramStart"/>
            <w:r w:rsidRPr="00113FD8">
              <w:rPr>
                <w:b/>
                <w:sz w:val="18"/>
                <w:szCs w:val="18"/>
              </w:rPr>
              <w:t>millions</w:t>
            </w:r>
            <w:proofErr w:type="gramEnd"/>
            <w:r w:rsidRPr="00113FD8">
              <w:rPr>
                <w:b/>
                <w:sz w:val="18"/>
                <w:szCs w:val="18"/>
              </w:rPr>
              <w:t>, 2023/24</w:t>
            </w:r>
          </w:p>
          <w:p w14:paraId="6ED0FB9C" w14:textId="77777777" w:rsidR="00785144" w:rsidRPr="00A43B0D" w:rsidRDefault="00785144">
            <w:pPr>
              <w:spacing w:line="278" w:lineRule="auto"/>
              <w:rPr>
                <w:sz w:val="18"/>
                <w:szCs w:val="18"/>
              </w:rPr>
            </w:pPr>
            <w:r>
              <w:rPr>
                <w:noProof/>
              </w:rPr>
              <w:drawing>
                <wp:inline distT="0" distB="0" distL="0" distR="0" wp14:anchorId="5A30C95E" wp14:editId="3E604F34">
                  <wp:extent cx="2319813" cy="1910777"/>
                  <wp:effectExtent l="0" t="0" r="4445" b="0"/>
                  <wp:docPr id="1864990770" name="Picture 1" descr="A graph of blue rectangular bar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90770" name="Picture 1" descr="A graph of blue rectangular bars with white text&#10;&#10;AI-generated content may be incorrec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19813" cy="1910777"/>
                          </a:xfrm>
                          <a:prstGeom prst="rect">
                            <a:avLst/>
                          </a:prstGeom>
                        </pic:spPr>
                      </pic:pic>
                    </a:graphicData>
                  </a:graphic>
                </wp:inline>
              </w:drawing>
            </w:r>
          </w:p>
        </w:tc>
        <w:tc>
          <w:tcPr>
            <w:tcW w:w="4508" w:type="dxa"/>
          </w:tcPr>
          <w:p w14:paraId="62517666" w14:textId="77777777" w:rsidR="00785144" w:rsidRPr="00A43B0D" w:rsidRDefault="00785144">
            <w:pPr>
              <w:spacing w:line="278" w:lineRule="auto"/>
              <w:rPr>
                <w:sz w:val="18"/>
                <w:szCs w:val="18"/>
              </w:rPr>
            </w:pPr>
            <w:r w:rsidRPr="00A43B0D">
              <w:rPr>
                <w:noProof/>
                <w:sz w:val="18"/>
                <w:szCs w:val="18"/>
              </w:rPr>
              <w:drawing>
                <wp:anchor distT="0" distB="0" distL="114300" distR="114300" simplePos="0" relativeHeight="251658258" behindDoc="0" locked="0" layoutInCell="1" allowOverlap="1" wp14:anchorId="3F3C7EAD" wp14:editId="0ED495C2">
                  <wp:simplePos x="0" y="0"/>
                  <wp:positionH relativeFrom="column">
                    <wp:posOffset>321310</wp:posOffset>
                  </wp:positionH>
                  <wp:positionV relativeFrom="paragraph">
                    <wp:posOffset>2099310</wp:posOffset>
                  </wp:positionV>
                  <wp:extent cx="287655" cy="287655"/>
                  <wp:effectExtent l="0" t="0" r="0" b="0"/>
                  <wp:wrapNone/>
                  <wp:docPr id="1604209175" name="Picture 19" descr="A white logo with a black background&#10;&#10;AI-generated content may be incorrect.">
                    <a:extLst xmlns:a="http://schemas.openxmlformats.org/drawingml/2006/main">
                      <a:ext uri="{FF2B5EF4-FFF2-40B4-BE49-F238E27FC236}">
                        <a16:creationId xmlns:a16="http://schemas.microsoft.com/office/drawing/2014/main" id="{CFC0251D-C711-4D06-A2C1-500418CBC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9" descr="A white logo with a black background&#10;&#10;AI-generated content may be incorrect.">
                            <a:extLst>
                              <a:ext uri="{FF2B5EF4-FFF2-40B4-BE49-F238E27FC236}">
                                <a16:creationId xmlns:a16="http://schemas.microsoft.com/office/drawing/2014/main" id="{CFC0251D-C711-4D06-A2C1-500418CBCF3C}"/>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pic:spPr>
                      </pic:pic>
                    </a:graphicData>
                  </a:graphic>
                  <wp14:sizeRelH relativeFrom="page">
                    <wp14:pctWidth>0</wp14:pctWidth>
                  </wp14:sizeRelH>
                  <wp14:sizeRelV relativeFrom="page">
                    <wp14:pctHeight>0</wp14:pctHeight>
                  </wp14:sizeRelV>
                </wp:anchor>
              </w:drawing>
            </w:r>
            <w:r w:rsidRPr="00A43B0D">
              <w:rPr>
                <w:noProof/>
                <w:sz w:val="18"/>
                <w:szCs w:val="18"/>
              </w:rPr>
              <w:drawing>
                <wp:anchor distT="0" distB="0" distL="114300" distR="114300" simplePos="0" relativeHeight="251658257" behindDoc="0" locked="0" layoutInCell="1" allowOverlap="1" wp14:anchorId="0C81DDF7" wp14:editId="6D2CFFD4">
                  <wp:simplePos x="0" y="0"/>
                  <wp:positionH relativeFrom="column">
                    <wp:posOffset>309245</wp:posOffset>
                  </wp:positionH>
                  <wp:positionV relativeFrom="paragraph">
                    <wp:posOffset>1600835</wp:posOffset>
                  </wp:positionV>
                  <wp:extent cx="287655" cy="287655"/>
                  <wp:effectExtent l="0" t="0" r="0" b="0"/>
                  <wp:wrapNone/>
                  <wp:docPr id="590513008" name="Picture 17" descr="A white dollar sign in a circle&#10;&#10;AI-generated content may be incorrect.">
                    <a:extLst xmlns:a="http://schemas.openxmlformats.org/drawingml/2006/main">
                      <a:ext uri="{FF2B5EF4-FFF2-40B4-BE49-F238E27FC236}">
                        <a16:creationId xmlns:a16="http://schemas.microsoft.com/office/drawing/2014/main" id="{5E95BA44-000E-5F82-4AD1-8DDFA53A9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7" descr="A white dollar sign in a circle&#10;&#10;AI-generated content may be incorrect.">
                            <a:extLst>
                              <a:ext uri="{FF2B5EF4-FFF2-40B4-BE49-F238E27FC236}">
                                <a16:creationId xmlns:a16="http://schemas.microsoft.com/office/drawing/2014/main" id="{5E95BA44-000E-5F82-4AD1-8DDFA53A9737}"/>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pic:spPr>
                      </pic:pic>
                    </a:graphicData>
                  </a:graphic>
                  <wp14:sizeRelH relativeFrom="page">
                    <wp14:pctWidth>0</wp14:pctWidth>
                  </wp14:sizeRelH>
                  <wp14:sizeRelV relativeFrom="page">
                    <wp14:pctHeight>0</wp14:pctHeight>
                  </wp14:sizeRelV>
                </wp:anchor>
              </w:drawing>
            </w:r>
            <w:r w:rsidRPr="00A43B0D">
              <w:rPr>
                <w:noProof/>
                <w:sz w:val="18"/>
                <w:szCs w:val="18"/>
              </w:rPr>
              <mc:AlternateContent>
                <mc:Choice Requires="wps">
                  <w:drawing>
                    <wp:anchor distT="0" distB="0" distL="114300" distR="114300" simplePos="0" relativeHeight="251658256" behindDoc="0" locked="0" layoutInCell="1" allowOverlap="1" wp14:anchorId="725F6392" wp14:editId="507BC61C">
                      <wp:simplePos x="0" y="0"/>
                      <wp:positionH relativeFrom="column">
                        <wp:posOffset>85931</wp:posOffset>
                      </wp:positionH>
                      <wp:positionV relativeFrom="paragraph">
                        <wp:posOffset>1211580</wp:posOffset>
                      </wp:positionV>
                      <wp:extent cx="2699385" cy="1475740"/>
                      <wp:effectExtent l="0" t="0" r="5715" b="0"/>
                      <wp:wrapNone/>
                      <wp:docPr id="1302842186" name="TextBox 48"/>
                      <wp:cNvGraphicFramePr/>
                      <a:graphic xmlns:a="http://schemas.openxmlformats.org/drawingml/2006/main">
                        <a:graphicData uri="http://schemas.microsoft.com/office/word/2010/wordprocessingShape">
                          <wps:wsp>
                            <wps:cNvSpPr txBox="1"/>
                            <wps:spPr>
                              <a:xfrm>
                                <a:off x="0" y="0"/>
                                <a:ext cx="2699385" cy="1475740"/>
                              </a:xfrm>
                              <a:prstGeom prst="roundRect">
                                <a:avLst>
                                  <a:gd name="adj" fmla="val 4000"/>
                                </a:avLst>
                              </a:prstGeom>
                              <a:solidFill>
                                <a:schemeClr val="accent1"/>
                              </a:solidFill>
                            </wps:spPr>
                            <wps:txbx>
                              <w:txbxContent>
                                <w:p w14:paraId="7CD51E76" w14:textId="77777777" w:rsidR="00785144" w:rsidRPr="00B038FB" w:rsidRDefault="00785144" w:rsidP="00785144">
                                  <w:pPr>
                                    <w:rPr>
                                      <w:rFonts w:hAnsi="Aptos"/>
                                      <w:b/>
                                      <w:color w:val="FFFFFF" w:themeColor="background1"/>
                                      <w:kern w:val="24"/>
                                      <w:szCs w:val="22"/>
                                      <w14:ligatures w14:val="none"/>
                                    </w:rPr>
                                  </w:pPr>
                                  <w:r w:rsidRPr="00B038FB">
                                    <w:rPr>
                                      <w:rFonts w:hAnsi="Aptos"/>
                                      <w:b/>
                                      <w:color w:val="FFFFFF" w:themeColor="background1"/>
                                      <w:kern w:val="24"/>
                                      <w:szCs w:val="22"/>
                                    </w:rPr>
                                    <w:t xml:space="preserve">Review’s recommended savings </w:t>
                                  </w:r>
                                </w:p>
                                <w:p w14:paraId="16FE8FC1" w14:textId="77777777" w:rsidR="00785144" w:rsidRDefault="00785144" w:rsidP="00785144">
                                  <w:pPr>
                                    <w:ind w:left="720"/>
                                    <w:rPr>
                                      <w:rFonts w:hAnsi="Aptos"/>
                                      <w:color w:val="FFFFFF" w:themeColor="background1"/>
                                      <w:kern w:val="24"/>
                                      <w:sz w:val="32"/>
                                      <w:szCs w:val="32"/>
                                    </w:rPr>
                                  </w:pPr>
                                  <w:r w:rsidRPr="00B038FB">
                                    <w:rPr>
                                      <w:rFonts w:hAnsi="Aptos"/>
                                      <w:b/>
                                      <w:bCs/>
                                      <w:color w:val="FFFFFF" w:themeColor="background1"/>
                                      <w:kern w:val="24"/>
                                      <w:szCs w:val="22"/>
                                    </w:rPr>
                                    <w:t>$97 million</w:t>
                                  </w:r>
                                  <w:r>
                                    <w:rPr>
                                      <w:rFonts w:hAnsi="Aptos"/>
                                      <w:color w:val="FFFFFF" w:themeColor="background1"/>
                                      <w:kern w:val="24"/>
                                      <w:sz w:val="32"/>
                                      <w:szCs w:val="32"/>
                                    </w:rPr>
                                    <w:br/>
                                  </w:r>
                                  <w:r w:rsidRPr="00B038FB">
                                    <w:rPr>
                                      <w:rFonts w:hAnsi="Aptos"/>
                                      <w:color w:val="FFFFFF" w:themeColor="background1"/>
                                      <w:kern w:val="24"/>
                                      <w:sz w:val="20"/>
                                      <w:szCs w:val="20"/>
                                    </w:rPr>
                                    <w:t>2025</w:t>
                                  </w:r>
                                  <w:r w:rsidRPr="00B038FB">
                                    <w:rPr>
                                      <w:color w:val="FFFFFF" w:themeColor="background1"/>
                                      <w:kern w:val="24"/>
                                      <w:sz w:val="20"/>
                                      <w:szCs w:val="20"/>
                                    </w:rPr>
                                    <w:t>–</w:t>
                                  </w:r>
                                  <w:r w:rsidRPr="00B038FB">
                                    <w:rPr>
                                      <w:rFonts w:hAnsi="Aptos"/>
                                      <w:color w:val="FFFFFF" w:themeColor="background1"/>
                                      <w:kern w:val="24"/>
                                      <w:sz w:val="20"/>
                                      <w:szCs w:val="20"/>
                                    </w:rPr>
                                    <w:t>26 to 2028</w:t>
                                  </w:r>
                                  <w:r w:rsidRPr="00B038FB">
                                    <w:rPr>
                                      <w:color w:val="FFFFFF" w:themeColor="background1"/>
                                      <w:kern w:val="24"/>
                                      <w:sz w:val="20"/>
                                      <w:szCs w:val="20"/>
                                    </w:rPr>
                                    <w:t>–</w:t>
                                  </w:r>
                                  <w:r w:rsidRPr="00B038FB">
                                    <w:rPr>
                                      <w:rFonts w:hAnsi="Aptos"/>
                                      <w:color w:val="FFFFFF" w:themeColor="background1"/>
                                      <w:kern w:val="24"/>
                                      <w:sz w:val="20"/>
                                      <w:szCs w:val="20"/>
                                    </w:rPr>
                                    <w:t>29</w:t>
                                  </w:r>
                                </w:p>
                                <w:p w14:paraId="3EDD8E65" w14:textId="77777777" w:rsidR="00785144" w:rsidRDefault="00785144" w:rsidP="00785144">
                                  <w:pPr>
                                    <w:ind w:left="720"/>
                                    <w:rPr>
                                      <w:rFonts w:hAnsi="Aptos"/>
                                      <w:color w:val="FFFFFF" w:themeColor="background1"/>
                                      <w:kern w:val="24"/>
                                      <w:sz w:val="32"/>
                                      <w:szCs w:val="32"/>
                                    </w:rPr>
                                  </w:pPr>
                                  <w:r w:rsidRPr="00B038FB">
                                    <w:rPr>
                                      <w:rFonts w:hAnsi="Aptos"/>
                                      <w:b/>
                                      <w:bCs/>
                                      <w:color w:val="FFFFFF" w:themeColor="background1"/>
                                      <w:kern w:val="24"/>
                                      <w:szCs w:val="22"/>
                                    </w:rPr>
                                    <w:t>77 staff</w:t>
                                  </w:r>
                                  <w:r>
                                    <w:rPr>
                                      <w:rFonts w:hAnsi="Aptos"/>
                                      <w:color w:val="FFFFFF" w:themeColor="background1"/>
                                      <w:kern w:val="24"/>
                                      <w:sz w:val="32"/>
                                      <w:szCs w:val="32"/>
                                    </w:rPr>
                                    <w:br/>
                                  </w:r>
                                  <w:r w:rsidRPr="00B038FB">
                                    <w:rPr>
                                      <w:rFonts w:hAnsi="Aptos"/>
                                      <w:color w:val="FFFFFF" w:themeColor="background1"/>
                                      <w:kern w:val="24"/>
                                      <w:sz w:val="20"/>
                                      <w:szCs w:val="20"/>
                                    </w:rPr>
                                    <w:t>Ongoing FTE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725F6392" id="_x0000_s1100" style="position:absolute;margin-left:6.75pt;margin-top:95.4pt;width:212.55pt;height:116.2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6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" fillcolor="#156082 [3204]" stroked="f">
                      <v:textbox>
                        <w:txbxContent>
                          <w:p w14:paraId="7CD51E76" w14:textId="77777777" w:rsidR="00785144" w:rsidRPr="00B038FB" w:rsidRDefault="00785144" w:rsidP="00785144">
                            <w:pPr>
                              <w:rPr>
                                <w:rFonts w:hAnsi="Aptos"/>
                                <w:b/>
                                <w:color w:val="FFFFFF" w:themeColor="background1"/>
                                <w:kern w:val="24"/>
                                <w:szCs w:val="22"/>
                                <w14:ligatures w14:val="none"/>
                              </w:rPr>
                            </w:pPr>
                            <w:r w:rsidRPr="00B038FB">
                              <w:rPr>
                                <w:rFonts w:hAnsi="Aptos"/>
                                <w:b/>
                                <w:color w:val="FFFFFF" w:themeColor="background1"/>
                                <w:kern w:val="24"/>
                                <w:szCs w:val="22"/>
                              </w:rPr>
                              <w:t xml:space="preserve">Review’s recommended savings </w:t>
                            </w:r>
                          </w:p>
                          <w:p w14:paraId="16FE8FC1" w14:textId="77777777" w:rsidR="00785144" w:rsidRDefault="00785144" w:rsidP="00785144">
                            <w:pPr>
                              <w:ind w:left="720"/>
                              <w:rPr>
                                <w:rFonts w:hAnsi="Aptos"/>
                                <w:color w:val="FFFFFF" w:themeColor="background1"/>
                                <w:kern w:val="24"/>
                                <w:sz w:val="32"/>
                                <w:szCs w:val="32"/>
                              </w:rPr>
                            </w:pPr>
                            <w:r w:rsidRPr="00B038FB">
                              <w:rPr>
                                <w:rFonts w:hAnsi="Aptos"/>
                                <w:b/>
                                <w:bCs/>
                                <w:color w:val="FFFFFF" w:themeColor="background1"/>
                                <w:kern w:val="24"/>
                                <w:szCs w:val="22"/>
                              </w:rPr>
                              <w:t>$97 million</w:t>
                            </w:r>
                            <w:r>
                              <w:rPr>
                                <w:rFonts w:hAnsi="Aptos"/>
                                <w:color w:val="FFFFFF" w:themeColor="background1"/>
                                <w:kern w:val="24"/>
                                <w:sz w:val="32"/>
                                <w:szCs w:val="32"/>
                              </w:rPr>
                              <w:br/>
                            </w:r>
                            <w:r w:rsidRPr="00B038FB">
                              <w:rPr>
                                <w:rFonts w:hAnsi="Aptos"/>
                                <w:color w:val="FFFFFF" w:themeColor="background1"/>
                                <w:kern w:val="24"/>
                                <w:sz w:val="20"/>
                                <w:szCs w:val="20"/>
                              </w:rPr>
                              <w:t>2025</w:t>
                            </w:r>
                            <w:r w:rsidRPr="00B038FB">
                              <w:rPr>
                                <w:color w:val="FFFFFF" w:themeColor="background1"/>
                                <w:kern w:val="24"/>
                                <w:sz w:val="20"/>
                                <w:szCs w:val="20"/>
                              </w:rPr>
                              <w:t>–</w:t>
                            </w:r>
                            <w:r w:rsidRPr="00B038FB">
                              <w:rPr>
                                <w:rFonts w:hAnsi="Aptos"/>
                                <w:color w:val="FFFFFF" w:themeColor="background1"/>
                                <w:kern w:val="24"/>
                                <w:sz w:val="20"/>
                                <w:szCs w:val="20"/>
                              </w:rPr>
                              <w:t>26 to 2028</w:t>
                            </w:r>
                            <w:r w:rsidRPr="00B038FB">
                              <w:rPr>
                                <w:color w:val="FFFFFF" w:themeColor="background1"/>
                                <w:kern w:val="24"/>
                                <w:sz w:val="20"/>
                                <w:szCs w:val="20"/>
                              </w:rPr>
                              <w:t>–</w:t>
                            </w:r>
                            <w:r w:rsidRPr="00B038FB">
                              <w:rPr>
                                <w:rFonts w:hAnsi="Aptos"/>
                                <w:color w:val="FFFFFF" w:themeColor="background1"/>
                                <w:kern w:val="24"/>
                                <w:sz w:val="20"/>
                                <w:szCs w:val="20"/>
                              </w:rPr>
                              <w:t>29</w:t>
                            </w:r>
                          </w:p>
                          <w:p w14:paraId="3EDD8E65" w14:textId="77777777" w:rsidR="00785144" w:rsidRDefault="00785144" w:rsidP="00785144">
                            <w:pPr>
                              <w:ind w:left="720"/>
                              <w:rPr>
                                <w:rFonts w:hAnsi="Aptos"/>
                                <w:color w:val="FFFFFF" w:themeColor="background1"/>
                                <w:kern w:val="24"/>
                                <w:sz w:val="32"/>
                                <w:szCs w:val="32"/>
                              </w:rPr>
                            </w:pPr>
                            <w:r w:rsidRPr="00B038FB">
                              <w:rPr>
                                <w:rFonts w:hAnsi="Aptos"/>
                                <w:b/>
                                <w:bCs/>
                                <w:color w:val="FFFFFF" w:themeColor="background1"/>
                                <w:kern w:val="24"/>
                                <w:szCs w:val="22"/>
                              </w:rPr>
                              <w:t>77 staff</w:t>
                            </w:r>
                            <w:r>
                              <w:rPr>
                                <w:rFonts w:hAnsi="Aptos"/>
                                <w:color w:val="FFFFFF" w:themeColor="background1"/>
                                <w:kern w:val="24"/>
                                <w:sz w:val="32"/>
                                <w:szCs w:val="32"/>
                              </w:rPr>
                              <w:br/>
                            </w:r>
                            <w:r w:rsidRPr="00B038FB">
                              <w:rPr>
                                <w:rFonts w:hAnsi="Aptos"/>
                                <w:color w:val="FFFFFF" w:themeColor="background1"/>
                                <w:kern w:val="24"/>
                                <w:sz w:val="20"/>
                                <w:szCs w:val="20"/>
                              </w:rPr>
                              <w:t>Ongoing FTE</w:t>
                            </w:r>
                          </w:p>
                        </w:txbxContent>
                      </v:textbox>
                    </v:roundrect>
                  </w:pict>
                </mc:Fallback>
              </mc:AlternateContent>
            </w:r>
          </w:p>
        </w:tc>
      </w:tr>
      <w:tr w:rsidR="00785144" w:rsidRPr="00A43B0D" w14:paraId="1CB7EFED" w14:textId="77777777">
        <w:trPr>
          <w:trHeight w:val="521"/>
        </w:trPr>
        <w:tc>
          <w:tcPr>
            <w:tcW w:w="9016" w:type="dxa"/>
            <w:gridSpan w:val="2"/>
          </w:tcPr>
          <w:p w14:paraId="01B520CC" w14:textId="77777777" w:rsidR="00785144" w:rsidRPr="003E09ED" w:rsidRDefault="00785144" w:rsidP="00785144">
            <w:pPr>
              <w:pStyle w:val="ListParagraph"/>
              <w:numPr>
                <w:ilvl w:val="0"/>
                <w:numId w:val="89"/>
              </w:numPr>
              <w:rPr>
                <w:sz w:val="12"/>
                <w:szCs w:val="12"/>
              </w:rPr>
            </w:pPr>
            <w:r>
              <w:rPr>
                <w:i/>
                <w:iCs/>
                <w:sz w:val="12"/>
                <w:szCs w:val="12"/>
              </w:rPr>
              <w:t>DGS,</w:t>
            </w:r>
            <w:r w:rsidRPr="00C51A51">
              <w:rPr>
                <w:i/>
                <w:iCs/>
                <w:sz w:val="12"/>
                <w:szCs w:val="12"/>
              </w:rPr>
              <w:t xml:space="preserve"> Corporate Plan 2024-2028</w:t>
            </w:r>
            <w:r w:rsidRPr="00C51A51">
              <w:rPr>
                <w:sz w:val="12"/>
                <w:szCs w:val="12"/>
              </w:rPr>
              <w:t>, 2024</w:t>
            </w:r>
            <w:r>
              <w:rPr>
                <w:sz w:val="12"/>
                <w:szCs w:val="12"/>
              </w:rPr>
              <w:t>.</w:t>
            </w:r>
          </w:p>
        </w:tc>
      </w:tr>
    </w:tbl>
    <w:p w14:paraId="5196B990" w14:textId="77777777" w:rsidR="00785144" w:rsidRDefault="00785144" w:rsidP="00785144">
      <w:pPr>
        <w:rPr>
          <w:i/>
          <w:iCs/>
          <w:szCs w:val="22"/>
        </w:rPr>
      </w:pPr>
    </w:p>
    <w:tbl>
      <w:tblPr>
        <w:tblStyle w:val="TableGrid"/>
        <w:tblW w:w="3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296"/>
      </w:tblGrid>
      <w:tr w:rsidR="00785144" w:rsidRPr="00A43B0D" w14:paraId="6EBB2D83" w14:textId="77777777">
        <w:trPr>
          <w:trHeight w:val="458"/>
        </w:trPr>
        <w:tc>
          <w:tcPr>
            <w:tcW w:w="3909" w:type="dxa"/>
            <w:gridSpan w:val="2"/>
          </w:tcPr>
          <w:p w14:paraId="1E599BD0" w14:textId="77777777" w:rsidR="00785144" w:rsidRPr="00303A8B" w:rsidRDefault="00785144" w:rsidP="00303A8B">
            <w:pPr>
              <w:pStyle w:val="Heading3"/>
              <w:rPr>
                <w:rFonts w:asciiTheme="majorHAnsi" w:hAnsiTheme="majorHAnsi"/>
                <w:sz w:val="32"/>
                <w:szCs w:val="32"/>
              </w:rPr>
            </w:pPr>
            <w:r w:rsidRPr="00303A8B">
              <w:rPr>
                <w:rFonts w:asciiTheme="majorHAnsi" w:hAnsiTheme="majorHAnsi"/>
                <w:sz w:val="32"/>
                <w:szCs w:val="32"/>
              </w:rPr>
              <w:lastRenderedPageBreak/>
              <w:t>Department of Health (DH)</w:t>
            </w:r>
          </w:p>
        </w:tc>
      </w:tr>
      <w:tr w:rsidR="00785144" w:rsidRPr="00A43B0D" w14:paraId="0EF7A040" w14:textId="77777777">
        <w:trPr>
          <w:trHeight w:val="281"/>
        </w:trPr>
        <w:tc>
          <w:tcPr>
            <w:tcW w:w="3909" w:type="dxa"/>
            <w:gridSpan w:val="2"/>
          </w:tcPr>
          <w:p w14:paraId="7F522F90" w14:textId="7A611DE0" w:rsidR="00785144" w:rsidRPr="00A43B0D" w:rsidRDefault="00785144">
            <w:pPr>
              <w:spacing w:line="278" w:lineRule="auto"/>
              <w:rPr>
                <w:sz w:val="18"/>
                <w:szCs w:val="18"/>
              </w:rPr>
            </w:pPr>
            <w:r w:rsidRPr="00E54DEA">
              <w:rPr>
                <w:sz w:val="18"/>
                <w:szCs w:val="18"/>
              </w:rPr>
              <w:t>Developing and delivering policies, programs and services that support, protect and enhance the health, wellbeing and safety of all Victorians.</w:t>
            </w:r>
          </w:p>
        </w:tc>
      </w:tr>
      <w:tr w:rsidR="00785144" w:rsidRPr="00A43B0D" w14:paraId="7A51114A" w14:textId="77777777" w:rsidTr="00303A8B">
        <w:trPr>
          <w:trHeight w:val="758"/>
        </w:trPr>
        <w:tc>
          <w:tcPr>
            <w:tcW w:w="1955" w:type="dxa"/>
          </w:tcPr>
          <w:p w14:paraId="4CCB7152" w14:textId="77777777" w:rsidR="00785144" w:rsidRPr="00A43B0D" w:rsidRDefault="00785144">
            <w:pPr>
              <w:spacing w:line="278" w:lineRule="auto"/>
              <w:rPr>
                <w:sz w:val="18"/>
                <w:szCs w:val="18"/>
              </w:rPr>
            </w:pPr>
            <w:r>
              <w:rPr>
                <w:noProof/>
              </w:rPr>
              <w:drawing>
                <wp:inline distT="0" distB="0" distL="0" distR="0" wp14:anchorId="376BF391" wp14:editId="0FCB551C">
                  <wp:extent cx="2542737" cy="390111"/>
                  <wp:effectExtent l="0" t="0" r="0" b="0"/>
                  <wp:docPr id="290463299"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63299" name="Picture 1" descr="A close-up of a text&#10;&#10;AI-generated content may be incorrec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542737" cy="390111"/>
                          </a:xfrm>
                          <a:prstGeom prst="rect">
                            <a:avLst/>
                          </a:prstGeom>
                        </pic:spPr>
                      </pic:pic>
                    </a:graphicData>
                  </a:graphic>
                </wp:inline>
              </w:drawing>
            </w:r>
          </w:p>
        </w:tc>
        <w:tc>
          <w:tcPr>
            <w:tcW w:w="1953" w:type="dxa"/>
          </w:tcPr>
          <w:p w14:paraId="33C727DD" w14:textId="77777777" w:rsidR="00785144" w:rsidRPr="00A43B0D" w:rsidRDefault="00785144">
            <w:pPr>
              <w:spacing w:line="278" w:lineRule="auto"/>
              <w:rPr>
                <w:sz w:val="18"/>
                <w:szCs w:val="18"/>
              </w:rPr>
            </w:pPr>
            <w:r>
              <w:rPr>
                <w:noProof/>
              </w:rPr>
              <w:drawing>
                <wp:inline distT="0" distB="0" distL="0" distR="0" wp14:anchorId="1CC57DA2" wp14:editId="068CD723">
                  <wp:extent cx="2588684" cy="372749"/>
                  <wp:effectExtent l="0" t="0" r="2540" b="8255"/>
                  <wp:docPr id="962970374"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70374" name="Picture 1" descr="A close-up of a sign&#10;&#10;AI-generated content may be incorrec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88684" cy="372749"/>
                          </a:xfrm>
                          <a:prstGeom prst="rect">
                            <a:avLst/>
                          </a:prstGeom>
                        </pic:spPr>
                      </pic:pic>
                    </a:graphicData>
                  </a:graphic>
                </wp:inline>
              </w:drawing>
            </w:r>
          </w:p>
        </w:tc>
      </w:tr>
      <w:tr w:rsidR="00785144" w:rsidRPr="00A43B0D" w14:paraId="02671AEB" w14:textId="77777777">
        <w:trPr>
          <w:trHeight w:val="940"/>
        </w:trPr>
        <w:tc>
          <w:tcPr>
            <w:tcW w:w="1955" w:type="dxa"/>
          </w:tcPr>
          <w:p w14:paraId="13113314" w14:textId="77777777" w:rsidR="00785144" w:rsidRPr="00354732" w:rsidRDefault="00785144">
            <w:pPr>
              <w:rPr>
                <w:rFonts w:asciiTheme="majorHAnsi" w:hAnsiTheme="majorHAnsi"/>
                <w:b/>
                <w:bCs/>
                <w:color w:val="0F4761" w:themeColor="accent1" w:themeShade="BF"/>
                <w:szCs w:val="22"/>
              </w:rPr>
            </w:pPr>
            <w:r w:rsidRPr="00354732">
              <w:rPr>
                <w:rFonts w:asciiTheme="majorHAnsi" w:hAnsiTheme="majorHAnsi"/>
                <w:b/>
                <w:bCs/>
                <w:color w:val="0F4761" w:themeColor="accent1" w:themeShade="BF"/>
                <w:szCs w:val="22"/>
              </w:rPr>
              <w:t>Objectives</w:t>
            </w:r>
            <w:r w:rsidRPr="00354732">
              <w:rPr>
                <w:rFonts w:asciiTheme="majorHAnsi" w:hAnsiTheme="majorHAnsi"/>
                <w:b/>
                <w:bCs/>
                <w:color w:val="0F4761" w:themeColor="accent1" w:themeShade="BF"/>
                <w:szCs w:val="22"/>
                <w:vertAlign w:val="superscript"/>
              </w:rPr>
              <w:t>†</w:t>
            </w:r>
          </w:p>
          <w:p w14:paraId="15E14F06" w14:textId="77777777" w:rsidR="00785144" w:rsidRPr="00FE5383" w:rsidRDefault="00785144" w:rsidP="00785144">
            <w:pPr>
              <w:numPr>
                <w:ilvl w:val="0"/>
                <w:numId w:val="82"/>
              </w:numPr>
              <w:ind w:left="414" w:hanging="357"/>
              <w:rPr>
                <w:sz w:val="16"/>
                <w:szCs w:val="16"/>
              </w:rPr>
            </w:pPr>
            <w:r w:rsidRPr="00FE5383">
              <w:rPr>
                <w:sz w:val="16"/>
                <w:szCs w:val="16"/>
              </w:rPr>
              <w:t>Keep people healthy and safe in the community</w:t>
            </w:r>
          </w:p>
          <w:p w14:paraId="7FA15AF7" w14:textId="77777777" w:rsidR="00785144" w:rsidRPr="00FE5383" w:rsidRDefault="00785144" w:rsidP="00785144">
            <w:pPr>
              <w:numPr>
                <w:ilvl w:val="0"/>
                <w:numId w:val="82"/>
              </w:numPr>
              <w:ind w:left="414" w:hanging="357"/>
              <w:rPr>
                <w:sz w:val="16"/>
                <w:szCs w:val="16"/>
              </w:rPr>
            </w:pPr>
            <w:r w:rsidRPr="00FE5383">
              <w:rPr>
                <w:sz w:val="16"/>
                <w:szCs w:val="16"/>
              </w:rPr>
              <w:t>Care closer to home</w:t>
            </w:r>
          </w:p>
          <w:p w14:paraId="6C2BA200" w14:textId="77777777" w:rsidR="00785144" w:rsidRPr="00FE5383" w:rsidRDefault="00785144" w:rsidP="00785144">
            <w:pPr>
              <w:numPr>
                <w:ilvl w:val="0"/>
                <w:numId w:val="82"/>
              </w:numPr>
              <w:ind w:left="414" w:hanging="357"/>
              <w:rPr>
                <w:sz w:val="16"/>
                <w:szCs w:val="16"/>
              </w:rPr>
            </w:pPr>
            <w:r w:rsidRPr="00FE5383">
              <w:rPr>
                <w:sz w:val="16"/>
                <w:szCs w:val="16"/>
              </w:rPr>
              <w:t>Keep improving care</w:t>
            </w:r>
          </w:p>
          <w:p w14:paraId="60F2C5F8" w14:textId="77777777" w:rsidR="00785144" w:rsidRPr="00FE5383" w:rsidRDefault="00785144" w:rsidP="00785144">
            <w:pPr>
              <w:numPr>
                <w:ilvl w:val="0"/>
                <w:numId w:val="82"/>
              </w:numPr>
              <w:ind w:left="414" w:hanging="357"/>
              <w:rPr>
                <w:sz w:val="16"/>
                <w:szCs w:val="16"/>
              </w:rPr>
            </w:pPr>
            <w:r w:rsidRPr="00FE5383">
              <w:rPr>
                <w:sz w:val="16"/>
                <w:szCs w:val="16"/>
              </w:rPr>
              <w:t>Improve Aboriginal health and wellbeing</w:t>
            </w:r>
          </w:p>
          <w:p w14:paraId="5CA1B18E" w14:textId="77777777" w:rsidR="00785144" w:rsidRPr="00FE5383" w:rsidRDefault="00785144" w:rsidP="00785144">
            <w:pPr>
              <w:numPr>
                <w:ilvl w:val="0"/>
                <w:numId w:val="82"/>
              </w:numPr>
              <w:ind w:left="414" w:hanging="357"/>
              <w:rPr>
                <w:sz w:val="16"/>
                <w:szCs w:val="16"/>
              </w:rPr>
            </w:pPr>
            <w:r w:rsidRPr="00FE5383">
              <w:rPr>
                <w:sz w:val="16"/>
                <w:szCs w:val="16"/>
              </w:rPr>
              <w:t>Move from competition to collaboration</w:t>
            </w:r>
          </w:p>
          <w:p w14:paraId="42257518" w14:textId="77777777" w:rsidR="00785144" w:rsidRPr="00FE5383" w:rsidRDefault="00785144" w:rsidP="00785144">
            <w:pPr>
              <w:numPr>
                <w:ilvl w:val="0"/>
                <w:numId w:val="82"/>
              </w:numPr>
              <w:ind w:left="414" w:hanging="357"/>
              <w:rPr>
                <w:sz w:val="16"/>
                <w:szCs w:val="16"/>
              </w:rPr>
            </w:pPr>
            <w:r w:rsidRPr="00FE5383">
              <w:rPr>
                <w:sz w:val="16"/>
                <w:szCs w:val="16"/>
              </w:rPr>
              <w:t>A stronger workforce</w:t>
            </w:r>
          </w:p>
          <w:p w14:paraId="3209F1C3" w14:textId="77777777" w:rsidR="00785144" w:rsidRPr="00EE6EDC" w:rsidRDefault="00785144" w:rsidP="00785144">
            <w:pPr>
              <w:numPr>
                <w:ilvl w:val="0"/>
                <w:numId w:val="82"/>
              </w:numPr>
              <w:ind w:left="414" w:hanging="357"/>
              <w:rPr>
                <w:sz w:val="16"/>
                <w:szCs w:val="16"/>
              </w:rPr>
            </w:pPr>
            <w:r w:rsidRPr="00FE5383">
              <w:rPr>
                <w:sz w:val="16"/>
                <w:szCs w:val="16"/>
              </w:rPr>
              <w:t>A safe and sustainable health system</w:t>
            </w:r>
          </w:p>
          <w:p w14:paraId="248C6DC7" w14:textId="77777777" w:rsidR="00785144" w:rsidRPr="00FE5383" w:rsidRDefault="00785144" w:rsidP="00516A11">
            <w:pPr>
              <w:rPr>
                <w:sz w:val="18"/>
                <w:szCs w:val="18"/>
              </w:rPr>
            </w:pPr>
          </w:p>
          <w:p w14:paraId="3A5C3087" w14:textId="77777777" w:rsidR="00785144" w:rsidRPr="00323CEA" w:rsidRDefault="00785144">
            <w:pPr>
              <w:pStyle w:val="Heading3"/>
              <w:rPr>
                <w:sz w:val="22"/>
                <w:szCs w:val="22"/>
              </w:rPr>
            </w:pPr>
            <w:r w:rsidRPr="00113FD8">
              <w:rPr>
                <w:sz w:val="22"/>
                <w:szCs w:val="22"/>
              </w:rPr>
              <w:t>Share of VPS workforce</w:t>
            </w:r>
            <w:r w:rsidRPr="00113FD8">
              <w:rPr>
                <w:sz w:val="22"/>
                <w:szCs w:val="22"/>
                <w:vertAlign w:val="superscript"/>
              </w:rPr>
              <w:t>^</w:t>
            </w:r>
            <w:r w:rsidRPr="000264EC">
              <w:rPr>
                <w:bCs/>
                <w:sz w:val="22"/>
                <w:szCs w:val="22"/>
              </w:rPr>
              <w:br/>
            </w:r>
            <w:r w:rsidRPr="00113FD8">
              <w:rPr>
                <w:b w:val="0"/>
                <w:bCs/>
                <w:sz w:val="18"/>
                <w:szCs w:val="18"/>
              </w:rPr>
              <w:t>VPS Classifications, June 2024</w:t>
            </w:r>
          </w:p>
        </w:tc>
        <w:tc>
          <w:tcPr>
            <w:tcW w:w="1953" w:type="dxa"/>
          </w:tcPr>
          <w:p w14:paraId="7DBE7E96" w14:textId="77777777" w:rsidR="00785144" w:rsidRPr="00354732" w:rsidRDefault="00785144">
            <w:pPr>
              <w:rPr>
                <w:rFonts w:asciiTheme="majorHAnsi" w:hAnsiTheme="majorHAnsi"/>
                <w:b/>
                <w:bCs/>
                <w:color w:val="0F4761" w:themeColor="accent1" w:themeShade="BF"/>
                <w:szCs w:val="22"/>
              </w:rPr>
            </w:pPr>
            <w:r w:rsidRPr="00354732">
              <w:rPr>
                <w:rFonts w:asciiTheme="majorHAnsi" w:hAnsiTheme="majorHAnsi"/>
                <w:b/>
                <w:bCs/>
                <w:color w:val="0F4761" w:themeColor="accent1" w:themeShade="BF"/>
                <w:szCs w:val="22"/>
              </w:rPr>
              <w:t>Ministerial portfolios</w:t>
            </w:r>
          </w:p>
          <w:p w14:paraId="100B2EA4" w14:textId="77777777" w:rsidR="00785144" w:rsidRPr="00FE5383" w:rsidRDefault="00785144" w:rsidP="00785144">
            <w:pPr>
              <w:numPr>
                <w:ilvl w:val="0"/>
                <w:numId w:val="83"/>
              </w:numPr>
              <w:ind w:left="414" w:hanging="357"/>
              <w:rPr>
                <w:sz w:val="16"/>
                <w:szCs w:val="16"/>
              </w:rPr>
            </w:pPr>
            <w:r w:rsidRPr="00FE5383">
              <w:rPr>
                <w:sz w:val="16"/>
                <w:szCs w:val="16"/>
              </w:rPr>
              <w:t>Health</w:t>
            </w:r>
          </w:p>
          <w:p w14:paraId="1808FDA8" w14:textId="77777777" w:rsidR="00785144" w:rsidRPr="00FE5383" w:rsidRDefault="00785144" w:rsidP="00785144">
            <w:pPr>
              <w:numPr>
                <w:ilvl w:val="0"/>
                <w:numId w:val="83"/>
              </w:numPr>
              <w:ind w:left="414" w:hanging="357"/>
              <w:rPr>
                <w:sz w:val="16"/>
                <w:szCs w:val="16"/>
              </w:rPr>
            </w:pPr>
            <w:r w:rsidRPr="00FE5383">
              <w:rPr>
                <w:sz w:val="16"/>
                <w:szCs w:val="16"/>
              </w:rPr>
              <w:t>Mental Health</w:t>
            </w:r>
          </w:p>
          <w:p w14:paraId="2BF7D2BA" w14:textId="77777777" w:rsidR="00785144" w:rsidRPr="00FE5383" w:rsidRDefault="00785144" w:rsidP="00785144">
            <w:pPr>
              <w:numPr>
                <w:ilvl w:val="0"/>
                <w:numId w:val="83"/>
              </w:numPr>
              <w:ind w:left="414" w:hanging="357"/>
              <w:rPr>
                <w:sz w:val="16"/>
                <w:szCs w:val="16"/>
              </w:rPr>
            </w:pPr>
            <w:r w:rsidRPr="00FE5383">
              <w:rPr>
                <w:sz w:val="16"/>
                <w:szCs w:val="16"/>
              </w:rPr>
              <w:t>Health Infrastructure</w:t>
            </w:r>
          </w:p>
          <w:p w14:paraId="5D5BE1FD" w14:textId="77777777" w:rsidR="00785144" w:rsidRPr="00FE5383" w:rsidRDefault="00785144" w:rsidP="00785144">
            <w:pPr>
              <w:numPr>
                <w:ilvl w:val="0"/>
                <w:numId w:val="83"/>
              </w:numPr>
              <w:ind w:left="414" w:hanging="357"/>
              <w:rPr>
                <w:sz w:val="16"/>
                <w:szCs w:val="16"/>
              </w:rPr>
            </w:pPr>
            <w:r w:rsidRPr="00FE5383">
              <w:rPr>
                <w:sz w:val="16"/>
                <w:szCs w:val="16"/>
              </w:rPr>
              <w:t>Ambulance Services</w:t>
            </w:r>
          </w:p>
          <w:p w14:paraId="28F99E7F" w14:textId="77777777" w:rsidR="00785144" w:rsidRPr="00FE5383" w:rsidRDefault="00785144" w:rsidP="00785144">
            <w:pPr>
              <w:numPr>
                <w:ilvl w:val="0"/>
                <w:numId w:val="83"/>
              </w:numPr>
              <w:ind w:left="414" w:hanging="357"/>
              <w:rPr>
                <w:sz w:val="16"/>
                <w:szCs w:val="16"/>
              </w:rPr>
            </w:pPr>
            <w:r w:rsidRPr="00FE5383">
              <w:rPr>
                <w:sz w:val="16"/>
                <w:szCs w:val="16"/>
              </w:rPr>
              <w:t>Children</w:t>
            </w:r>
          </w:p>
          <w:p w14:paraId="0B424415" w14:textId="77777777" w:rsidR="00785144" w:rsidRDefault="00785144" w:rsidP="00785144">
            <w:pPr>
              <w:numPr>
                <w:ilvl w:val="0"/>
                <w:numId w:val="83"/>
              </w:numPr>
              <w:ind w:left="414" w:hanging="357"/>
              <w:rPr>
                <w:sz w:val="16"/>
                <w:szCs w:val="16"/>
              </w:rPr>
            </w:pPr>
            <w:r w:rsidRPr="00FE5383">
              <w:rPr>
                <w:sz w:val="16"/>
                <w:szCs w:val="16"/>
              </w:rPr>
              <w:t>Ageing</w:t>
            </w:r>
          </w:p>
          <w:p w14:paraId="083A9A39" w14:textId="77777777" w:rsidR="00785144" w:rsidRPr="00FE5383" w:rsidRDefault="00785144">
            <w:pPr>
              <w:ind w:left="414"/>
              <w:rPr>
                <w:sz w:val="16"/>
                <w:szCs w:val="16"/>
              </w:rPr>
            </w:pPr>
          </w:p>
          <w:p w14:paraId="4B3B1FD9" w14:textId="77777777" w:rsidR="00785144" w:rsidRPr="00354732" w:rsidRDefault="00785144">
            <w:pPr>
              <w:rPr>
                <w:rFonts w:asciiTheme="majorHAnsi" w:hAnsiTheme="majorHAnsi"/>
                <w:b/>
                <w:bCs/>
                <w:color w:val="0F4761" w:themeColor="accent1" w:themeShade="BF"/>
                <w:szCs w:val="22"/>
              </w:rPr>
            </w:pPr>
            <w:r w:rsidRPr="00354732">
              <w:rPr>
                <w:rFonts w:asciiTheme="majorHAnsi" w:hAnsiTheme="majorHAnsi"/>
                <w:b/>
                <w:bCs/>
                <w:color w:val="0F4761" w:themeColor="accent1" w:themeShade="BF"/>
                <w:szCs w:val="22"/>
              </w:rPr>
              <w:t>VPS non-departmental entities</w:t>
            </w:r>
            <w:r w:rsidRPr="00354732">
              <w:rPr>
                <w:rFonts w:asciiTheme="majorHAnsi" w:hAnsiTheme="majorHAnsi"/>
                <w:b/>
                <w:bCs/>
                <w:color w:val="0F4761" w:themeColor="accent1" w:themeShade="BF"/>
                <w:szCs w:val="22"/>
                <w:vertAlign w:val="superscript"/>
              </w:rPr>
              <w:t>^</w:t>
            </w:r>
            <w:r w:rsidRPr="00354732">
              <w:rPr>
                <w:rFonts w:asciiTheme="majorHAnsi" w:hAnsiTheme="majorHAnsi"/>
                <w:b/>
                <w:bCs/>
                <w:color w:val="0F4761" w:themeColor="accent1" w:themeShade="BF"/>
                <w:szCs w:val="22"/>
              </w:rPr>
              <w:t xml:space="preserve"> </w:t>
            </w:r>
          </w:p>
          <w:p w14:paraId="3641A8F1" w14:textId="77777777" w:rsidR="00785144" w:rsidRPr="00FE5383" w:rsidRDefault="00785144" w:rsidP="00785144">
            <w:pPr>
              <w:numPr>
                <w:ilvl w:val="0"/>
                <w:numId w:val="83"/>
              </w:numPr>
              <w:ind w:left="414" w:hanging="357"/>
              <w:rPr>
                <w:sz w:val="16"/>
                <w:szCs w:val="16"/>
              </w:rPr>
            </w:pPr>
            <w:r w:rsidRPr="00FE5383">
              <w:rPr>
                <w:sz w:val="16"/>
                <w:szCs w:val="16"/>
              </w:rPr>
              <w:t>Mental Health and Wellbeing Commission</w:t>
            </w:r>
          </w:p>
          <w:p w14:paraId="0FFAE89D" w14:textId="77777777" w:rsidR="00785144" w:rsidRPr="00FE5383" w:rsidRDefault="00785144" w:rsidP="00785144">
            <w:pPr>
              <w:numPr>
                <w:ilvl w:val="0"/>
                <w:numId w:val="83"/>
              </w:numPr>
              <w:ind w:left="414" w:hanging="357"/>
              <w:rPr>
                <w:sz w:val="16"/>
                <w:szCs w:val="16"/>
              </w:rPr>
            </w:pPr>
            <w:r w:rsidRPr="00FE5383">
              <w:rPr>
                <w:sz w:val="16"/>
                <w:szCs w:val="16"/>
              </w:rPr>
              <w:t>Safer Care Victoria</w:t>
            </w:r>
          </w:p>
          <w:p w14:paraId="27BA9851" w14:textId="77777777" w:rsidR="00785144" w:rsidRPr="00323CEA" w:rsidRDefault="00785144" w:rsidP="00785144">
            <w:pPr>
              <w:numPr>
                <w:ilvl w:val="0"/>
                <w:numId w:val="83"/>
              </w:numPr>
              <w:ind w:left="414" w:hanging="357"/>
              <w:rPr>
                <w:sz w:val="18"/>
                <w:szCs w:val="18"/>
              </w:rPr>
            </w:pPr>
            <w:r w:rsidRPr="00FE5383">
              <w:rPr>
                <w:sz w:val="16"/>
                <w:szCs w:val="16"/>
              </w:rPr>
              <w:t>Victorian Collaborative Centre for Mental Health and Wellbeing</w:t>
            </w:r>
          </w:p>
          <w:p w14:paraId="3C7227A1" w14:textId="77777777" w:rsidR="00785144" w:rsidRPr="00FE5383" w:rsidRDefault="00785144">
            <w:pPr>
              <w:ind w:left="414"/>
              <w:rPr>
                <w:sz w:val="18"/>
                <w:szCs w:val="18"/>
              </w:rPr>
            </w:pPr>
          </w:p>
        </w:tc>
      </w:tr>
      <w:tr w:rsidR="00785144" w:rsidRPr="00A43B0D" w14:paraId="36D07481" w14:textId="77777777">
        <w:trPr>
          <w:trHeight w:val="940"/>
        </w:trPr>
        <w:tc>
          <w:tcPr>
            <w:tcW w:w="1955" w:type="dxa"/>
          </w:tcPr>
          <w:p w14:paraId="48804B2A" w14:textId="77777777" w:rsidR="00785144" w:rsidRPr="00883832" w:rsidRDefault="00785144">
            <w:pPr>
              <w:spacing w:line="278" w:lineRule="auto"/>
              <w:rPr>
                <w:sz w:val="18"/>
                <w:szCs w:val="18"/>
              </w:rPr>
            </w:pPr>
            <w:r>
              <w:rPr>
                <w:noProof/>
              </w:rPr>
              <w:drawing>
                <wp:inline distT="0" distB="0" distL="0" distR="0" wp14:anchorId="20EA466A" wp14:editId="64260386">
                  <wp:extent cx="2315759" cy="1579566"/>
                  <wp:effectExtent l="0" t="0" r="8890" b="1905"/>
                  <wp:docPr id="1465465467" name="Picture 1" descr="A graph of a number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65467" name="Picture 1" descr="A graph of a number of different types of data&#10;&#10;AI-generated content may be incorrec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329106" cy="1588670"/>
                          </a:xfrm>
                          <a:prstGeom prst="rect">
                            <a:avLst/>
                          </a:prstGeom>
                        </pic:spPr>
                      </pic:pic>
                    </a:graphicData>
                  </a:graphic>
                </wp:inline>
              </w:drawing>
            </w:r>
          </w:p>
          <w:p w14:paraId="7CD06106" w14:textId="77777777" w:rsidR="00785144" w:rsidRPr="00323CEA" w:rsidRDefault="00785144">
            <w:pPr>
              <w:pStyle w:val="Heading3"/>
            </w:pPr>
            <w:r w:rsidRPr="0040758C">
              <w:rPr>
                <w:sz w:val="22"/>
                <w:szCs w:val="22"/>
              </w:rPr>
              <w:t>Output expenditure</w:t>
            </w:r>
            <w:r w:rsidRPr="0040758C">
              <w:rPr>
                <w:sz w:val="22"/>
                <w:szCs w:val="22"/>
                <w:vertAlign w:val="superscript"/>
              </w:rPr>
              <w:t>†</w:t>
            </w:r>
            <w:r w:rsidRPr="000264EC">
              <w:br/>
            </w:r>
            <w:r w:rsidRPr="0040758C">
              <w:rPr>
                <w:b w:val="0"/>
                <w:sz w:val="18"/>
                <w:szCs w:val="18"/>
              </w:rPr>
              <w:t xml:space="preserve">$ </w:t>
            </w:r>
            <w:proofErr w:type="gramStart"/>
            <w:r w:rsidRPr="0040758C">
              <w:rPr>
                <w:b w:val="0"/>
                <w:sz w:val="18"/>
                <w:szCs w:val="18"/>
              </w:rPr>
              <w:t>millions</w:t>
            </w:r>
            <w:proofErr w:type="gramEnd"/>
            <w:r w:rsidRPr="0040758C">
              <w:rPr>
                <w:b w:val="0"/>
                <w:sz w:val="18"/>
                <w:szCs w:val="18"/>
              </w:rPr>
              <w:t>, 2023/24</w:t>
            </w:r>
          </w:p>
        </w:tc>
        <w:tc>
          <w:tcPr>
            <w:tcW w:w="1953" w:type="dxa"/>
          </w:tcPr>
          <w:p w14:paraId="6127210F" w14:textId="77777777" w:rsidR="00785144" w:rsidRPr="00354732" w:rsidRDefault="00785144">
            <w:pPr>
              <w:rPr>
                <w:rFonts w:asciiTheme="majorHAnsi" w:hAnsiTheme="majorHAnsi"/>
                <w:b/>
                <w:bCs/>
                <w:color w:val="0F4761" w:themeColor="accent1" w:themeShade="BF"/>
                <w:szCs w:val="22"/>
              </w:rPr>
            </w:pPr>
            <w:r w:rsidRPr="00354732">
              <w:rPr>
                <w:rFonts w:asciiTheme="majorHAnsi" w:hAnsiTheme="majorHAnsi"/>
                <w:b/>
                <w:bCs/>
                <w:color w:val="0F4761" w:themeColor="accent1" w:themeShade="BF"/>
                <w:szCs w:val="22"/>
              </w:rPr>
              <w:t>Demand pressures</w:t>
            </w:r>
          </w:p>
          <w:p w14:paraId="352C1C49" w14:textId="77777777" w:rsidR="00785144" w:rsidRPr="007025CC" w:rsidRDefault="00785144" w:rsidP="00785144">
            <w:pPr>
              <w:numPr>
                <w:ilvl w:val="0"/>
                <w:numId w:val="85"/>
              </w:numPr>
              <w:ind w:left="414" w:hanging="357"/>
              <w:rPr>
                <w:sz w:val="16"/>
                <w:szCs w:val="16"/>
              </w:rPr>
            </w:pPr>
            <w:r w:rsidRPr="007025CC">
              <w:rPr>
                <w:sz w:val="16"/>
                <w:szCs w:val="16"/>
              </w:rPr>
              <w:t>Nearly 1.5 million Victorians (22 per cent) are aged over 60, and this proportion is expected to continue rising</w:t>
            </w:r>
            <w:proofErr w:type="gramStart"/>
            <w:r w:rsidRPr="007025CC">
              <w:rPr>
                <w:sz w:val="16"/>
                <w:szCs w:val="16"/>
              </w:rPr>
              <w:t>.</w:t>
            </w:r>
            <w:r w:rsidRPr="007025CC">
              <w:rPr>
                <w:sz w:val="16"/>
                <w:szCs w:val="16"/>
                <w:vertAlign w:val="superscript"/>
              </w:rPr>
              <w:t>2</w:t>
            </w:r>
            <w:proofErr w:type="gramEnd"/>
          </w:p>
          <w:p w14:paraId="7845DC35" w14:textId="77777777" w:rsidR="00785144" w:rsidRPr="007025CC" w:rsidRDefault="00785144" w:rsidP="00785144">
            <w:pPr>
              <w:numPr>
                <w:ilvl w:val="0"/>
                <w:numId w:val="85"/>
              </w:numPr>
              <w:ind w:left="414" w:hanging="357"/>
              <w:rPr>
                <w:sz w:val="16"/>
                <w:szCs w:val="16"/>
              </w:rPr>
            </w:pPr>
            <w:r w:rsidRPr="007025CC">
              <w:rPr>
                <w:sz w:val="16"/>
                <w:szCs w:val="16"/>
              </w:rPr>
              <w:t>In 2022-23, 41 per cent of emergency departments presentations were lower urgency cases that should have been dealt with through the primary care system.</w:t>
            </w:r>
            <w:r w:rsidRPr="007025CC">
              <w:rPr>
                <w:sz w:val="16"/>
                <w:szCs w:val="16"/>
                <w:vertAlign w:val="superscript"/>
              </w:rPr>
              <w:t>3</w:t>
            </w:r>
          </w:p>
          <w:p w14:paraId="2B1DC63B" w14:textId="77777777" w:rsidR="00785144" w:rsidRPr="007025CC" w:rsidRDefault="00785144" w:rsidP="00785144">
            <w:pPr>
              <w:numPr>
                <w:ilvl w:val="0"/>
                <w:numId w:val="85"/>
              </w:numPr>
              <w:ind w:left="414" w:hanging="357"/>
              <w:rPr>
                <w:sz w:val="16"/>
                <w:szCs w:val="16"/>
              </w:rPr>
            </w:pPr>
            <w:r w:rsidRPr="007025CC">
              <w:rPr>
                <w:sz w:val="16"/>
                <w:szCs w:val="16"/>
              </w:rPr>
              <w:t>More than one in five Victorian adults live with two or more chronic conditions, such as type 2 diabetes, heart disease or cancer.</w:t>
            </w:r>
            <w:r w:rsidRPr="007025CC">
              <w:rPr>
                <w:sz w:val="16"/>
                <w:szCs w:val="16"/>
                <w:vertAlign w:val="superscript"/>
              </w:rPr>
              <w:t>4</w:t>
            </w:r>
          </w:p>
          <w:p w14:paraId="304A8B58" w14:textId="77777777" w:rsidR="00785144" w:rsidRPr="007025CC" w:rsidRDefault="00785144" w:rsidP="00785144">
            <w:pPr>
              <w:numPr>
                <w:ilvl w:val="0"/>
                <w:numId w:val="85"/>
              </w:numPr>
              <w:ind w:left="414" w:hanging="357"/>
              <w:rPr>
                <w:sz w:val="18"/>
                <w:szCs w:val="18"/>
              </w:rPr>
            </w:pPr>
            <w:r w:rsidRPr="007025CC">
              <w:rPr>
                <w:sz w:val="16"/>
                <w:szCs w:val="16"/>
              </w:rPr>
              <w:t>One in 5 Victorians experience a mental health condition each year.</w:t>
            </w:r>
            <w:r w:rsidRPr="007025CC">
              <w:rPr>
                <w:sz w:val="16"/>
                <w:szCs w:val="16"/>
                <w:vertAlign w:val="superscript"/>
              </w:rPr>
              <w:t>5</w:t>
            </w:r>
            <w:r w:rsidRPr="007025CC">
              <w:rPr>
                <w:sz w:val="16"/>
                <w:szCs w:val="16"/>
              </w:rPr>
              <w:t xml:space="preserve"> Rates of high or very high psychological distress reached 22.8 per cent in 2022, up from 15 per cent 4 years prior.</w:t>
            </w:r>
            <w:r w:rsidRPr="007025CC">
              <w:rPr>
                <w:sz w:val="16"/>
                <w:szCs w:val="16"/>
                <w:vertAlign w:val="superscript"/>
              </w:rPr>
              <w:t>6</w:t>
            </w:r>
          </w:p>
        </w:tc>
      </w:tr>
      <w:tr w:rsidR="00785144" w:rsidRPr="00A43B0D" w14:paraId="596CE7F6" w14:textId="77777777">
        <w:trPr>
          <w:trHeight w:val="4408"/>
        </w:trPr>
        <w:tc>
          <w:tcPr>
            <w:tcW w:w="1955" w:type="dxa"/>
          </w:tcPr>
          <w:p w14:paraId="761241EA" w14:textId="77777777" w:rsidR="00785144" w:rsidRPr="00A43B0D" w:rsidRDefault="00785144">
            <w:pPr>
              <w:spacing w:line="278" w:lineRule="auto"/>
              <w:rPr>
                <w:sz w:val="18"/>
                <w:szCs w:val="18"/>
              </w:rPr>
            </w:pPr>
            <w:r>
              <w:rPr>
                <w:noProof/>
              </w:rPr>
              <w:drawing>
                <wp:inline distT="0" distB="0" distL="0" distR="0" wp14:anchorId="3F175541" wp14:editId="21621328">
                  <wp:extent cx="2619853" cy="2559473"/>
                  <wp:effectExtent l="0" t="0" r="9525" b="0"/>
                  <wp:docPr id="717867150" name="Picture 1" descr="A graph of health care servi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67150" name="Picture 1" descr="A graph of health care services&#10;&#10;AI-generated content may be incorrec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619853" cy="2559473"/>
                          </a:xfrm>
                          <a:prstGeom prst="rect">
                            <a:avLst/>
                          </a:prstGeom>
                        </pic:spPr>
                      </pic:pic>
                    </a:graphicData>
                  </a:graphic>
                </wp:inline>
              </w:drawing>
            </w:r>
          </w:p>
        </w:tc>
        <w:tc>
          <w:tcPr>
            <w:tcW w:w="1953" w:type="dxa"/>
          </w:tcPr>
          <w:p w14:paraId="3577B208" w14:textId="77777777" w:rsidR="00785144" w:rsidRDefault="00785144">
            <w:pPr>
              <w:spacing w:line="278" w:lineRule="auto"/>
              <w:rPr>
                <w:sz w:val="18"/>
                <w:szCs w:val="18"/>
              </w:rPr>
            </w:pPr>
          </w:p>
          <w:p w14:paraId="4BF5B8D8" w14:textId="77777777" w:rsidR="00785144" w:rsidRDefault="00785144">
            <w:pPr>
              <w:spacing w:line="278" w:lineRule="auto"/>
              <w:rPr>
                <w:sz w:val="18"/>
                <w:szCs w:val="18"/>
              </w:rPr>
            </w:pPr>
          </w:p>
          <w:p w14:paraId="2CC10B70" w14:textId="77777777" w:rsidR="00785144" w:rsidRDefault="00785144">
            <w:pPr>
              <w:spacing w:line="278" w:lineRule="auto"/>
              <w:rPr>
                <w:sz w:val="18"/>
                <w:szCs w:val="18"/>
              </w:rPr>
            </w:pPr>
          </w:p>
          <w:p w14:paraId="04E0A0C8" w14:textId="77777777" w:rsidR="00785144" w:rsidRDefault="00785144">
            <w:pPr>
              <w:spacing w:line="278" w:lineRule="auto"/>
              <w:rPr>
                <w:sz w:val="18"/>
                <w:szCs w:val="18"/>
              </w:rPr>
            </w:pPr>
          </w:p>
          <w:p w14:paraId="3884CB02" w14:textId="7DDCFAE3" w:rsidR="00785144" w:rsidRPr="00A43B0D" w:rsidRDefault="00F11EB4">
            <w:pPr>
              <w:spacing w:line="278" w:lineRule="auto"/>
              <w:rPr>
                <w:sz w:val="18"/>
                <w:szCs w:val="18"/>
              </w:rPr>
            </w:pPr>
            <w:r w:rsidRPr="00A43B0D">
              <w:rPr>
                <w:noProof/>
                <w:sz w:val="18"/>
                <w:szCs w:val="18"/>
              </w:rPr>
              <mc:AlternateContent>
                <mc:Choice Requires="wps">
                  <w:drawing>
                    <wp:anchor distT="0" distB="0" distL="114300" distR="114300" simplePos="0" relativeHeight="251658247" behindDoc="0" locked="0" layoutInCell="1" allowOverlap="1" wp14:anchorId="0290137F" wp14:editId="1619E815">
                      <wp:simplePos x="0" y="0"/>
                      <wp:positionH relativeFrom="column">
                        <wp:posOffset>-48260</wp:posOffset>
                      </wp:positionH>
                      <wp:positionV relativeFrom="paragraph">
                        <wp:posOffset>661670</wp:posOffset>
                      </wp:positionV>
                      <wp:extent cx="2838450" cy="1475740"/>
                      <wp:effectExtent l="0" t="0" r="0" b="0"/>
                      <wp:wrapNone/>
                      <wp:docPr id="533086464" name="TextBox 48"/>
                      <wp:cNvGraphicFramePr/>
                      <a:graphic xmlns:a="http://schemas.openxmlformats.org/drawingml/2006/main">
                        <a:graphicData uri="http://schemas.microsoft.com/office/word/2010/wordprocessingShape">
                          <wps:wsp>
                            <wps:cNvSpPr txBox="1"/>
                            <wps:spPr>
                              <a:xfrm>
                                <a:off x="0" y="0"/>
                                <a:ext cx="2838450" cy="1475740"/>
                              </a:xfrm>
                              <a:prstGeom prst="roundRect">
                                <a:avLst>
                                  <a:gd name="adj" fmla="val 4000"/>
                                </a:avLst>
                              </a:prstGeom>
                              <a:solidFill>
                                <a:schemeClr val="accent1"/>
                              </a:solidFill>
                            </wps:spPr>
                            <wps:txbx>
                              <w:txbxContent>
                                <w:p w14:paraId="54AC83C5" w14:textId="77777777" w:rsidR="00785144" w:rsidRPr="00112BFC" w:rsidRDefault="00785144" w:rsidP="00785144">
                                  <w:pPr>
                                    <w:rPr>
                                      <w:rFonts w:hAnsi="Aptos"/>
                                      <w:b/>
                                      <w:color w:val="FFFFFF" w:themeColor="background1"/>
                                      <w:kern w:val="24"/>
                                      <w:szCs w:val="22"/>
                                      <w14:ligatures w14:val="none"/>
                                    </w:rPr>
                                  </w:pPr>
                                  <w:r w:rsidRPr="00112BFC">
                                    <w:rPr>
                                      <w:rFonts w:hAnsi="Aptos"/>
                                      <w:b/>
                                      <w:color w:val="FFFFFF" w:themeColor="background1"/>
                                      <w:kern w:val="24"/>
                                      <w:szCs w:val="22"/>
                                    </w:rPr>
                                    <w:t xml:space="preserve">Review’s recommended savings </w:t>
                                  </w:r>
                                </w:p>
                                <w:p w14:paraId="7947F68D" w14:textId="70A942AC" w:rsidR="00785144" w:rsidRDefault="00785144" w:rsidP="00785144">
                                  <w:pPr>
                                    <w:ind w:left="720"/>
                                    <w:rPr>
                                      <w:rFonts w:hAnsi="Aptos"/>
                                      <w:color w:val="FFFFFF" w:themeColor="background1"/>
                                      <w:kern w:val="24"/>
                                      <w:sz w:val="32"/>
                                      <w:szCs w:val="32"/>
                                    </w:rPr>
                                  </w:pPr>
                                  <w:r w:rsidRPr="00112BFC">
                                    <w:rPr>
                                      <w:rFonts w:hAnsi="Aptos"/>
                                      <w:b/>
                                      <w:bCs/>
                                      <w:color w:val="FFFFFF" w:themeColor="background1"/>
                                      <w:kern w:val="24"/>
                                      <w:szCs w:val="22"/>
                                    </w:rPr>
                                    <w:t>$1,1</w:t>
                                  </w:r>
                                  <w:r w:rsidR="00F11EB4">
                                    <w:rPr>
                                      <w:rFonts w:hAnsi="Aptos"/>
                                      <w:b/>
                                      <w:bCs/>
                                      <w:color w:val="FFFFFF" w:themeColor="background1"/>
                                      <w:kern w:val="24"/>
                                      <w:szCs w:val="22"/>
                                    </w:rPr>
                                    <w:t>35</w:t>
                                  </w:r>
                                  <w:r w:rsidRPr="00112BFC">
                                    <w:rPr>
                                      <w:rFonts w:hAnsi="Aptos"/>
                                      <w:b/>
                                      <w:bCs/>
                                      <w:color w:val="FFFFFF" w:themeColor="background1"/>
                                      <w:kern w:val="24"/>
                                      <w:szCs w:val="22"/>
                                    </w:rPr>
                                    <w:t xml:space="preserve"> million</w:t>
                                  </w:r>
                                  <w:r>
                                    <w:rPr>
                                      <w:rFonts w:hAnsi="Aptos"/>
                                      <w:color w:val="FFFFFF" w:themeColor="background1"/>
                                      <w:kern w:val="24"/>
                                      <w:sz w:val="32"/>
                                      <w:szCs w:val="32"/>
                                    </w:rPr>
                                    <w:br/>
                                  </w:r>
                                  <w:r w:rsidRPr="00112BFC">
                                    <w:rPr>
                                      <w:rFonts w:hAnsi="Aptos"/>
                                      <w:color w:val="FFFFFF" w:themeColor="background1"/>
                                      <w:kern w:val="24"/>
                                      <w:sz w:val="20"/>
                                      <w:szCs w:val="20"/>
                                    </w:rPr>
                                    <w:t>2025</w:t>
                                  </w:r>
                                  <w:r w:rsidRPr="00112BFC">
                                    <w:rPr>
                                      <w:color w:val="FFFFFF" w:themeColor="background1"/>
                                      <w:kern w:val="24"/>
                                      <w:sz w:val="20"/>
                                      <w:szCs w:val="20"/>
                                    </w:rPr>
                                    <w:t>–</w:t>
                                  </w:r>
                                  <w:r w:rsidRPr="00112BFC">
                                    <w:rPr>
                                      <w:rFonts w:hAnsi="Aptos"/>
                                      <w:color w:val="FFFFFF" w:themeColor="background1"/>
                                      <w:kern w:val="24"/>
                                      <w:sz w:val="20"/>
                                      <w:szCs w:val="20"/>
                                    </w:rPr>
                                    <w:t>26 to 2028</w:t>
                                  </w:r>
                                  <w:r w:rsidRPr="00112BFC">
                                    <w:rPr>
                                      <w:color w:val="FFFFFF" w:themeColor="background1"/>
                                      <w:kern w:val="24"/>
                                      <w:sz w:val="20"/>
                                      <w:szCs w:val="20"/>
                                    </w:rPr>
                                    <w:t>–</w:t>
                                  </w:r>
                                  <w:r w:rsidRPr="00112BFC">
                                    <w:rPr>
                                      <w:rFonts w:hAnsi="Aptos"/>
                                      <w:color w:val="FFFFFF" w:themeColor="background1"/>
                                      <w:kern w:val="24"/>
                                      <w:sz w:val="20"/>
                                      <w:szCs w:val="20"/>
                                    </w:rPr>
                                    <w:t>29</w:t>
                                  </w:r>
                                </w:p>
                                <w:p w14:paraId="58CA8531" w14:textId="18BE588A" w:rsidR="00785144" w:rsidRDefault="00F11EB4" w:rsidP="00785144">
                                  <w:pPr>
                                    <w:ind w:left="720"/>
                                    <w:rPr>
                                      <w:rFonts w:hAnsi="Aptos"/>
                                      <w:color w:val="FFFFFF" w:themeColor="background1"/>
                                      <w:kern w:val="24"/>
                                      <w:sz w:val="32"/>
                                      <w:szCs w:val="32"/>
                                    </w:rPr>
                                  </w:pPr>
                                  <w:r>
                                    <w:rPr>
                                      <w:rFonts w:hAnsi="Aptos"/>
                                      <w:b/>
                                      <w:bCs/>
                                      <w:color w:val="FFFFFF" w:themeColor="background1"/>
                                      <w:kern w:val="24"/>
                                      <w:szCs w:val="22"/>
                                    </w:rPr>
                                    <w:t>47</w:t>
                                  </w:r>
                                  <w:r w:rsidR="00785144" w:rsidRPr="00112BFC">
                                    <w:rPr>
                                      <w:rFonts w:hAnsi="Aptos"/>
                                      <w:b/>
                                      <w:bCs/>
                                      <w:color w:val="FFFFFF" w:themeColor="background1"/>
                                      <w:kern w:val="24"/>
                                      <w:szCs w:val="22"/>
                                    </w:rPr>
                                    <w:t xml:space="preserve"> staff</w:t>
                                  </w:r>
                                  <w:r w:rsidR="00785144">
                                    <w:rPr>
                                      <w:rFonts w:hAnsi="Aptos"/>
                                      <w:color w:val="FFFFFF" w:themeColor="background1"/>
                                      <w:kern w:val="24"/>
                                      <w:sz w:val="32"/>
                                      <w:szCs w:val="32"/>
                                    </w:rPr>
                                    <w:br/>
                                  </w:r>
                                  <w:r w:rsidR="00785144" w:rsidRPr="00112BFC">
                                    <w:rPr>
                                      <w:rFonts w:hAnsi="Aptos"/>
                                      <w:color w:val="FFFFFF" w:themeColor="background1"/>
                                      <w:kern w:val="24"/>
                                      <w:sz w:val="20"/>
                                      <w:szCs w:val="20"/>
                                    </w:rPr>
                                    <w:t>Ongoing FTE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0290137F" id="_x0000_s1101" style="position:absolute;margin-left:-3.8pt;margin-top:52.1pt;width:223.5pt;height:116.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6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" fillcolor="#156082 [3204]" stroked="f">
                      <v:textbox>
                        <w:txbxContent>
                          <w:p w14:paraId="54AC83C5" w14:textId="77777777" w:rsidR="00785144" w:rsidRPr="00112BFC" w:rsidRDefault="00785144" w:rsidP="00785144">
                            <w:pPr>
                              <w:rPr>
                                <w:rFonts w:hAnsi="Aptos"/>
                                <w:b/>
                                <w:color w:val="FFFFFF" w:themeColor="background1"/>
                                <w:kern w:val="24"/>
                                <w:szCs w:val="22"/>
                                <w14:ligatures w14:val="none"/>
                              </w:rPr>
                            </w:pPr>
                            <w:r w:rsidRPr="00112BFC">
                              <w:rPr>
                                <w:rFonts w:hAnsi="Aptos"/>
                                <w:b/>
                                <w:color w:val="FFFFFF" w:themeColor="background1"/>
                                <w:kern w:val="24"/>
                                <w:szCs w:val="22"/>
                              </w:rPr>
                              <w:t xml:space="preserve">Review’s recommended savings </w:t>
                            </w:r>
                          </w:p>
                          <w:p w14:paraId="7947F68D" w14:textId="70A942AC" w:rsidR="00785144" w:rsidRDefault="00785144" w:rsidP="00785144">
                            <w:pPr>
                              <w:ind w:left="720"/>
                              <w:rPr>
                                <w:rFonts w:hAnsi="Aptos"/>
                                <w:color w:val="FFFFFF" w:themeColor="background1"/>
                                <w:kern w:val="24"/>
                                <w:sz w:val="32"/>
                                <w:szCs w:val="32"/>
                              </w:rPr>
                            </w:pPr>
                            <w:r w:rsidRPr="00112BFC">
                              <w:rPr>
                                <w:rFonts w:hAnsi="Aptos"/>
                                <w:b/>
                                <w:bCs/>
                                <w:color w:val="FFFFFF" w:themeColor="background1"/>
                                <w:kern w:val="24"/>
                                <w:szCs w:val="22"/>
                              </w:rPr>
                              <w:t>$1,1</w:t>
                            </w:r>
                            <w:r w:rsidR="00F11EB4">
                              <w:rPr>
                                <w:rFonts w:hAnsi="Aptos"/>
                                <w:b/>
                                <w:bCs/>
                                <w:color w:val="FFFFFF" w:themeColor="background1"/>
                                <w:kern w:val="24"/>
                                <w:szCs w:val="22"/>
                              </w:rPr>
                              <w:t>35</w:t>
                            </w:r>
                            <w:r w:rsidRPr="00112BFC">
                              <w:rPr>
                                <w:rFonts w:hAnsi="Aptos"/>
                                <w:b/>
                                <w:bCs/>
                                <w:color w:val="FFFFFF" w:themeColor="background1"/>
                                <w:kern w:val="24"/>
                                <w:szCs w:val="22"/>
                              </w:rPr>
                              <w:t xml:space="preserve"> million</w:t>
                            </w:r>
                            <w:r>
                              <w:rPr>
                                <w:rFonts w:hAnsi="Aptos"/>
                                <w:color w:val="FFFFFF" w:themeColor="background1"/>
                                <w:kern w:val="24"/>
                                <w:sz w:val="32"/>
                                <w:szCs w:val="32"/>
                              </w:rPr>
                              <w:br/>
                            </w:r>
                            <w:r w:rsidRPr="00112BFC">
                              <w:rPr>
                                <w:rFonts w:hAnsi="Aptos"/>
                                <w:color w:val="FFFFFF" w:themeColor="background1"/>
                                <w:kern w:val="24"/>
                                <w:sz w:val="20"/>
                                <w:szCs w:val="20"/>
                              </w:rPr>
                              <w:t>2025</w:t>
                            </w:r>
                            <w:r w:rsidRPr="00112BFC">
                              <w:rPr>
                                <w:color w:val="FFFFFF" w:themeColor="background1"/>
                                <w:kern w:val="24"/>
                                <w:sz w:val="20"/>
                                <w:szCs w:val="20"/>
                              </w:rPr>
                              <w:t>–</w:t>
                            </w:r>
                            <w:r w:rsidRPr="00112BFC">
                              <w:rPr>
                                <w:rFonts w:hAnsi="Aptos"/>
                                <w:color w:val="FFFFFF" w:themeColor="background1"/>
                                <w:kern w:val="24"/>
                                <w:sz w:val="20"/>
                                <w:szCs w:val="20"/>
                              </w:rPr>
                              <w:t>26 to 2028</w:t>
                            </w:r>
                            <w:r w:rsidRPr="00112BFC">
                              <w:rPr>
                                <w:color w:val="FFFFFF" w:themeColor="background1"/>
                                <w:kern w:val="24"/>
                                <w:sz w:val="20"/>
                                <w:szCs w:val="20"/>
                              </w:rPr>
                              <w:t>–</w:t>
                            </w:r>
                            <w:r w:rsidRPr="00112BFC">
                              <w:rPr>
                                <w:rFonts w:hAnsi="Aptos"/>
                                <w:color w:val="FFFFFF" w:themeColor="background1"/>
                                <w:kern w:val="24"/>
                                <w:sz w:val="20"/>
                                <w:szCs w:val="20"/>
                              </w:rPr>
                              <w:t>29</w:t>
                            </w:r>
                          </w:p>
                          <w:p w14:paraId="58CA8531" w14:textId="18BE588A" w:rsidR="00785144" w:rsidRDefault="00F11EB4" w:rsidP="00785144">
                            <w:pPr>
                              <w:ind w:left="720"/>
                              <w:rPr>
                                <w:rFonts w:hAnsi="Aptos"/>
                                <w:color w:val="FFFFFF" w:themeColor="background1"/>
                                <w:kern w:val="24"/>
                                <w:sz w:val="32"/>
                                <w:szCs w:val="32"/>
                              </w:rPr>
                            </w:pPr>
                            <w:r>
                              <w:rPr>
                                <w:rFonts w:hAnsi="Aptos"/>
                                <w:b/>
                                <w:bCs/>
                                <w:color w:val="FFFFFF" w:themeColor="background1"/>
                                <w:kern w:val="24"/>
                                <w:szCs w:val="22"/>
                              </w:rPr>
                              <w:t>47</w:t>
                            </w:r>
                            <w:r w:rsidR="00785144" w:rsidRPr="00112BFC">
                              <w:rPr>
                                <w:rFonts w:hAnsi="Aptos"/>
                                <w:b/>
                                <w:bCs/>
                                <w:color w:val="FFFFFF" w:themeColor="background1"/>
                                <w:kern w:val="24"/>
                                <w:szCs w:val="22"/>
                              </w:rPr>
                              <w:t xml:space="preserve"> staff</w:t>
                            </w:r>
                            <w:r w:rsidR="00785144">
                              <w:rPr>
                                <w:rFonts w:hAnsi="Aptos"/>
                                <w:color w:val="FFFFFF" w:themeColor="background1"/>
                                <w:kern w:val="24"/>
                                <w:sz w:val="32"/>
                                <w:szCs w:val="32"/>
                              </w:rPr>
                              <w:br/>
                            </w:r>
                            <w:r w:rsidR="00785144" w:rsidRPr="00112BFC">
                              <w:rPr>
                                <w:rFonts w:hAnsi="Aptos"/>
                                <w:color w:val="FFFFFF" w:themeColor="background1"/>
                                <w:kern w:val="24"/>
                                <w:sz w:val="20"/>
                                <w:szCs w:val="20"/>
                              </w:rPr>
                              <w:t>Ongoing FTE</w:t>
                            </w:r>
                          </w:p>
                        </w:txbxContent>
                      </v:textbox>
                    </v:roundrect>
                  </w:pict>
                </mc:Fallback>
              </mc:AlternateContent>
            </w:r>
            <w:r w:rsidR="00785144" w:rsidRPr="00A43B0D">
              <w:rPr>
                <w:noProof/>
                <w:sz w:val="18"/>
                <w:szCs w:val="18"/>
              </w:rPr>
              <w:drawing>
                <wp:anchor distT="0" distB="0" distL="114300" distR="114300" simplePos="0" relativeHeight="251658259" behindDoc="0" locked="0" layoutInCell="1" allowOverlap="1" wp14:anchorId="7CBB55B2" wp14:editId="39D37F55">
                  <wp:simplePos x="0" y="0"/>
                  <wp:positionH relativeFrom="column">
                    <wp:posOffset>185420</wp:posOffset>
                  </wp:positionH>
                  <wp:positionV relativeFrom="paragraph">
                    <wp:posOffset>1076325</wp:posOffset>
                  </wp:positionV>
                  <wp:extent cx="287655" cy="287655"/>
                  <wp:effectExtent l="0" t="0" r="0" b="0"/>
                  <wp:wrapNone/>
                  <wp:docPr id="822297175" name="Picture 17" descr="A white dollar sign in a circle&#10;&#10;AI-generated content may be incorrect.">
                    <a:extLst xmlns:a="http://schemas.openxmlformats.org/drawingml/2006/main">
                      <a:ext uri="{FF2B5EF4-FFF2-40B4-BE49-F238E27FC236}">
                        <a16:creationId xmlns:a16="http://schemas.microsoft.com/office/drawing/2014/main" id="{5E95BA44-000E-5F82-4AD1-8DDFA53A9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7" descr="A white dollar sign in a circle&#10;&#10;AI-generated content may be incorrect.">
                            <a:extLst>
                              <a:ext uri="{FF2B5EF4-FFF2-40B4-BE49-F238E27FC236}">
                                <a16:creationId xmlns:a16="http://schemas.microsoft.com/office/drawing/2014/main" id="{5E95BA44-000E-5F82-4AD1-8DDFA53A9737}"/>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pic:spPr>
                      </pic:pic>
                    </a:graphicData>
                  </a:graphic>
                  <wp14:sizeRelH relativeFrom="page">
                    <wp14:pctWidth>0</wp14:pctWidth>
                  </wp14:sizeRelH>
                  <wp14:sizeRelV relativeFrom="page">
                    <wp14:pctHeight>0</wp14:pctHeight>
                  </wp14:sizeRelV>
                </wp:anchor>
              </w:drawing>
            </w:r>
            <w:r w:rsidR="00785144" w:rsidRPr="00A43B0D">
              <w:rPr>
                <w:noProof/>
                <w:sz w:val="18"/>
                <w:szCs w:val="18"/>
              </w:rPr>
              <w:drawing>
                <wp:anchor distT="0" distB="0" distL="114300" distR="114300" simplePos="0" relativeHeight="251658260" behindDoc="0" locked="0" layoutInCell="1" allowOverlap="1" wp14:anchorId="01C8A87D" wp14:editId="78AEDF50">
                  <wp:simplePos x="0" y="0"/>
                  <wp:positionH relativeFrom="column">
                    <wp:posOffset>197815</wp:posOffset>
                  </wp:positionH>
                  <wp:positionV relativeFrom="paragraph">
                    <wp:posOffset>1550670</wp:posOffset>
                  </wp:positionV>
                  <wp:extent cx="287655" cy="287655"/>
                  <wp:effectExtent l="0" t="0" r="0" b="0"/>
                  <wp:wrapNone/>
                  <wp:docPr id="872444384" name="Picture 19" descr="A white logo with a black background&#10;&#10;AI-generated content may be incorrect.">
                    <a:extLst xmlns:a="http://schemas.openxmlformats.org/drawingml/2006/main">
                      <a:ext uri="{FF2B5EF4-FFF2-40B4-BE49-F238E27FC236}">
                        <a16:creationId xmlns:a16="http://schemas.microsoft.com/office/drawing/2014/main" id="{CFC0251D-C711-4D06-A2C1-500418CBC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9" descr="A white logo with a black background&#10;&#10;AI-generated content may be incorrect.">
                            <a:extLst>
                              <a:ext uri="{FF2B5EF4-FFF2-40B4-BE49-F238E27FC236}">
                                <a16:creationId xmlns:a16="http://schemas.microsoft.com/office/drawing/2014/main" id="{CFC0251D-C711-4D06-A2C1-500418CBCF3C}"/>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pic:spPr>
                      </pic:pic>
                    </a:graphicData>
                  </a:graphic>
                  <wp14:sizeRelH relativeFrom="page">
                    <wp14:pctWidth>0</wp14:pctWidth>
                  </wp14:sizeRelH>
                  <wp14:sizeRelV relativeFrom="page">
                    <wp14:pctHeight>0</wp14:pctHeight>
                  </wp14:sizeRelV>
                </wp:anchor>
              </w:drawing>
            </w:r>
          </w:p>
        </w:tc>
      </w:tr>
      <w:tr w:rsidR="00785144" w:rsidRPr="00A43B0D" w14:paraId="2E2C5ED7" w14:textId="77777777">
        <w:trPr>
          <w:trHeight w:val="531"/>
        </w:trPr>
        <w:tc>
          <w:tcPr>
            <w:tcW w:w="3909" w:type="dxa"/>
            <w:gridSpan w:val="2"/>
          </w:tcPr>
          <w:p w14:paraId="420BB936" w14:textId="77777777" w:rsidR="00785144" w:rsidRPr="00B41A8B" w:rsidRDefault="00785144" w:rsidP="00785144">
            <w:pPr>
              <w:pStyle w:val="ListParagraph"/>
              <w:numPr>
                <w:ilvl w:val="0"/>
                <w:numId w:val="90"/>
              </w:numPr>
              <w:rPr>
                <w:sz w:val="12"/>
                <w:szCs w:val="12"/>
              </w:rPr>
            </w:pPr>
            <w:r w:rsidRPr="00B41A8B">
              <w:rPr>
                <w:sz w:val="12"/>
                <w:szCs w:val="12"/>
              </w:rPr>
              <w:t xml:space="preserve">Victorian Public Sector Commission, </w:t>
            </w:r>
            <w:r w:rsidRPr="00B41A8B">
              <w:rPr>
                <w:i/>
                <w:iCs/>
                <w:sz w:val="12"/>
                <w:szCs w:val="12"/>
              </w:rPr>
              <w:t>State of the Sector</w:t>
            </w:r>
            <w:r w:rsidRPr="00B41A8B">
              <w:rPr>
                <w:sz w:val="12"/>
                <w:szCs w:val="12"/>
              </w:rPr>
              <w:t>, 2024</w:t>
            </w:r>
            <w:r w:rsidRPr="00004C2D">
              <w:rPr>
                <w:sz w:val="12"/>
                <w:szCs w:val="12"/>
              </w:rPr>
              <w:t>.</w:t>
            </w:r>
          </w:p>
          <w:p w14:paraId="56CD1539" w14:textId="77777777" w:rsidR="00785144" w:rsidRPr="00B41A8B" w:rsidRDefault="00785144" w:rsidP="00785144">
            <w:pPr>
              <w:pStyle w:val="ListParagraph"/>
              <w:numPr>
                <w:ilvl w:val="0"/>
                <w:numId w:val="90"/>
              </w:numPr>
              <w:rPr>
                <w:sz w:val="12"/>
                <w:szCs w:val="12"/>
              </w:rPr>
            </w:pPr>
            <w:r w:rsidRPr="00004C2D">
              <w:rPr>
                <w:sz w:val="12"/>
                <w:szCs w:val="12"/>
              </w:rPr>
              <w:t xml:space="preserve">DH, </w:t>
            </w:r>
            <w:proofErr w:type="gramStart"/>
            <w:r w:rsidRPr="00B41A8B">
              <w:rPr>
                <w:i/>
                <w:iCs/>
                <w:sz w:val="12"/>
                <w:szCs w:val="12"/>
              </w:rPr>
              <w:t>Ageing</w:t>
            </w:r>
            <w:proofErr w:type="gramEnd"/>
            <w:r w:rsidRPr="00B41A8B">
              <w:rPr>
                <w:i/>
                <w:iCs/>
                <w:sz w:val="12"/>
                <w:szCs w:val="12"/>
              </w:rPr>
              <w:t xml:space="preserve"> well in Victoria An action plan for strengthening wellbeing for senior Victorians 2022–2026</w:t>
            </w:r>
            <w:r w:rsidRPr="00B41A8B">
              <w:rPr>
                <w:sz w:val="12"/>
                <w:szCs w:val="12"/>
              </w:rPr>
              <w:t>, 2022</w:t>
            </w:r>
            <w:r w:rsidRPr="00004C2D">
              <w:rPr>
                <w:sz w:val="12"/>
                <w:szCs w:val="12"/>
              </w:rPr>
              <w:t>.</w:t>
            </w:r>
          </w:p>
          <w:p w14:paraId="14B405EC" w14:textId="77777777" w:rsidR="00785144" w:rsidRPr="00B41A8B" w:rsidRDefault="00785144" w:rsidP="00785144">
            <w:pPr>
              <w:pStyle w:val="ListParagraph"/>
              <w:numPr>
                <w:ilvl w:val="0"/>
                <w:numId w:val="90"/>
              </w:numPr>
              <w:rPr>
                <w:sz w:val="12"/>
                <w:szCs w:val="12"/>
              </w:rPr>
            </w:pPr>
            <w:r w:rsidRPr="00B41A8B">
              <w:rPr>
                <w:sz w:val="12"/>
                <w:szCs w:val="12"/>
              </w:rPr>
              <w:t>Productivity Commission</w:t>
            </w:r>
            <w:r w:rsidRPr="00004C2D">
              <w:rPr>
                <w:sz w:val="12"/>
                <w:szCs w:val="12"/>
              </w:rPr>
              <w:t>,</w:t>
            </w:r>
            <w:r w:rsidRPr="00B41A8B">
              <w:rPr>
                <w:sz w:val="12"/>
                <w:szCs w:val="12"/>
              </w:rPr>
              <w:t xml:space="preserve"> </w:t>
            </w:r>
            <w:r w:rsidRPr="00B41A8B">
              <w:rPr>
                <w:i/>
                <w:iCs/>
                <w:sz w:val="12"/>
                <w:szCs w:val="12"/>
              </w:rPr>
              <w:t>Report on Government Services</w:t>
            </w:r>
            <w:r w:rsidRPr="00004C2D">
              <w:rPr>
                <w:sz w:val="12"/>
                <w:szCs w:val="12"/>
              </w:rPr>
              <w:t>,</w:t>
            </w:r>
            <w:r w:rsidRPr="00B41A8B">
              <w:rPr>
                <w:sz w:val="12"/>
                <w:szCs w:val="12"/>
              </w:rPr>
              <w:t xml:space="preserve"> 2025</w:t>
            </w:r>
            <w:r w:rsidRPr="00004C2D">
              <w:rPr>
                <w:sz w:val="12"/>
                <w:szCs w:val="12"/>
              </w:rPr>
              <w:t>.</w:t>
            </w:r>
          </w:p>
          <w:p w14:paraId="5953FCE2" w14:textId="77777777" w:rsidR="00785144" w:rsidRPr="00B41A8B" w:rsidRDefault="00785144" w:rsidP="00785144">
            <w:pPr>
              <w:pStyle w:val="ListParagraph"/>
              <w:numPr>
                <w:ilvl w:val="0"/>
                <w:numId w:val="90"/>
              </w:numPr>
              <w:rPr>
                <w:sz w:val="12"/>
                <w:szCs w:val="12"/>
              </w:rPr>
            </w:pPr>
            <w:r w:rsidRPr="00004C2D">
              <w:rPr>
                <w:sz w:val="12"/>
                <w:szCs w:val="12"/>
              </w:rPr>
              <w:t xml:space="preserve">DH, </w:t>
            </w:r>
            <w:r w:rsidRPr="00B41A8B">
              <w:rPr>
                <w:i/>
                <w:iCs/>
                <w:sz w:val="12"/>
                <w:szCs w:val="12"/>
              </w:rPr>
              <w:t>Your health: Report of the Chief Health Officer Victoria</w:t>
            </w:r>
            <w:r w:rsidRPr="00004C2D">
              <w:rPr>
                <w:sz w:val="12"/>
                <w:szCs w:val="12"/>
              </w:rPr>
              <w:t>, 2018.</w:t>
            </w:r>
          </w:p>
          <w:p w14:paraId="06195541" w14:textId="77777777" w:rsidR="00785144" w:rsidRPr="00B41A8B" w:rsidRDefault="00785144" w:rsidP="00785144">
            <w:pPr>
              <w:pStyle w:val="ListParagraph"/>
              <w:numPr>
                <w:ilvl w:val="0"/>
                <w:numId w:val="90"/>
              </w:numPr>
              <w:rPr>
                <w:sz w:val="12"/>
                <w:szCs w:val="12"/>
              </w:rPr>
            </w:pPr>
            <w:r w:rsidRPr="00004C2D">
              <w:rPr>
                <w:sz w:val="12"/>
                <w:szCs w:val="12"/>
              </w:rPr>
              <w:t xml:space="preserve">DH, </w:t>
            </w:r>
            <w:r w:rsidRPr="00B41A8B">
              <w:rPr>
                <w:i/>
                <w:iCs/>
                <w:sz w:val="12"/>
                <w:szCs w:val="12"/>
              </w:rPr>
              <w:t>Your Health: Report of the Chief Health Officer Victoria</w:t>
            </w:r>
            <w:r w:rsidRPr="00004C2D">
              <w:rPr>
                <w:sz w:val="12"/>
                <w:szCs w:val="12"/>
              </w:rPr>
              <w:t>,</w:t>
            </w:r>
            <w:r w:rsidRPr="00B41A8B">
              <w:rPr>
                <w:sz w:val="12"/>
                <w:szCs w:val="12"/>
              </w:rPr>
              <w:t xml:space="preserve"> 2020 and 2021</w:t>
            </w:r>
            <w:r w:rsidRPr="00004C2D">
              <w:rPr>
                <w:sz w:val="12"/>
                <w:szCs w:val="12"/>
              </w:rPr>
              <w:t>.</w:t>
            </w:r>
          </w:p>
          <w:p w14:paraId="14E8485A" w14:textId="77777777" w:rsidR="00785144" w:rsidRPr="00EE6EDC" w:rsidRDefault="00785144" w:rsidP="00785144">
            <w:pPr>
              <w:pStyle w:val="ListParagraph"/>
              <w:numPr>
                <w:ilvl w:val="0"/>
                <w:numId w:val="90"/>
              </w:numPr>
              <w:rPr>
                <w:i/>
                <w:iCs/>
                <w:sz w:val="12"/>
                <w:szCs w:val="12"/>
              </w:rPr>
            </w:pPr>
            <w:r w:rsidRPr="00004C2D">
              <w:rPr>
                <w:sz w:val="12"/>
                <w:szCs w:val="12"/>
              </w:rPr>
              <w:t xml:space="preserve">DH, </w:t>
            </w:r>
            <w:r w:rsidRPr="00B41A8B">
              <w:rPr>
                <w:i/>
                <w:iCs/>
                <w:sz w:val="12"/>
                <w:szCs w:val="12"/>
              </w:rPr>
              <w:t>Mental health and wellbeing annual report</w:t>
            </w:r>
            <w:r w:rsidRPr="00B41A8B">
              <w:rPr>
                <w:sz w:val="12"/>
                <w:szCs w:val="12"/>
              </w:rPr>
              <w:t>, 2022–23</w:t>
            </w:r>
            <w:r w:rsidRPr="00004C2D">
              <w:rPr>
                <w:sz w:val="12"/>
                <w:szCs w:val="12"/>
              </w:rPr>
              <w:t>, 2023.</w:t>
            </w:r>
          </w:p>
        </w:tc>
      </w:tr>
      <w:tr w:rsidR="00785144" w:rsidRPr="00A43B0D" w14:paraId="4F0D13B0" w14:textId="77777777">
        <w:trPr>
          <w:trHeight w:val="458"/>
        </w:trPr>
        <w:tc>
          <w:tcPr>
            <w:tcW w:w="3909" w:type="dxa"/>
            <w:gridSpan w:val="2"/>
          </w:tcPr>
          <w:p w14:paraId="773F3625" w14:textId="77777777" w:rsidR="00785144" w:rsidRPr="00303A8B" w:rsidRDefault="00785144" w:rsidP="00303A8B">
            <w:pPr>
              <w:pStyle w:val="Heading3"/>
              <w:rPr>
                <w:rFonts w:asciiTheme="majorHAnsi" w:hAnsiTheme="majorHAnsi"/>
                <w:sz w:val="32"/>
                <w:szCs w:val="32"/>
              </w:rPr>
            </w:pPr>
            <w:r w:rsidRPr="00303A8B">
              <w:rPr>
                <w:rFonts w:asciiTheme="majorHAnsi" w:hAnsiTheme="majorHAnsi"/>
                <w:sz w:val="32"/>
                <w:szCs w:val="32"/>
              </w:rPr>
              <w:lastRenderedPageBreak/>
              <w:t>Department of Jobs, Skills, Industry and Regions (DJSIR)</w:t>
            </w:r>
          </w:p>
        </w:tc>
      </w:tr>
      <w:tr w:rsidR="00785144" w:rsidRPr="00A43B0D" w14:paraId="4F2BFC31" w14:textId="77777777">
        <w:trPr>
          <w:trHeight w:val="281"/>
        </w:trPr>
        <w:tc>
          <w:tcPr>
            <w:tcW w:w="3909" w:type="dxa"/>
            <w:gridSpan w:val="2"/>
          </w:tcPr>
          <w:p w14:paraId="43B936A8" w14:textId="77777777" w:rsidR="00785144" w:rsidRDefault="00785144">
            <w:pPr>
              <w:spacing w:line="278" w:lineRule="auto"/>
              <w:rPr>
                <w:sz w:val="18"/>
                <w:szCs w:val="18"/>
              </w:rPr>
            </w:pPr>
            <w:r w:rsidRPr="000F1CA4">
              <w:rPr>
                <w:sz w:val="18"/>
                <w:szCs w:val="18"/>
              </w:rPr>
              <w:t>Fostering economic development and creating opportunities for growth by supporting businesses and industries to invest and grow in Victoria.</w:t>
            </w:r>
          </w:p>
          <w:p w14:paraId="33729E34" w14:textId="77777777" w:rsidR="00785144" w:rsidRPr="00A43B0D" w:rsidRDefault="00785144">
            <w:pPr>
              <w:spacing w:line="278" w:lineRule="auto"/>
              <w:rPr>
                <w:sz w:val="18"/>
                <w:szCs w:val="18"/>
              </w:rPr>
            </w:pPr>
          </w:p>
        </w:tc>
      </w:tr>
      <w:tr w:rsidR="00785144" w:rsidRPr="00A43B0D" w14:paraId="66B7C1EA" w14:textId="77777777">
        <w:trPr>
          <w:trHeight w:val="570"/>
        </w:trPr>
        <w:tc>
          <w:tcPr>
            <w:tcW w:w="1955" w:type="dxa"/>
          </w:tcPr>
          <w:p w14:paraId="6576D2B1" w14:textId="77777777" w:rsidR="00785144" w:rsidRPr="00A43B0D" w:rsidRDefault="00785144">
            <w:pPr>
              <w:spacing w:line="278" w:lineRule="auto"/>
              <w:rPr>
                <w:sz w:val="18"/>
                <w:szCs w:val="18"/>
              </w:rPr>
            </w:pPr>
            <w:r>
              <w:rPr>
                <w:noProof/>
              </w:rPr>
              <w:drawing>
                <wp:inline distT="0" distB="0" distL="0" distR="0" wp14:anchorId="39DD935D" wp14:editId="4A85B973">
                  <wp:extent cx="2253343" cy="347644"/>
                  <wp:effectExtent l="0" t="0" r="0" b="0"/>
                  <wp:docPr id="1162996359"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96359" name="Picture 1" descr="A close-up of a text&#10;&#10;AI-generated content may be incorrec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272007" cy="350523"/>
                          </a:xfrm>
                          <a:prstGeom prst="rect">
                            <a:avLst/>
                          </a:prstGeom>
                        </pic:spPr>
                      </pic:pic>
                    </a:graphicData>
                  </a:graphic>
                </wp:inline>
              </w:drawing>
            </w:r>
          </w:p>
        </w:tc>
        <w:tc>
          <w:tcPr>
            <w:tcW w:w="1953" w:type="dxa"/>
          </w:tcPr>
          <w:p w14:paraId="1A7DC9E9" w14:textId="77777777" w:rsidR="00785144" w:rsidRPr="00A43B0D" w:rsidRDefault="00785144">
            <w:pPr>
              <w:spacing w:line="278" w:lineRule="auto"/>
              <w:rPr>
                <w:sz w:val="18"/>
                <w:szCs w:val="18"/>
              </w:rPr>
            </w:pPr>
            <w:r>
              <w:rPr>
                <w:noProof/>
              </w:rPr>
              <w:drawing>
                <wp:inline distT="0" distB="0" distL="0" distR="0" wp14:anchorId="1ED38032" wp14:editId="07285B67">
                  <wp:extent cx="1921329" cy="320222"/>
                  <wp:effectExtent l="0" t="0" r="3175" b="3810"/>
                  <wp:docPr id="945005630" name="Picture 1"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005630" name="Picture 1" descr="A blue text on a white background&#10;&#10;AI-generated content may be incorrec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947486" cy="324581"/>
                          </a:xfrm>
                          <a:prstGeom prst="rect">
                            <a:avLst/>
                          </a:prstGeom>
                        </pic:spPr>
                      </pic:pic>
                    </a:graphicData>
                  </a:graphic>
                </wp:inline>
              </w:drawing>
            </w:r>
          </w:p>
        </w:tc>
      </w:tr>
      <w:tr w:rsidR="00785144" w:rsidRPr="00A43B0D" w14:paraId="01664714" w14:textId="77777777">
        <w:trPr>
          <w:trHeight w:val="2560"/>
        </w:trPr>
        <w:tc>
          <w:tcPr>
            <w:tcW w:w="1955" w:type="dxa"/>
          </w:tcPr>
          <w:p w14:paraId="329718C8" w14:textId="77777777" w:rsidR="00785144" w:rsidRDefault="00785144">
            <w:pPr>
              <w:rPr>
                <w:rFonts w:asciiTheme="majorHAnsi" w:hAnsiTheme="majorHAnsi"/>
                <w:b/>
                <w:bCs/>
                <w:color w:val="0F4761" w:themeColor="accent1" w:themeShade="BF"/>
                <w:szCs w:val="22"/>
              </w:rPr>
            </w:pPr>
          </w:p>
          <w:p w14:paraId="699E8446" w14:textId="77777777" w:rsidR="00785144" w:rsidRPr="00354732" w:rsidRDefault="00785144">
            <w:pPr>
              <w:rPr>
                <w:rFonts w:asciiTheme="majorHAnsi" w:hAnsiTheme="majorHAnsi"/>
                <w:b/>
                <w:bCs/>
                <w:color w:val="0F4761" w:themeColor="accent1" w:themeShade="BF"/>
                <w:szCs w:val="22"/>
              </w:rPr>
            </w:pPr>
            <w:r w:rsidRPr="00354732">
              <w:rPr>
                <w:rFonts w:asciiTheme="majorHAnsi" w:hAnsiTheme="majorHAnsi"/>
                <w:b/>
                <w:bCs/>
                <w:color w:val="0F4761" w:themeColor="accent1" w:themeShade="BF"/>
                <w:szCs w:val="22"/>
              </w:rPr>
              <w:t>Objectives</w:t>
            </w:r>
            <w:r w:rsidRPr="00354732">
              <w:rPr>
                <w:rFonts w:asciiTheme="majorHAnsi" w:hAnsiTheme="majorHAnsi"/>
                <w:b/>
                <w:bCs/>
                <w:color w:val="0F4761" w:themeColor="accent1" w:themeShade="BF"/>
                <w:szCs w:val="22"/>
                <w:vertAlign w:val="superscript"/>
              </w:rPr>
              <w:t>†</w:t>
            </w:r>
          </w:p>
          <w:p w14:paraId="0145668C" w14:textId="77777777" w:rsidR="00785144" w:rsidRPr="000F1CA4" w:rsidRDefault="00785144" w:rsidP="00785144">
            <w:pPr>
              <w:numPr>
                <w:ilvl w:val="0"/>
                <w:numId w:val="82"/>
              </w:numPr>
              <w:ind w:left="414" w:hanging="357"/>
              <w:rPr>
                <w:sz w:val="18"/>
                <w:szCs w:val="18"/>
              </w:rPr>
            </w:pPr>
            <w:r w:rsidRPr="000F1CA4">
              <w:rPr>
                <w:sz w:val="18"/>
                <w:szCs w:val="18"/>
              </w:rPr>
              <w:t>Growing prosperity by creating more opportunities for people through skills and jobs</w:t>
            </w:r>
          </w:p>
          <w:p w14:paraId="5E7BB8A9" w14:textId="77777777" w:rsidR="00785144" w:rsidRPr="000F1CA4" w:rsidRDefault="00785144" w:rsidP="00785144">
            <w:pPr>
              <w:numPr>
                <w:ilvl w:val="0"/>
                <w:numId w:val="82"/>
              </w:numPr>
              <w:ind w:left="414" w:hanging="357"/>
              <w:rPr>
                <w:sz w:val="18"/>
                <w:szCs w:val="18"/>
              </w:rPr>
            </w:pPr>
            <w:r w:rsidRPr="000F1CA4">
              <w:rPr>
                <w:sz w:val="18"/>
                <w:szCs w:val="18"/>
              </w:rPr>
              <w:t>Building the productive capacity of our economy to help businesses and industries thrive</w:t>
            </w:r>
          </w:p>
          <w:p w14:paraId="4B682740" w14:textId="77777777" w:rsidR="00785144" w:rsidRPr="000F1CA4" w:rsidRDefault="00785144" w:rsidP="00785144">
            <w:pPr>
              <w:numPr>
                <w:ilvl w:val="0"/>
                <w:numId w:val="82"/>
              </w:numPr>
              <w:ind w:left="414" w:hanging="357"/>
              <w:rPr>
                <w:sz w:val="18"/>
                <w:szCs w:val="18"/>
              </w:rPr>
            </w:pPr>
            <w:r w:rsidRPr="000F1CA4">
              <w:rPr>
                <w:sz w:val="18"/>
                <w:szCs w:val="18"/>
              </w:rPr>
              <w:t>Increasing participation and supporting vibrant communities and regions</w:t>
            </w:r>
          </w:p>
          <w:p w14:paraId="75B6B137" w14:textId="77777777" w:rsidR="00785144" w:rsidRPr="00883832" w:rsidRDefault="00785144">
            <w:pPr>
              <w:pStyle w:val="Heading3"/>
              <w:numPr>
                <w:ilvl w:val="0"/>
                <w:numId w:val="0"/>
              </w:numPr>
              <w:rPr>
                <w:sz w:val="18"/>
                <w:szCs w:val="18"/>
              </w:rPr>
            </w:pPr>
          </w:p>
          <w:p w14:paraId="7CB98B8E" w14:textId="77777777" w:rsidR="00785144" w:rsidRPr="007F0C29" w:rsidRDefault="00785144">
            <w:r w:rsidRPr="00112BFC">
              <w:rPr>
                <w:rFonts w:asciiTheme="majorHAnsi" w:hAnsiTheme="majorHAnsi"/>
                <w:b/>
                <w:bCs/>
                <w:color w:val="0F4761" w:themeColor="accent1" w:themeShade="BF"/>
                <w:szCs w:val="22"/>
              </w:rPr>
              <w:t>Share of VPS workforce^</w:t>
            </w:r>
            <w:r w:rsidRPr="000264EC">
              <w:rPr>
                <w:bCs/>
                <w:szCs w:val="22"/>
              </w:rPr>
              <w:br/>
            </w:r>
            <w:r w:rsidRPr="00354732">
              <w:rPr>
                <w:color w:val="0F4761" w:themeColor="accent1" w:themeShade="BF"/>
                <w:sz w:val="18"/>
                <w:szCs w:val="18"/>
              </w:rPr>
              <w:t>VPS Classifications, June 2024</w:t>
            </w:r>
          </w:p>
        </w:tc>
        <w:tc>
          <w:tcPr>
            <w:tcW w:w="1953" w:type="dxa"/>
          </w:tcPr>
          <w:p w14:paraId="752BBB19" w14:textId="77777777" w:rsidR="00785144" w:rsidRDefault="00785144">
            <w:pPr>
              <w:rPr>
                <w:rFonts w:asciiTheme="majorHAnsi" w:hAnsiTheme="majorHAnsi"/>
                <w:b/>
                <w:bCs/>
                <w:color w:val="0F4761" w:themeColor="accent1" w:themeShade="BF"/>
                <w:szCs w:val="22"/>
              </w:rPr>
            </w:pPr>
          </w:p>
          <w:p w14:paraId="29B5994E" w14:textId="77777777" w:rsidR="00785144" w:rsidRPr="00354732" w:rsidRDefault="00785144">
            <w:pPr>
              <w:rPr>
                <w:rFonts w:asciiTheme="majorHAnsi" w:hAnsiTheme="majorHAnsi"/>
                <w:b/>
                <w:bCs/>
                <w:color w:val="0F4761" w:themeColor="accent1" w:themeShade="BF"/>
                <w:szCs w:val="22"/>
              </w:rPr>
            </w:pPr>
            <w:r w:rsidRPr="00354732">
              <w:rPr>
                <w:rFonts w:asciiTheme="majorHAnsi" w:hAnsiTheme="majorHAnsi"/>
                <w:b/>
                <w:bCs/>
                <w:color w:val="0F4761" w:themeColor="accent1" w:themeShade="BF"/>
                <w:szCs w:val="22"/>
              </w:rPr>
              <w:t>Ministerial portfolios</w:t>
            </w:r>
          </w:p>
          <w:p w14:paraId="36C71C7A" w14:textId="77777777" w:rsidR="00785144" w:rsidRPr="000F1CA4" w:rsidRDefault="00785144" w:rsidP="00785144">
            <w:pPr>
              <w:numPr>
                <w:ilvl w:val="0"/>
                <w:numId w:val="83"/>
              </w:numPr>
              <w:ind w:left="414" w:hanging="357"/>
              <w:rPr>
                <w:sz w:val="18"/>
                <w:szCs w:val="18"/>
              </w:rPr>
            </w:pPr>
            <w:r w:rsidRPr="000F1CA4">
              <w:rPr>
                <w:sz w:val="18"/>
                <w:szCs w:val="18"/>
              </w:rPr>
              <w:t>Community Sport</w:t>
            </w:r>
          </w:p>
          <w:p w14:paraId="0F9C57AE" w14:textId="77777777" w:rsidR="00785144" w:rsidRPr="000F1CA4" w:rsidRDefault="00785144" w:rsidP="00785144">
            <w:pPr>
              <w:numPr>
                <w:ilvl w:val="0"/>
                <w:numId w:val="83"/>
              </w:numPr>
              <w:ind w:left="414" w:hanging="357"/>
              <w:rPr>
                <w:sz w:val="18"/>
                <w:szCs w:val="18"/>
              </w:rPr>
            </w:pPr>
            <w:r w:rsidRPr="000F1CA4">
              <w:rPr>
                <w:sz w:val="18"/>
                <w:szCs w:val="18"/>
              </w:rPr>
              <w:t>Creative Industries</w:t>
            </w:r>
          </w:p>
          <w:p w14:paraId="7BDC5C23" w14:textId="77777777" w:rsidR="00785144" w:rsidRPr="000F1CA4" w:rsidRDefault="00785144" w:rsidP="00785144">
            <w:pPr>
              <w:numPr>
                <w:ilvl w:val="0"/>
                <w:numId w:val="83"/>
              </w:numPr>
              <w:ind w:left="414" w:hanging="357"/>
              <w:rPr>
                <w:sz w:val="18"/>
                <w:szCs w:val="18"/>
              </w:rPr>
            </w:pPr>
            <w:r w:rsidRPr="000F1CA4">
              <w:rPr>
                <w:sz w:val="18"/>
                <w:szCs w:val="18"/>
              </w:rPr>
              <w:t>Economic Growth and Jobs</w:t>
            </w:r>
          </w:p>
          <w:p w14:paraId="4FC7B82E" w14:textId="77777777" w:rsidR="00785144" w:rsidRPr="000F1CA4" w:rsidRDefault="00785144" w:rsidP="00785144">
            <w:pPr>
              <w:numPr>
                <w:ilvl w:val="0"/>
                <w:numId w:val="83"/>
              </w:numPr>
              <w:ind w:left="414" w:hanging="357"/>
              <w:rPr>
                <w:sz w:val="18"/>
                <w:szCs w:val="18"/>
              </w:rPr>
            </w:pPr>
            <w:r w:rsidRPr="000F1CA4">
              <w:rPr>
                <w:sz w:val="18"/>
                <w:szCs w:val="18"/>
              </w:rPr>
              <w:t>Industry and Advanced Manufacturing</w:t>
            </w:r>
          </w:p>
          <w:p w14:paraId="3BF19427" w14:textId="77777777" w:rsidR="00785144" w:rsidRPr="000F1CA4" w:rsidRDefault="00785144" w:rsidP="00785144">
            <w:pPr>
              <w:numPr>
                <w:ilvl w:val="0"/>
                <w:numId w:val="83"/>
              </w:numPr>
              <w:ind w:left="414" w:hanging="357"/>
              <w:rPr>
                <w:sz w:val="18"/>
                <w:szCs w:val="18"/>
              </w:rPr>
            </w:pPr>
            <w:r w:rsidRPr="000F1CA4">
              <w:rPr>
                <w:sz w:val="18"/>
                <w:szCs w:val="18"/>
              </w:rPr>
              <w:t>Outdoor Recreation</w:t>
            </w:r>
          </w:p>
          <w:p w14:paraId="3DCD7509" w14:textId="77777777" w:rsidR="00785144" w:rsidRPr="000F1CA4" w:rsidRDefault="00785144" w:rsidP="00785144">
            <w:pPr>
              <w:numPr>
                <w:ilvl w:val="0"/>
                <w:numId w:val="83"/>
              </w:numPr>
              <w:ind w:left="414" w:hanging="357"/>
              <w:rPr>
                <w:sz w:val="18"/>
                <w:szCs w:val="18"/>
              </w:rPr>
            </w:pPr>
            <w:r w:rsidRPr="000F1CA4">
              <w:rPr>
                <w:sz w:val="18"/>
                <w:szCs w:val="18"/>
              </w:rPr>
              <w:t>Regional Development</w:t>
            </w:r>
          </w:p>
          <w:p w14:paraId="0E0F9E15" w14:textId="77777777" w:rsidR="00785144" w:rsidRPr="000F1CA4" w:rsidRDefault="00785144" w:rsidP="00785144">
            <w:pPr>
              <w:numPr>
                <w:ilvl w:val="0"/>
                <w:numId w:val="83"/>
              </w:numPr>
              <w:ind w:left="414" w:hanging="357"/>
              <w:rPr>
                <w:sz w:val="18"/>
                <w:szCs w:val="18"/>
              </w:rPr>
            </w:pPr>
            <w:r w:rsidRPr="000F1CA4">
              <w:rPr>
                <w:sz w:val="18"/>
                <w:szCs w:val="18"/>
              </w:rPr>
              <w:t>Skills and TAFE</w:t>
            </w:r>
          </w:p>
          <w:p w14:paraId="08304DDF" w14:textId="77777777" w:rsidR="00785144" w:rsidRPr="000F1CA4" w:rsidRDefault="00785144" w:rsidP="00785144">
            <w:pPr>
              <w:numPr>
                <w:ilvl w:val="0"/>
                <w:numId w:val="83"/>
              </w:numPr>
              <w:ind w:left="414" w:hanging="357"/>
              <w:rPr>
                <w:sz w:val="18"/>
                <w:szCs w:val="18"/>
              </w:rPr>
            </w:pPr>
            <w:r w:rsidRPr="000F1CA4">
              <w:rPr>
                <w:sz w:val="18"/>
                <w:szCs w:val="18"/>
              </w:rPr>
              <w:t>Small Business and Employment</w:t>
            </w:r>
          </w:p>
          <w:p w14:paraId="40280701" w14:textId="77777777" w:rsidR="00785144" w:rsidRDefault="00785144" w:rsidP="00785144">
            <w:pPr>
              <w:numPr>
                <w:ilvl w:val="0"/>
                <w:numId w:val="83"/>
              </w:numPr>
              <w:ind w:left="414" w:hanging="357"/>
              <w:rPr>
                <w:sz w:val="18"/>
                <w:szCs w:val="18"/>
              </w:rPr>
            </w:pPr>
            <w:r w:rsidRPr="000F1CA4">
              <w:rPr>
                <w:sz w:val="18"/>
                <w:szCs w:val="18"/>
              </w:rPr>
              <w:t>Tourism, Sport and Major Events</w:t>
            </w:r>
          </w:p>
          <w:p w14:paraId="5AA18488" w14:textId="77777777" w:rsidR="00785144" w:rsidRPr="00FE5383" w:rsidRDefault="00785144">
            <w:pPr>
              <w:rPr>
                <w:sz w:val="18"/>
                <w:szCs w:val="18"/>
              </w:rPr>
            </w:pPr>
          </w:p>
        </w:tc>
      </w:tr>
      <w:tr w:rsidR="00785144" w:rsidRPr="00A43B0D" w14:paraId="1D961385" w14:textId="77777777">
        <w:trPr>
          <w:trHeight w:val="3045"/>
        </w:trPr>
        <w:tc>
          <w:tcPr>
            <w:tcW w:w="1955" w:type="dxa"/>
          </w:tcPr>
          <w:p w14:paraId="4BC16C6F" w14:textId="77777777" w:rsidR="00785144" w:rsidRDefault="00785144">
            <w:pPr>
              <w:spacing w:line="278" w:lineRule="auto"/>
              <w:rPr>
                <w:sz w:val="18"/>
                <w:szCs w:val="18"/>
              </w:rPr>
            </w:pPr>
            <w:r>
              <w:rPr>
                <w:noProof/>
              </w:rPr>
              <w:drawing>
                <wp:inline distT="0" distB="0" distL="0" distR="0" wp14:anchorId="4DFF87D5" wp14:editId="3247441A">
                  <wp:extent cx="2329106" cy="1569255"/>
                  <wp:effectExtent l="0" t="0" r="0" b="0"/>
                  <wp:docPr id="1544480168" name="Picture 1" descr="A graph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480168" name="Picture 1" descr="A graph of different types of data&#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329106" cy="1569255"/>
                          </a:xfrm>
                          <a:prstGeom prst="rect">
                            <a:avLst/>
                          </a:prstGeom>
                        </pic:spPr>
                      </pic:pic>
                    </a:graphicData>
                  </a:graphic>
                </wp:inline>
              </w:drawing>
            </w:r>
          </w:p>
          <w:p w14:paraId="5669B192" w14:textId="77777777" w:rsidR="00785144" w:rsidRPr="00D01A4B" w:rsidRDefault="00785144">
            <w:pPr>
              <w:pStyle w:val="Heading2"/>
              <w:rPr>
                <w:sz w:val="18"/>
                <w:szCs w:val="18"/>
              </w:rPr>
            </w:pPr>
          </w:p>
          <w:p w14:paraId="2FCE0BC7" w14:textId="77777777" w:rsidR="00785144" w:rsidRPr="0040758C" w:rsidRDefault="00785144">
            <w:pPr>
              <w:pStyle w:val="Heading3"/>
              <w:rPr>
                <w:sz w:val="22"/>
                <w:szCs w:val="22"/>
              </w:rPr>
            </w:pPr>
            <w:r w:rsidRPr="0040758C">
              <w:rPr>
                <w:sz w:val="22"/>
                <w:szCs w:val="22"/>
              </w:rPr>
              <w:t>Output expenditure</w:t>
            </w:r>
            <w:r w:rsidRPr="0040758C">
              <w:rPr>
                <w:sz w:val="22"/>
                <w:szCs w:val="22"/>
                <w:vertAlign w:val="superscript"/>
              </w:rPr>
              <w:t>†</w:t>
            </w:r>
            <w:r w:rsidRPr="0040758C">
              <w:rPr>
                <w:sz w:val="22"/>
                <w:szCs w:val="22"/>
              </w:rPr>
              <w:br/>
            </w:r>
            <w:r w:rsidRPr="0040758C">
              <w:rPr>
                <w:b w:val="0"/>
                <w:bCs/>
                <w:sz w:val="18"/>
                <w:szCs w:val="18"/>
              </w:rPr>
              <w:t xml:space="preserve">$ </w:t>
            </w:r>
            <w:proofErr w:type="gramStart"/>
            <w:r w:rsidRPr="0040758C">
              <w:rPr>
                <w:b w:val="0"/>
                <w:bCs/>
                <w:sz w:val="18"/>
                <w:szCs w:val="18"/>
              </w:rPr>
              <w:t>millions</w:t>
            </w:r>
            <w:proofErr w:type="gramEnd"/>
            <w:r w:rsidRPr="0040758C">
              <w:rPr>
                <w:b w:val="0"/>
                <w:bCs/>
                <w:sz w:val="18"/>
                <w:szCs w:val="18"/>
              </w:rPr>
              <w:t>, 2023/24</w:t>
            </w:r>
          </w:p>
        </w:tc>
        <w:tc>
          <w:tcPr>
            <w:tcW w:w="1953" w:type="dxa"/>
          </w:tcPr>
          <w:p w14:paraId="0EA68DB0" w14:textId="77777777" w:rsidR="00785144" w:rsidRPr="00354732" w:rsidRDefault="00785144">
            <w:pPr>
              <w:rPr>
                <w:rFonts w:asciiTheme="majorHAnsi" w:hAnsiTheme="majorHAnsi"/>
                <w:b/>
                <w:bCs/>
                <w:color w:val="0F4761" w:themeColor="accent1" w:themeShade="BF"/>
                <w:szCs w:val="22"/>
              </w:rPr>
            </w:pPr>
            <w:r w:rsidRPr="00354732">
              <w:rPr>
                <w:rFonts w:asciiTheme="majorHAnsi" w:hAnsiTheme="majorHAnsi"/>
                <w:b/>
                <w:bCs/>
                <w:color w:val="0F4761" w:themeColor="accent1" w:themeShade="BF"/>
                <w:szCs w:val="22"/>
              </w:rPr>
              <w:t>Demand pressures</w:t>
            </w:r>
          </w:p>
          <w:p w14:paraId="26965BDA" w14:textId="77777777" w:rsidR="00785144" w:rsidRPr="0068795F" w:rsidRDefault="00785144" w:rsidP="00785144">
            <w:pPr>
              <w:numPr>
                <w:ilvl w:val="0"/>
                <w:numId w:val="85"/>
              </w:numPr>
              <w:ind w:left="414" w:hanging="357"/>
              <w:rPr>
                <w:sz w:val="18"/>
                <w:szCs w:val="18"/>
              </w:rPr>
            </w:pPr>
            <w:r w:rsidRPr="0068795F">
              <w:rPr>
                <w:sz w:val="18"/>
                <w:szCs w:val="18"/>
              </w:rPr>
              <w:t xml:space="preserve">Victoria is forecast to require 352,000 additional workers between 2023 and 2026 to meet </w:t>
            </w:r>
            <w:proofErr w:type="spellStart"/>
            <w:r w:rsidRPr="0068795F">
              <w:rPr>
                <w:sz w:val="18"/>
                <w:szCs w:val="18"/>
              </w:rPr>
              <w:t>labour</w:t>
            </w:r>
            <w:proofErr w:type="spellEnd"/>
            <w:r w:rsidRPr="0068795F">
              <w:rPr>
                <w:sz w:val="18"/>
                <w:szCs w:val="18"/>
              </w:rPr>
              <w:t xml:space="preserve"> market needs, particularly in the care economy, clean economy, and construction sectors.</w:t>
            </w:r>
            <w:r w:rsidRPr="0068795F">
              <w:rPr>
                <w:sz w:val="18"/>
                <w:szCs w:val="18"/>
                <w:vertAlign w:val="superscript"/>
              </w:rPr>
              <w:t>2</w:t>
            </w:r>
          </w:p>
          <w:p w14:paraId="714E7589" w14:textId="77777777" w:rsidR="00785144" w:rsidRPr="0068795F" w:rsidRDefault="00785144" w:rsidP="00785144">
            <w:pPr>
              <w:numPr>
                <w:ilvl w:val="0"/>
                <w:numId w:val="85"/>
              </w:numPr>
              <w:ind w:left="414" w:hanging="357"/>
              <w:rPr>
                <w:sz w:val="18"/>
                <w:szCs w:val="18"/>
              </w:rPr>
            </w:pPr>
            <w:r w:rsidRPr="0068795F">
              <w:rPr>
                <w:sz w:val="18"/>
                <w:szCs w:val="18"/>
              </w:rPr>
              <w:t xml:space="preserve">Workforce upskilling and reskilling is needed in key priority industries such as housing construction, the care economy and the clean </w:t>
            </w:r>
            <w:proofErr w:type="gramStart"/>
            <w:r w:rsidRPr="0068795F">
              <w:rPr>
                <w:sz w:val="18"/>
                <w:szCs w:val="18"/>
              </w:rPr>
              <w:t>economy</w:t>
            </w:r>
            <w:proofErr w:type="gramEnd"/>
            <w:r w:rsidRPr="0068795F">
              <w:rPr>
                <w:sz w:val="18"/>
                <w:szCs w:val="18"/>
              </w:rPr>
              <w:t xml:space="preserve"> transition to ensure the workforce has the necessary skills.</w:t>
            </w:r>
            <w:r w:rsidRPr="0068795F">
              <w:rPr>
                <w:sz w:val="18"/>
                <w:szCs w:val="18"/>
                <w:vertAlign w:val="superscript"/>
              </w:rPr>
              <w:t>3</w:t>
            </w:r>
          </w:p>
          <w:p w14:paraId="6A000393" w14:textId="77777777" w:rsidR="00785144" w:rsidRPr="007025CC" w:rsidRDefault="00785144">
            <w:pPr>
              <w:ind w:left="414"/>
              <w:rPr>
                <w:sz w:val="18"/>
                <w:szCs w:val="18"/>
              </w:rPr>
            </w:pPr>
          </w:p>
        </w:tc>
      </w:tr>
      <w:tr w:rsidR="00785144" w:rsidRPr="00A43B0D" w14:paraId="3E37ECC7" w14:textId="77777777">
        <w:trPr>
          <w:trHeight w:val="2436"/>
        </w:trPr>
        <w:tc>
          <w:tcPr>
            <w:tcW w:w="1955" w:type="dxa"/>
          </w:tcPr>
          <w:p w14:paraId="2177851F" w14:textId="77777777" w:rsidR="00785144" w:rsidRPr="00A43B0D" w:rsidRDefault="00785144">
            <w:pPr>
              <w:spacing w:line="278" w:lineRule="auto"/>
              <w:rPr>
                <w:sz w:val="18"/>
                <w:szCs w:val="18"/>
              </w:rPr>
            </w:pPr>
            <w:r>
              <w:rPr>
                <w:noProof/>
              </w:rPr>
              <w:drawing>
                <wp:inline distT="0" distB="0" distL="0" distR="0" wp14:anchorId="3B789650" wp14:editId="730C706F">
                  <wp:extent cx="2729067" cy="2528017"/>
                  <wp:effectExtent l="0" t="0" r="0" b="5715"/>
                  <wp:docPr id="2136585100" name="Picture 1" descr="A graph with blu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85100" name="Picture 1" descr="A graph with blue and white text&#10;&#10;AI-generated content may be incorrect."/>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29067" cy="2528017"/>
                          </a:xfrm>
                          <a:prstGeom prst="rect">
                            <a:avLst/>
                          </a:prstGeom>
                        </pic:spPr>
                      </pic:pic>
                    </a:graphicData>
                  </a:graphic>
                </wp:inline>
              </w:drawing>
            </w:r>
          </w:p>
        </w:tc>
        <w:tc>
          <w:tcPr>
            <w:tcW w:w="1953" w:type="dxa"/>
          </w:tcPr>
          <w:p w14:paraId="013ACBC2" w14:textId="77777777" w:rsidR="00785144" w:rsidRDefault="00785144">
            <w:pPr>
              <w:spacing w:line="278" w:lineRule="auto"/>
              <w:rPr>
                <w:rFonts w:eastAsiaTheme="minorHAnsi" w:hAnsi="Aptos"/>
                <w:b/>
                <w:color w:val="FFFFFF" w:themeColor="background1"/>
                <w:kern w:val="24"/>
                <w:lang w:eastAsia="en-US"/>
              </w:rPr>
            </w:pPr>
          </w:p>
          <w:p w14:paraId="47A78E9E" w14:textId="77777777" w:rsidR="00785144" w:rsidRDefault="00785144">
            <w:pPr>
              <w:spacing w:line="278" w:lineRule="auto"/>
              <w:rPr>
                <w:rFonts w:eastAsiaTheme="minorHAnsi" w:hAnsi="Aptos"/>
                <w:b/>
                <w:color w:val="FFFFFF" w:themeColor="background1"/>
                <w:kern w:val="24"/>
                <w:lang w:eastAsia="en-US"/>
              </w:rPr>
            </w:pPr>
          </w:p>
          <w:p w14:paraId="021725A2" w14:textId="77777777" w:rsidR="00785144" w:rsidRDefault="00785144">
            <w:pPr>
              <w:spacing w:line="278" w:lineRule="auto"/>
              <w:rPr>
                <w:rFonts w:eastAsiaTheme="minorHAnsi" w:hAnsi="Aptos"/>
                <w:b/>
                <w:color w:val="FFFFFF" w:themeColor="background1"/>
                <w:kern w:val="24"/>
                <w:lang w:eastAsia="en-US"/>
              </w:rPr>
            </w:pPr>
          </w:p>
          <w:p w14:paraId="4D0B7BD0" w14:textId="77777777" w:rsidR="00785144" w:rsidRDefault="00785144">
            <w:pPr>
              <w:spacing w:line="278" w:lineRule="auto"/>
              <w:rPr>
                <w:rFonts w:eastAsiaTheme="minorHAnsi" w:hAnsi="Aptos"/>
                <w:b/>
                <w:color w:val="FFFFFF" w:themeColor="background1"/>
                <w:kern w:val="24"/>
                <w:lang w:eastAsia="en-US"/>
              </w:rPr>
            </w:pPr>
          </w:p>
          <w:p w14:paraId="4C99AABD" w14:textId="77777777" w:rsidR="00785144" w:rsidRPr="00A43B0D" w:rsidRDefault="00785144">
            <w:pPr>
              <w:spacing w:line="278" w:lineRule="auto"/>
              <w:rPr>
                <w:sz w:val="18"/>
                <w:szCs w:val="18"/>
              </w:rPr>
            </w:pPr>
            <w:r w:rsidRPr="00A43B0D">
              <w:rPr>
                <w:noProof/>
                <w:sz w:val="18"/>
                <w:szCs w:val="18"/>
              </w:rPr>
              <w:drawing>
                <wp:anchor distT="0" distB="0" distL="114300" distR="114300" simplePos="0" relativeHeight="251658261" behindDoc="0" locked="0" layoutInCell="1" allowOverlap="1" wp14:anchorId="42A79325" wp14:editId="31C4D3ED">
                  <wp:simplePos x="0" y="0"/>
                  <wp:positionH relativeFrom="column">
                    <wp:posOffset>186614</wp:posOffset>
                  </wp:positionH>
                  <wp:positionV relativeFrom="paragraph">
                    <wp:posOffset>1090142</wp:posOffset>
                  </wp:positionV>
                  <wp:extent cx="287655" cy="287655"/>
                  <wp:effectExtent l="0" t="0" r="0" b="0"/>
                  <wp:wrapNone/>
                  <wp:docPr id="486615528" name="Picture 19" descr="A white logo with a black background&#10;&#10;AI-generated content may be incorrect.">
                    <a:extLst xmlns:a="http://schemas.openxmlformats.org/drawingml/2006/main">
                      <a:ext uri="{FF2B5EF4-FFF2-40B4-BE49-F238E27FC236}">
                        <a16:creationId xmlns:a16="http://schemas.microsoft.com/office/drawing/2014/main" id="{CFC0251D-C711-4D06-A2C1-500418CBC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9" descr="A white logo with a black background&#10;&#10;AI-generated content may be incorrect.">
                            <a:extLst>
                              <a:ext uri="{FF2B5EF4-FFF2-40B4-BE49-F238E27FC236}">
                                <a16:creationId xmlns:a16="http://schemas.microsoft.com/office/drawing/2014/main" id="{CFC0251D-C711-4D06-A2C1-500418CBCF3C}"/>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pic:spPr>
                      </pic:pic>
                    </a:graphicData>
                  </a:graphic>
                  <wp14:sizeRelH relativeFrom="page">
                    <wp14:pctWidth>0</wp14:pctWidth>
                  </wp14:sizeRelH>
                  <wp14:sizeRelV relativeFrom="page">
                    <wp14:pctHeight>0</wp14:pctHeight>
                  </wp14:sizeRelV>
                </wp:anchor>
              </w:drawing>
            </w:r>
            <w:r w:rsidRPr="00A43B0D">
              <w:rPr>
                <w:noProof/>
                <w:sz w:val="18"/>
                <w:szCs w:val="18"/>
              </w:rPr>
              <mc:AlternateContent>
                <mc:Choice Requires="wps">
                  <w:drawing>
                    <wp:anchor distT="0" distB="0" distL="114300" distR="114300" simplePos="0" relativeHeight="251658248" behindDoc="0" locked="0" layoutInCell="1" allowOverlap="1" wp14:anchorId="6702EAA3" wp14:editId="75F04A40">
                      <wp:simplePos x="0" y="0"/>
                      <wp:positionH relativeFrom="column">
                        <wp:posOffset>-41275</wp:posOffset>
                      </wp:positionH>
                      <wp:positionV relativeFrom="paragraph">
                        <wp:posOffset>225425</wp:posOffset>
                      </wp:positionV>
                      <wp:extent cx="2699385" cy="1475740"/>
                      <wp:effectExtent l="0" t="0" r="5715" b="0"/>
                      <wp:wrapNone/>
                      <wp:docPr id="180607284" name="TextBox 48"/>
                      <wp:cNvGraphicFramePr/>
                      <a:graphic xmlns:a="http://schemas.openxmlformats.org/drawingml/2006/main">
                        <a:graphicData uri="http://schemas.microsoft.com/office/word/2010/wordprocessingShape">
                          <wps:wsp>
                            <wps:cNvSpPr txBox="1"/>
                            <wps:spPr>
                              <a:xfrm>
                                <a:off x="0" y="0"/>
                                <a:ext cx="2699385" cy="1475740"/>
                              </a:xfrm>
                              <a:prstGeom prst="roundRect">
                                <a:avLst>
                                  <a:gd name="adj" fmla="val 4000"/>
                                </a:avLst>
                              </a:prstGeom>
                              <a:solidFill>
                                <a:schemeClr val="accent1"/>
                              </a:solidFill>
                            </wps:spPr>
                            <wps:txbx>
                              <w:txbxContent>
                                <w:p w14:paraId="6C64A04F" w14:textId="77777777" w:rsidR="00785144" w:rsidRPr="00112BFC" w:rsidRDefault="00785144" w:rsidP="00785144">
                                  <w:pPr>
                                    <w:rPr>
                                      <w:rFonts w:hAnsi="Aptos"/>
                                      <w:b/>
                                      <w:color w:val="FFFFFF" w:themeColor="background1"/>
                                      <w:kern w:val="24"/>
                                      <w:szCs w:val="22"/>
                                      <w14:ligatures w14:val="none"/>
                                    </w:rPr>
                                  </w:pPr>
                                  <w:r w:rsidRPr="00112BFC">
                                    <w:rPr>
                                      <w:rFonts w:hAnsi="Aptos"/>
                                      <w:b/>
                                      <w:color w:val="FFFFFF" w:themeColor="background1"/>
                                      <w:kern w:val="24"/>
                                      <w:szCs w:val="22"/>
                                    </w:rPr>
                                    <w:t xml:space="preserve">Review’s recommended savings </w:t>
                                  </w:r>
                                </w:p>
                                <w:p w14:paraId="6B66EC09" w14:textId="268FE4E3" w:rsidR="00785144" w:rsidRDefault="00785144" w:rsidP="00785144">
                                  <w:pPr>
                                    <w:ind w:left="720"/>
                                    <w:rPr>
                                      <w:rFonts w:hAnsi="Aptos"/>
                                      <w:color w:val="FFFFFF" w:themeColor="background1"/>
                                      <w:kern w:val="24"/>
                                      <w:sz w:val="32"/>
                                      <w:szCs w:val="32"/>
                                    </w:rPr>
                                  </w:pPr>
                                  <w:r w:rsidRPr="00112BFC">
                                    <w:rPr>
                                      <w:rFonts w:hAnsi="Aptos"/>
                                      <w:b/>
                                      <w:bCs/>
                                      <w:color w:val="FFFFFF" w:themeColor="background1"/>
                                      <w:kern w:val="24"/>
                                      <w:szCs w:val="22"/>
                                    </w:rPr>
                                    <w:t>$68</w:t>
                                  </w:r>
                                  <w:r w:rsidR="008E10BB">
                                    <w:rPr>
                                      <w:rFonts w:hAnsi="Aptos"/>
                                      <w:b/>
                                      <w:bCs/>
                                      <w:color w:val="FFFFFF" w:themeColor="background1"/>
                                      <w:kern w:val="24"/>
                                      <w:szCs w:val="22"/>
                                    </w:rPr>
                                    <w:t>7</w:t>
                                  </w:r>
                                  <w:r w:rsidRPr="00112BFC">
                                    <w:rPr>
                                      <w:rFonts w:hAnsi="Aptos"/>
                                      <w:b/>
                                      <w:bCs/>
                                      <w:color w:val="FFFFFF" w:themeColor="background1"/>
                                      <w:kern w:val="24"/>
                                      <w:szCs w:val="22"/>
                                    </w:rPr>
                                    <w:t xml:space="preserve"> million</w:t>
                                  </w:r>
                                  <w:r>
                                    <w:rPr>
                                      <w:rFonts w:hAnsi="Aptos"/>
                                      <w:color w:val="FFFFFF" w:themeColor="background1"/>
                                      <w:kern w:val="24"/>
                                      <w:sz w:val="32"/>
                                      <w:szCs w:val="32"/>
                                    </w:rPr>
                                    <w:br/>
                                  </w:r>
                                  <w:r w:rsidRPr="00112BFC">
                                    <w:rPr>
                                      <w:rFonts w:hAnsi="Aptos"/>
                                      <w:color w:val="FFFFFF" w:themeColor="background1"/>
                                      <w:kern w:val="24"/>
                                      <w:sz w:val="20"/>
                                      <w:szCs w:val="20"/>
                                    </w:rPr>
                                    <w:t>2025</w:t>
                                  </w:r>
                                  <w:r w:rsidRPr="00112BFC">
                                    <w:rPr>
                                      <w:color w:val="FFFFFF" w:themeColor="background1"/>
                                      <w:kern w:val="24"/>
                                      <w:sz w:val="20"/>
                                      <w:szCs w:val="20"/>
                                    </w:rPr>
                                    <w:t>–</w:t>
                                  </w:r>
                                  <w:r w:rsidRPr="00112BFC">
                                    <w:rPr>
                                      <w:rFonts w:hAnsi="Aptos"/>
                                      <w:color w:val="FFFFFF" w:themeColor="background1"/>
                                      <w:kern w:val="24"/>
                                      <w:sz w:val="20"/>
                                      <w:szCs w:val="20"/>
                                    </w:rPr>
                                    <w:t>26 to 2028</w:t>
                                  </w:r>
                                  <w:r w:rsidRPr="00112BFC">
                                    <w:rPr>
                                      <w:color w:val="FFFFFF" w:themeColor="background1"/>
                                      <w:kern w:val="24"/>
                                      <w:sz w:val="20"/>
                                      <w:szCs w:val="20"/>
                                    </w:rPr>
                                    <w:t>–</w:t>
                                  </w:r>
                                  <w:r w:rsidRPr="00112BFC">
                                    <w:rPr>
                                      <w:rFonts w:hAnsi="Aptos"/>
                                      <w:color w:val="FFFFFF" w:themeColor="background1"/>
                                      <w:kern w:val="24"/>
                                      <w:sz w:val="20"/>
                                      <w:szCs w:val="20"/>
                                    </w:rPr>
                                    <w:t>29</w:t>
                                  </w:r>
                                </w:p>
                                <w:p w14:paraId="667A007D" w14:textId="77777777" w:rsidR="00785144" w:rsidRDefault="00785144" w:rsidP="00785144">
                                  <w:pPr>
                                    <w:ind w:left="720"/>
                                    <w:rPr>
                                      <w:rFonts w:hAnsi="Aptos"/>
                                      <w:color w:val="FFFFFF" w:themeColor="background1"/>
                                      <w:kern w:val="24"/>
                                      <w:sz w:val="32"/>
                                      <w:szCs w:val="32"/>
                                    </w:rPr>
                                  </w:pPr>
                                  <w:r w:rsidRPr="00112BFC">
                                    <w:rPr>
                                      <w:rFonts w:hAnsi="Aptos"/>
                                      <w:b/>
                                      <w:bCs/>
                                      <w:color w:val="FFFFFF" w:themeColor="background1"/>
                                      <w:kern w:val="24"/>
                                      <w:szCs w:val="22"/>
                                    </w:rPr>
                                    <w:t>199 staff</w:t>
                                  </w:r>
                                  <w:r>
                                    <w:rPr>
                                      <w:rFonts w:hAnsi="Aptos"/>
                                      <w:color w:val="FFFFFF" w:themeColor="background1"/>
                                      <w:kern w:val="24"/>
                                      <w:sz w:val="32"/>
                                      <w:szCs w:val="32"/>
                                    </w:rPr>
                                    <w:br/>
                                  </w:r>
                                  <w:r w:rsidRPr="00112BFC">
                                    <w:rPr>
                                      <w:rFonts w:hAnsi="Aptos"/>
                                      <w:color w:val="FFFFFF" w:themeColor="background1"/>
                                      <w:kern w:val="24"/>
                                      <w:sz w:val="20"/>
                                      <w:szCs w:val="20"/>
                                    </w:rPr>
                                    <w:t>Ongoing FTE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6702EAA3" id="_x0000_s1102" style="position:absolute;margin-left:-3.25pt;margin-top:17.75pt;width:212.55pt;height:116.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6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" fillcolor="#156082 [3204]" stroked="f">
                      <v:textbox>
                        <w:txbxContent>
                          <w:p w14:paraId="6C64A04F" w14:textId="77777777" w:rsidR="00785144" w:rsidRPr="00112BFC" w:rsidRDefault="00785144" w:rsidP="00785144">
                            <w:pPr>
                              <w:rPr>
                                <w:rFonts w:hAnsi="Aptos"/>
                                <w:b/>
                                <w:color w:val="FFFFFF" w:themeColor="background1"/>
                                <w:kern w:val="24"/>
                                <w:szCs w:val="22"/>
                                <w14:ligatures w14:val="none"/>
                              </w:rPr>
                            </w:pPr>
                            <w:r w:rsidRPr="00112BFC">
                              <w:rPr>
                                <w:rFonts w:hAnsi="Aptos"/>
                                <w:b/>
                                <w:color w:val="FFFFFF" w:themeColor="background1"/>
                                <w:kern w:val="24"/>
                                <w:szCs w:val="22"/>
                              </w:rPr>
                              <w:t xml:space="preserve">Review’s recommended savings </w:t>
                            </w:r>
                          </w:p>
                          <w:p w14:paraId="6B66EC09" w14:textId="268FE4E3" w:rsidR="00785144" w:rsidRDefault="00785144" w:rsidP="00785144">
                            <w:pPr>
                              <w:ind w:left="720"/>
                              <w:rPr>
                                <w:rFonts w:hAnsi="Aptos"/>
                                <w:color w:val="FFFFFF" w:themeColor="background1"/>
                                <w:kern w:val="24"/>
                                <w:sz w:val="32"/>
                                <w:szCs w:val="32"/>
                              </w:rPr>
                            </w:pPr>
                            <w:r w:rsidRPr="00112BFC">
                              <w:rPr>
                                <w:rFonts w:hAnsi="Aptos"/>
                                <w:b/>
                                <w:bCs/>
                                <w:color w:val="FFFFFF" w:themeColor="background1"/>
                                <w:kern w:val="24"/>
                                <w:szCs w:val="22"/>
                              </w:rPr>
                              <w:t>$68</w:t>
                            </w:r>
                            <w:r w:rsidR="008E10BB">
                              <w:rPr>
                                <w:rFonts w:hAnsi="Aptos"/>
                                <w:b/>
                                <w:bCs/>
                                <w:color w:val="FFFFFF" w:themeColor="background1"/>
                                <w:kern w:val="24"/>
                                <w:szCs w:val="22"/>
                              </w:rPr>
                              <w:t>7</w:t>
                            </w:r>
                            <w:r w:rsidRPr="00112BFC">
                              <w:rPr>
                                <w:rFonts w:hAnsi="Aptos"/>
                                <w:b/>
                                <w:bCs/>
                                <w:color w:val="FFFFFF" w:themeColor="background1"/>
                                <w:kern w:val="24"/>
                                <w:szCs w:val="22"/>
                              </w:rPr>
                              <w:t xml:space="preserve"> million</w:t>
                            </w:r>
                            <w:r>
                              <w:rPr>
                                <w:rFonts w:hAnsi="Aptos"/>
                                <w:color w:val="FFFFFF" w:themeColor="background1"/>
                                <w:kern w:val="24"/>
                                <w:sz w:val="32"/>
                                <w:szCs w:val="32"/>
                              </w:rPr>
                              <w:br/>
                            </w:r>
                            <w:r w:rsidRPr="00112BFC">
                              <w:rPr>
                                <w:rFonts w:hAnsi="Aptos"/>
                                <w:color w:val="FFFFFF" w:themeColor="background1"/>
                                <w:kern w:val="24"/>
                                <w:sz w:val="20"/>
                                <w:szCs w:val="20"/>
                              </w:rPr>
                              <w:t>2025</w:t>
                            </w:r>
                            <w:r w:rsidRPr="00112BFC">
                              <w:rPr>
                                <w:color w:val="FFFFFF" w:themeColor="background1"/>
                                <w:kern w:val="24"/>
                                <w:sz w:val="20"/>
                                <w:szCs w:val="20"/>
                              </w:rPr>
                              <w:t>–</w:t>
                            </w:r>
                            <w:r w:rsidRPr="00112BFC">
                              <w:rPr>
                                <w:rFonts w:hAnsi="Aptos"/>
                                <w:color w:val="FFFFFF" w:themeColor="background1"/>
                                <w:kern w:val="24"/>
                                <w:sz w:val="20"/>
                                <w:szCs w:val="20"/>
                              </w:rPr>
                              <w:t>26 to 2028</w:t>
                            </w:r>
                            <w:r w:rsidRPr="00112BFC">
                              <w:rPr>
                                <w:color w:val="FFFFFF" w:themeColor="background1"/>
                                <w:kern w:val="24"/>
                                <w:sz w:val="20"/>
                                <w:szCs w:val="20"/>
                              </w:rPr>
                              <w:t>–</w:t>
                            </w:r>
                            <w:r w:rsidRPr="00112BFC">
                              <w:rPr>
                                <w:rFonts w:hAnsi="Aptos"/>
                                <w:color w:val="FFFFFF" w:themeColor="background1"/>
                                <w:kern w:val="24"/>
                                <w:sz w:val="20"/>
                                <w:szCs w:val="20"/>
                              </w:rPr>
                              <w:t>29</w:t>
                            </w:r>
                          </w:p>
                          <w:p w14:paraId="667A007D" w14:textId="77777777" w:rsidR="00785144" w:rsidRDefault="00785144" w:rsidP="00785144">
                            <w:pPr>
                              <w:ind w:left="720"/>
                              <w:rPr>
                                <w:rFonts w:hAnsi="Aptos"/>
                                <w:color w:val="FFFFFF" w:themeColor="background1"/>
                                <w:kern w:val="24"/>
                                <w:sz w:val="32"/>
                                <w:szCs w:val="32"/>
                              </w:rPr>
                            </w:pPr>
                            <w:r w:rsidRPr="00112BFC">
                              <w:rPr>
                                <w:rFonts w:hAnsi="Aptos"/>
                                <w:b/>
                                <w:bCs/>
                                <w:color w:val="FFFFFF" w:themeColor="background1"/>
                                <w:kern w:val="24"/>
                                <w:szCs w:val="22"/>
                              </w:rPr>
                              <w:t>199 staff</w:t>
                            </w:r>
                            <w:r>
                              <w:rPr>
                                <w:rFonts w:hAnsi="Aptos"/>
                                <w:color w:val="FFFFFF" w:themeColor="background1"/>
                                <w:kern w:val="24"/>
                                <w:sz w:val="32"/>
                                <w:szCs w:val="32"/>
                              </w:rPr>
                              <w:br/>
                            </w:r>
                            <w:r w:rsidRPr="00112BFC">
                              <w:rPr>
                                <w:rFonts w:hAnsi="Aptos"/>
                                <w:color w:val="FFFFFF" w:themeColor="background1"/>
                                <w:kern w:val="24"/>
                                <w:sz w:val="20"/>
                                <w:szCs w:val="20"/>
                              </w:rPr>
                              <w:t>Ongoing FTE</w:t>
                            </w:r>
                          </w:p>
                        </w:txbxContent>
                      </v:textbox>
                    </v:roundrect>
                  </w:pict>
                </mc:Fallback>
              </mc:AlternateContent>
            </w:r>
            <w:r w:rsidRPr="00A43B0D">
              <w:rPr>
                <w:noProof/>
                <w:sz w:val="18"/>
                <w:szCs w:val="18"/>
              </w:rPr>
              <w:drawing>
                <wp:anchor distT="0" distB="0" distL="114300" distR="114300" simplePos="0" relativeHeight="251658262" behindDoc="0" locked="0" layoutInCell="1" allowOverlap="1" wp14:anchorId="1E5D6DB1" wp14:editId="0145DD45">
                  <wp:simplePos x="0" y="0"/>
                  <wp:positionH relativeFrom="column">
                    <wp:posOffset>148082</wp:posOffset>
                  </wp:positionH>
                  <wp:positionV relativeFrom="paragraph">
                    <wp:posOffset>612521</wp:posOffset>
                  </wp:positionV>
                  <wp:extent cx="287655" cy="287655"/>
                  <wp:effectExtent l="0" t="0" r="0" b="0"/>
                  <wp:wrapNone/>
                  <wp:docPr id="1882198009" name="Picture 17" descr="A white dollar sign in a circle&#10;&#10;AI-generated content may be incorrect.">
                    <a:extLst xmlns:a="http://schemas.openxmlformats.org/drawingml/2006/main">
                      <a:ext uri="{FF2B5EF4-FFF2-40B4-BE49-F238E27FC236}">
                        <a16:creationId xmlns:a16="http://schemas.microsoft.com/office/drawing/2014/main" id="{5E95BA44-000E-5F82-4AD1-8DDFA53A9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7" descr="A white dollar sign in a circle&#10;&#10;AI-generated content may be incorrect.">
                            <a:extLst>
                              <a:ext uri="{FF2B5EF4-FFF2-40B4-BE49-F238E27FC236}">
                                <a16:creationId xmlns:a16="http://schemas.microsoft.com/office/drawing/2014/main" id="{5E95BA44-000E-5F82-4AD1-8DDFA53A9737}"/>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pic:spPr>
                      </pic:pic>
                    </a:graphicData>
                  </a:graphic>
                  <wp14:sizeRelH relativeFrom="page">
                    <wp14:pctWidth>0</wp14:pctWidth>
                  </wp14:sizeRelH>
                  <wp14:sizeRelV relativeFrom="page">
                    <wp14:pctHeight>0</wp14:pctHeight>
                  </wp14:sizeRelV>
                </wp:anchor>
              </w:drawing>
            </w:r>
          </w:p>
        </w:tc>
      </w:tr>
      <w:tr w:rsidR="00785144" w:rsidRPr="00A43B0D" w14:paraId="3AAE9084" w14:textId="77777777">
        <w:trPr>
          <w:trHeight w:val="531"/>
        </w:trPr>
        <w:tc>
          <w:tcPr>
            <w:tcW w:w="3909" w:type="dxa"/>
            <w:gridSpan w:val="2"/>
          </w:tcPr>
          <w:p w14:paraId="02835927" w14:textId="77777777" w:rsidR="00785144" w:rsidRPr="00803659" w:rsidRDefault="00785144" w:rsidP="00785144">
            <w:pPr>
              <w:pStyle w:val="ListParagraph"/>
              <w:numPr>
                <w:ilvl w:val="0"/>
                <w:numId w:val="91"/>
              </w:numPr>
              <w:rPr>
                <w:sz w:val="12"/>
                <w:szCs w:val="12"/>
              </w:rPr>
            </w:pPr>
            <w:r w:rsidRPr="00803659">
              <w:rPr>
                <w:sz w:val="12"/>
                <w:szCs w:val="12"/>
              </w:rPr>
              <w:t xml:space="preserve">FTE figure includes Invest Victoria. </w:t>
            </w:r>
          </w:p>
          <w:p w14:paraId="03FFCBE4" w14:textId="77777777" w:rsidR="00785144" w:rsidRPr="00803659" w:rsidRDefault="00785144" w:rsidP="00785144">
            <w:pPr>
              <w:pStyle w:val="ListParagraph"/>
              <w:numPr>
                <w:ilvl w:val="0"/>
                <w:numId w:val="91"/>
              </w:numPr>
              <w:rPr>
                <w:sz w:val="12"/>
                <w:szCs w:val="12"/>
              </w:rPr>
            </w:pPr>
            <w:r w:rsidRPr="00004C2D">
              <w:rPr>
                <w:sz w:val="12"/>
                <w:szCs w:val="12"/>
              </w:rPr>
              <w:t xml:space="preserve">Victorian Skills Authority, </w:t>
            </w:r>
            <w:r w:rsidRPr="00803659">
              <w:rPr>
                <w:i/>
                <w:iCs/>
                <w:sz w:val="12"/>
                <w:szCs w:val="12"/>
              </w:rPr>
              <w:t xml:space="preserve">State of the </w:t>
            </w:r>
            <w:proofErr w:type="spellStart"/>
            <w:r w:rsidRPr="00803659">
              <w:rPr>
                <w:i/>
                <w:iCs/>
                <w:sz w:val="12"/>
                <w:szCs w:val="12"/>
              </w:rPr>
              <w:t>Labour</w:t>
            </w:r>
            <w:proofErr w:type="spellEnd"/>
            <w:r w:rsidRPr="00803659">
              <w:rPr>
                <w:i/>
                <w:iCs/>
                <w:sz w:val="12"/>
                <w:szCs w:val="12"/>
              </w:rPr>
              <w:t xml:space="preserve"> Market Report</w:t>
            </w:r>
            <w:r w:rsidRPr="00803659">
              <w:rPr>
                <w:sz w:val="12"/>
                <w:szCs w:val="12"/>
              </w:rPr>
              <w:t>, 2023</w:t>
            </w:r>
            <w:r w:rsidRPr="00004C2D">
              <w:rPr>
                <w:sz w:val="12"/>
                <w:szCs w:val="12"/>
              </w:rPr>
              <w:t>.</w:t>
            </w:r>
          </w:p>
          <w:p w14:paraId="073DAF71" w14:textId="77777777" w:rsidR="00785144" w:rsidRPr="00004CF4" w:rsidRDefault="00785144" w:rsidP="00785144">
            <w:pPr>
              <w:pStyle w:val="ListParagraph"/>
              <w:numPr>
                <w:ilvl w:val="0"/>
                <w:numId w:val="91"/>
              </w:numPr>
              <w:rPr>
                <w:i/>
                <w:iCs/>
                <w:sz w:val="12"/>
                <w:szCs w:val="12"/>
              </w:rPr>
            </w:pPr>
            <w:r w:rsidRPr="00004C2D">
              <w:rPr>
                <w:sz w:val="12"/>
                <w:szCs w:val="12"/>
              </w:rPr>
              <w:t>DJSIR,</w:t>
            </w:r>
            <w:r w:rsidRPr="00803659">
              <w:rPr>
                <w:sz w:val="12"/>
                <w:szCs w:val="12"/>
              </w:rPr>
              <w:t xml:space="preserve"> </w:t>
            </w:r>
            <w:r w:rsidRPr="00803659">
              <w:rPr>
                <w:i/>
                <w:iCs/>
                <w:sz w:val="12"/>
                <w:szCs w:val="12"/>
              </w:rPr>
              <w:t>Strategic Plan 2023-2027</w:t>
            </w:r>
            <w:r w:rsidRPr="00803659">
              <w:rPr>
                <w:sz w:val="12"/>
                <w:szCs w:val="12"/>
              </w:rPr>
              <w:t>, 2024</w:t>
            </w:r>
            <w:r w:rsidRPr="00004C2D">
              <w:rPr>
                <w:sz w:val="12"/>
                <w:szCs w:val="12"/>
              </w:rPr>
              <w:t>.</w:t>
            </w:r>
          </w:p>
          <w:p w14:paraId="5CD2B4E1" w14:textId="77777777" w:rsidR="00785144" w:rsidRDefault="00785144">
            <w:pPr>
              <w:rPr>
                <w:i/>
                <w:iCs/>
                <w:sz w:val="12"/>
                <w:szCs w:val="12"/>
              </w:rPr>
            </w:pPr>
          </w:p>
          <w:p w14:paraId="1A72162C" w14:textId="77777777" w:rsidR="00785144" w:rsidRPr="00004CF4" w:rsidRDefault="00785144">
            <w:pPr>
              <w:rPr>
                <w:i/>
                <w:iCs/>
                <w:sz w:val="12"/>
                <w:szCs w:val="12"/>
              </w:rPr>
            </w:pPr>
          </w:p>
          <w:p w14:paraId="25C9682F" w14:textId="77777777" w:rsidR="00785144" w:rsidRPr="00D01A4B" w:rsidRDefault="00785144">
            <w:pPr>
              <w:rPr>
                <w:i/>
                <w:iCs/>
                <w:sz w:val="12"/>
                <w:szCs w:val="12"/>
              </w:rPr>
            </w:pPr>
          </w:p>
        </w:tc>
      </w:tr>
    </w:tbl>
    <w:tbl>
      <w:tblPr>
        <w:tblStyle w:val="TableGrid"/>
        <w:tblW w:w="9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13"/>
        <w:gridCol w:w="2286"/>
        <w:gridCol w:w="2217"/>
        <w:gridCol w:w="14"/>
      </w:tblGrid>
      <w:tr w:rsidR="00785144" w:rsidRPr="00A43B0D" w14:paraId="30FA4E0A" w14:textId="77777777">
        <w:trPr>
          <w:gridAfter w:val="1"/>
          <w:wAfter w:w="14" w:type="dxa"/>
          <w:trHeight w:val="449"/>
        </w:trPr>
        <w:tc>
          <w:tcPr>
            <w:tcW w:w="9016" w:type="dxa"/>
            <w:gridSpan w:val="3"/>
          </w:tcPr>
          <w:p w14:paraId="55EAEFB1" w14:textId="76C868B8" w:rsidR="00785144" w:rsidRPr="00303A8B" w:rsidRDefault="00785144" w:rsidP="00303A8B">
            <w:pPr>
              <w:pStyle w:val="Heading3"/>
              <w:rPr>
                <w:rFonts w:asciiTheme="majorHAnsi" w:hAnsiTheme="majorHAnsi"/>
                <w:sz w:val="32"/>
                <w:szCs w:val="32"/>
              </w:rPr>
            </w:pPr>
            <w:r w:rsidRPr="00303A8B">
              <w:rPr>
                <w:rFonts w:asciiTheme="majorHAnsi" w:hAnsiTheme="majorHAnsi"/>
                <w:sz w:val="32"/>
                <w:szCs w:val="32"/>
              </w:rPr>
              <w:lastRenderedPageBreak/>
              <w:t>Department of Justice and Community Safety (DJCS)</w:t>
            </w:r>
          </w:p>
        </w:tc>
      </w:tr>
      <w:tr w:rsidR="00785144" w:rsidRPr="00A43B0D" w14:paraId="39B4D419" w14:textId="77777777">
        <w:trPr>
          <w:gridAfter w:val="1"/>
          <w:wAfter w:w="14" w:type="dxa"/>
          <w:trHeight w:val="276"/>
        </w:trPr>
        <w:tc>
          <w:tcPr>
            <w:tcW w:w="9016" w:type="dxa"/>
            <w:gridSpan w:val="3"/>
          </w:tcPr>
          <w:p w14:paraId="02A2C6E4" w14:textId="679FBF95" w:rsidR="00785144" w:rsidRPr="008F4564" w:rsidRDefault="00785144">
            <w:pPr>
              <w:rPr>
                <w:sz w:val="18"/>
                <w:szCs w:val="18"/>
              </w:rPr>
            </w:pPr>
            <w:r w:rsidRPr="008F4564">
              <w:rPr>
                <w:sz w:val="18"/>
                <w:szCs w:val="18"/>
              </w:rPr>
              <w:t>A trusted justice and community safety system that works together to build a just, safe, and resilient Victoria.</w:t>
            </w:r>
          </w:p>
        </w:tc>
      </w:tr>
      <w:tr w:rsidR="00785144" w:rsidRPr="00A43B0D" w14:paraId="6BAAF72F" w14:textId="77777777" w:rsidTr="00303A8B">
        <w:trPr>
          <w:gridAfter w:val="1"/>
          <w:wAfter w:w="14" w:type="dxa"/>
          <w:trHeight w:val="713"/>
        </w:trPr>
        <w:tc>
          <w:tcPr>
            <w:tcW w:w="4513" w:type="dxa"/>
          </w:tcPr>
          <w:p w14:paraId="6939908F" w14:textId="77777777" w:rsidR="00785144" w:rsidRPr="00A43B0D" w:rsidRDefault="00785144">
            <w:pPr>
              <w:spacing w:line="278" w:lineRule="auto"/>
              <w:rPr>
                <w:sz w:val="18"/>
                <w:szCs w:val="18"/>
              </w:rPr>
            </w:pPr>
            <w:r>
              <w:rPr>
                <w:noProof/>
              </w:rPr>
              <w:drawing>
                <wp:inline distT="0" distB="0" distL="0" distR="0" wp14:anchorId="70465BDB" wp14:editId="3F424E1B">
                  <wp:extent cx="2233157" cy="367756"/>
                  <wp:effectExtent l="0" t="0" r="0" b="0"/>
                  <wp:docPr id="1827563987"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63987" name="Picture 1" descr="A close-up of a text&#10;&#10;AI-generated content may be incorrect."/>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254859" cy="371330"/>
                          </a:xfrm>
                          <a:prstGeom prst="rect">
                            <a:avLst/>
                          </a:prstGeom>
                        </pic:spPr>
                      </pic:pic>
                    </a:graphicData>
                  </a:graphic>
                </wp:inline>
              </w:drawing>
            </w:r>
          </w:p>
        </w:tc>
        <w:tc>
          <w:tcPr>
            <w:tcW w:w="4503" w:type="dxa"/>
            <w:gridSpan w:val="2"/>
          </w:tcPr>
          <w:p w14:paraId="1D0F3683" w14:textId="3CECBACA" w:rsidR="00785144" w:rsidRDefault="00785144">
            <w:pPr>
              <w:rPr>
                <w:noProof/>
              </w:rPr>
            </w:pPr>
            <w:r>
              <w:rPr>
                <w:noProof/>
              </w:rPr>
              <w:drawing>
                <wp:inline distT="0" distB="0" distL="0" distR="0" wp14:anchorId="44F6B97D" wp14:editId="6DBB3E58">
                  <wp:extent cx="1971244" cy="366362"/>
                  <wp:effectExtent l="0" t="0" r="0" b="0"/>
                  <wp:docPr id="1631787273"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87273" name="Picture 1" descr="A close-up of a logo&#10;&#10;AI-generated content may be incorrect."/>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79299" cy="367859"/>
                          </a:xfrm>
                          <a:prstGeom prst="rect">
                            <a:avLst/>
                          </a:prstGeom>
                        </pic:spPr>
                      </pic:pic>
                    </a:graphicData>
                  </a:graphic>
                </wp:inline>
              </w:drawing>
            </w:r>
          </w:p>
        </w:tc>
      </w:tr>
      <w:tr w:rsidR="00785144" w:rsidRPr="00A43B0D" w14:paraId="182DF374" w14:textId="77777777">
        <w:trPr>
          <w:trHeight w:val="319"/>
        </w:trPr>
        <w:tc>
          <w:tcPr>
            <w:tcW w:w="4513" w:type="dxa"/>
            <w:vMerge w:val="restart"/>
          </w:tcPr>
          <w:p w14:paraId="18D9BDBD" w14:textId="77777777" w:rsidR="00785144" w:rsidRPr="00862DF5" w:rsidRDefault="00785144">
            <w:pPr>
              <w:rPr>
                <w:rFonts w:asciiTheme="majorHAnsi" w:hAnsiTheme="majorHAnsi"/>
                <w:b/>
                <w:bCs/>
                <w:color w:val="0F4761" w:themeColor="accent1" w:themeShade="BF"/>
                <w:szCs w:val="22"/>
              </w:rPr>
            </w:pPr>
            <w:r w:rsidRPr="00862DF5">
              <w:rPr>
                <w:rFonts w:asciiTheme="majorHAnsi" w:hAnsiTheme="majorHAnsi"/>
                <w:b/>
                <w:bCs/>
                <w:color w:val="0F4761" w:themeColor="accent1" w:themeShade="BF"/>
                <w:szCs w:val="22"/>
              </w:rPr>
              <w:t>Objectives</w:t>
            </w:r>
            <w:r w:rsidRPr="00862DF5">
              <w:rPr>
                <w:rFonts w:asciiTheme="majorHAnsi" w:hAnsiTheme="majorHAnsi"/>
                <w:b/>
                <w:bCs/>
                <w:color w:val="0F4761" w:themeColor="accent1" w:themeShade="BF"/>
                <w:szCs w:val="22"/>
                <w:vertAlign w:val="superscript"/>
              </w:rPr>
              <w:t>†</w:t>
            </w:r>
          </w:p>
          <w:p w14:paraId="7450B248" w14:textId="77777777" w:rsidR="00785144" w:rsidRPr="008F4564" w:rsidRDefault="00785144" w:rsidP="00785144">
            <w:pPr>
              <w:numPr>
                <w:ilvl w:val="0"/>
                <w:numId w:val="82"/>
              </w:numPr>
              <w:ind w:left="170" w:hanging="113"/>
              <w:rPr>
                <w:sz w:val="16"/>
                <w:szCs w:val="16"/>
              </w:rPr>
            </w:pPr>
            <w:r w:rsidRPr="008F4564">
              <w:rPr>
                <w:sz w:val="16"/>
                <w:szCs w:val="16"/>
              </w:rPr>
              <w:t>Ensuring community safety through policing, law enforcement and crime prevention activities</w:t>
            </w:r>
          </w:p>
          <w:p w14:paraId="56D45DF4" w14:textId="77777777" w:rsidR="00785144" w:rsidRPr="008F4564" w:rsidRDefault="00785144" w:rsidP="00785144">
            <w:pPr>
              <w:numPr>
                <w:ilvl w:val="0"/>
                <w:numId w:val="82"/>
              </w:numPr>
              <w:ind w:left="170" w:hanging="113"/>
              <w:rPr>
                <w:sz w:val="16"/>
                <w:szCs w:val="16"/>
              </w:rPr>
            </w:pPr>
            <w:r w:rsidRPr="008F4564">
              <w:rPr>
                <w:sz w:val="16"/>
                <w:szCs w:val="16"/>
              </w:rPr>
              <w:t>Reduce the impact of, and consequences from, natural disasters and other emergencies on people, infrastructure, the economy and the environment</w:t>
            </w:r>
          </w:p>
          <w:p w14:paraId="2C2545C4" w14:textId="77777777" w:rsidR="00785144" w:rsidRPr="008F4564" w:rsidRDefault="00785144" w:rsidP="00785144">
            <w:pPr>
              <w:numPr>
                <w:ilvl w:val="0"/>
                <w:numId w:val="82"/>
              </w:numPr>
              <w:ind w:left="170" w:hanging="113"/>
              <w:rPr>
                <w:sz w:val="16"/>
                <w:szCs w:val="16"/>
              </w:rPr>
            </w:pPr>
            <w:r w:rsidRPr="008F4564">
              <w:rPr>
                <w:sz w:val="16"/>
                <w:szCs w:val="16"/>
              </w:rPr>
              <w:t>Effective management of prisoners and offenders and provision of opportunities for rehabilitation and reparation</w:t>
            </w:r>
          </w:p>
          <w:p w14:paraId="2CF227CD" w14:textId="77777777" w:rsidR="00785144" w:rsidRPr="008F4564" w:rsidRDefault="00785144" w:rsidP="00785144">
            <w:pPr>
              <w:numPr>
                <w:ilvl w:val="0"/>
                <w:numId w:val="82"/>
              </w:numPr>
              <w:ind w:left="170" w:hanging="113"/>
              <w:rPr>
                <w:sz w:val="16"/>
                <w:szCs w:val="16"/>
              </w:rPr>
            </w:pPr>
            <w:r w:rsidRPr="008F4564">
              <w:rPr>
                <w:sz w:val="16"/>
                <w:szCs w:val="16"/>
              </w:rPr>
              <w:t>Effective supervision of children and young people through the provision of youth justice services promoting rehabilitation</w:t>
            </w:r>
          </w:p>
          <w:p w14:paraId="60EDB4C5" w14:textId="77777777" w:rsidR="00785144" w:rsidRPr="008F4564" w:rsidRDefault="00785144" w:rsidP="00785144">
            <w:pPr>
              <w:numPr>
                <w:ilvl w:val="0"/>
                <w:numId w:val="82"/>
              </w:numPr>
              <w:ind w:left="170" w:hanging="113"/>
              <w:rPr>
                <w:sz w:val="16"/>
                <w:szCs w:val="16"/>
              </w:rPr>
            </w:pPr>
            <w:r w:rsidRPr="008F4564">
              <w:rPr>
                <w:sz w:val="16"/>
                <w:szCs w:val="16"/>
              </w:rPr>
              <w:t>A fair and accessible justice system that supports confidence in the Victorian community</w:t>
            </w:r>
          </w:p>
          <w:p w14:paraId="1A3CC67B" w14:textId="77777777" w:rsidR="00785144" w:rsidRPr="008F4564" w:rsidRDefault="00785144" w:rsidP="00785144">
            <w:pPr>
              <w:numPr>
                <w:ilvl w:val="0"/>
                <w:numId w:val="82"/>
              </w:numPr>
              <w:ind w:left="170" w:hanging="113"/>
              <w:rPr>
                <w:sz w:val="16"/>
                <w:szCs w:val="16"/>
              </w:rPr>
            </w:pPr>
            <w:r w:rsidRPr="008F4564">
              <w:rPr>
                <w:sz w:val="16"/>
                <w:szCs w:val="16"/>
              </w:rPr>
              <w:t xml:space="preserve">Victorians are protected </w:t>
            </w:r>
            <w:proofErr w:type="gramStart"/>
            <w:r w:rsidRPr="008F4564">
              <w:rPr>
                <w:sz w:val="16"/>
                <w:szCs w:val="16"/>
              </w:rPr>
              <w:t>with</w:t>
            </w:r>
            <w:proofErr w:type="gramEnd"/>
            <w:r w:rsidRPr="008F4564">
              <w:rPr>
                <w:sz w:val="16"/>
                <w:szCs w:val="16"/>
              </w:rPr>
              <w:t xml:space="preserve"> equal opportunities, information freedoms and privacy rights</w:t>
            </w:r>
          </w:p>
          <w:p w14:paraId="28971927" w14:textId="77777777" w:rsidR="00785144" w:rsidRPr="00FE5383" w:rsidRDefault="00785144" w:rsidP="00785144">
            <w:pPr>
              <w:numPr>
                <w:ilvl w:val="0"/>
                <w:numId w:val="82"/>
              </w:numPr>
              <w:ind w:left="170" w:hanging="113"/>
              <w:rPr>
                <w:sz w:val="16"/>
                <w:szCs w:val="16"/>
              </w:rPr>
            </w:pPr>
            <w:r w:rsidRPr="008F4564">
              <w:rPr>
                <w:sz w:val="16"/>
                <w:szCs w:val="16"/>
              </w:rPr>
              <w:t>Responsible and sustainable liquor, gambling and racing sectors</w:t>
            </w:r>
          </w:p>
          <w:p w14:paraId="47ACB70C" w14:textId="77777777" w:rsidR="00785144" w:rsidRPr="00FE5383" w:rsidRDefault="00785144">
            <w:pPr>
              <w:rPr>
                <w:sz w:val="16"/>
                <w:szCs w:val="16"/>
              </w:rPr>
            </w:pPr>
          </w:p>
          <w:p w14:paraId="47F724F2" w14:textId="77777777" w:rsidR="00785144" w:rsidRPr="00B666AB" w:rsidRDefault="00785144">
            <w:pPr>
              <w:pStyle w:val="Heading3"/>
              <w:rPr>
                <w:sz w:val="22"/>
                <w:szCs w:val="22"/>
              </w:rPr>
            </w:pPr>
            <w:r w:rsidRPr="00862DF5">
              <w:rPr>
                <w:rFonts w:asciiTheme="majorHAnsi" w:hAnsiTheme="majorHAnsi"/>
                <w:bCs/>
                <w:sz w:val="22"/>
                <w:szCs w:val="22"/>
              </w:rPr>
              <w:t>Share of VPS workforce</w:t>
            </w:r>
            <w:r w:rsidRPr="0040758C">
              <w:rPr>
                <w:rFonts w:asciiTheme="majorHAnsi" w:hAnsiTheme="majorHAnsi"/>
                <w:bCs/>
                <w:sz w:val="22"/>
                <w:szCs w:val="22"/>
                <w:vertAlign w:val="superscript"/>
              </w:rPr>
              <w:t>^</w:t>
            </w:r>
            <w:r w:rsidRPr="00A43B0D">
              <w:rPr>
                <w:bCs/>
                <w:sz w:val="18"/>
                <w:szCs w:val="18"/>
              </w:rPr>
              <w:br/>
            </w:r>
            <w:r w:rsidRPr="00862DF5">
              <w:rPr>
                <w:b w:val="0"/>
                <w:bCs/>
                <w:sz w:val="18"/>
                <w:szCs w:val="18"/>
              </w:rPr>
              <w:t>VPS Classifications, June 2024</w:t>
            </w:r>
          </w:p>
        </w:tc>
        <w:tc>
          <w:tcPr>
            <w:tcW w:w="4517" w:type="dxa"/>
            <w:gridSpan w:val="3"/>
          </w:tcPr>
          <w:p w14:paraId="6F512CBB" w14:textId="77777777" w:rsidR="00785144" w:rsidRPr="00862DF5" w:rsidRDefault="00785144">
            <w:pPr>
              <w:rPr>
                <w:rFonts w:asciiTheme="majorHAnsi" w:hAnsiTheme="majorHAnsi"/>
                <w:b/>
                <w:bCs/>
                <w:szCs w:val="22"/>
              </w:rPr>
            </w:pPr>
            <w:r w:rsidRPr="00862DF5">
              <w:rPr>
                <w:rFonts w:asciiTheme="majorHAnsi" w:hAnsiTheme="majorHAnsi"/>
                <w:b/>
                <w:bCs/>
                <w:color w:val="0F4761" w:themeColor="accent1" w:themeShade="BF"/>
                <w:szCs w:val="22"/>
              </w:rPr>
              <w:t>Ministerial portfolios</w:t>
            </w:r>
          </w:p>
        </w:tc>
      </w:tr>
      <w:tr w:rsidR="00785144" w:rsidRPr="00A43B0D" w14:paraId="1509D4B4" w14:textId="77777777">
        <w:trPr>
          <w:trHeight w:val="922"/>
        </w:trPr>
        <w:tc>
          <w:tcPr>
            <w:tcW w:w="4513" w:type="dxa"/>
            <w:vMerge/>
          </w:tcPr>
          <w:p w14:paraId="35E163CF" w14:textId="77777777" w:rsidR="00785144" w:rsidRPr="00EE6EDC" w:rsidRDefault="00785144">
            <w:pPr>
              <w:pStyle w:val="Heading3"/>
              <w:rPr>
                <w:sz w:val="18"/>
                <w:szCs w:val="18"/>
              </w:rPr>
            </w:pPr>
          </w:p>
        </w:tc>
        <w:tc>
          <w:tcPr>
            <w:tcW w:w="2286" w:type="dxa"/>
          </w:tcPr>
          <w:p w14:paraId="22BEDEA8" w14:textId="77777777" w:rsidR="00785144" w:rsidRPr="00A66A2F" w:rsidRDefault="00785144" w:rsidP="00785144">
            <w:pPr>
              <w:numPr>
                <w:ilvl w:val="0"/>
                <w:numId w:val="83"/>
              </w:numPr>
              <w:ind w:left="170" w:hanging="113"/>
              <w:rPr>
                <w:sz w:val="16"/>
                <w:szCs w:val="16"/>
              </w:rPr>
            </w:pPr>
            <w:r w:rsidRPr="00A66A2F">
              <w:rPr>
                <w:sz w:val="16"/>
                <w:szCs w:val="16"/>
              </w:rPr>
              <w:t>Attorney-General</w:t>
            </w:r>
          </w:p>
          <w:p w14:paraId="0F70A06F" w14:textId="77777777" w:rsidR="00785144" w:rsidRPr="00A66A2F" w:rsidRDefault="00785144" w:rsidP="00785144">
            <w:pPr>
              <w:numPr>
                <w:ilvl w:val="0"/>
                <w:numId w:val="83"/>
              </w:numPr>
              <w:ind w:left="170" w:hanging="113"/>
              <w:rPr>
                <w:sz w:val="16"/>
                <w:szCs w:val="16"/>
              </w:rPr>
            </w:pPr>
            <w:r w:rsidRPr="00A66A2F">
              <w:rPr>
                <w:sz w:val="16"/>
                <w:szCs w:val="16"/>
              </w:rPr>
              <w:t>Casino, Gaming and Liquor Regulation</w:t>
            </w:r>
          </w:p>
          <w:p w14:paraId="6EC78E26" w14:textId="77777777" w:rsidR="00785144" w:rsidRPr="00A66A2F" w:rsidRDefault="00785144" w:rsidP="00785144">
            <w:pPr>
              <w:numPr>
                <w:ilvl w:val="0"/>
                <w:numId w:val="83"/>
              </w:numPr>
              <w:ind w:left="170" w:hanging="113"/>
              <w:rPr>
                <w:sz w:val="16"/>
                <w:szCs w:val="16"/>
              </w:rPr>
            </w:pPr>
            <w:r w:rsidRPr="00A66A2F">
              <w:rPr>
                <w:sz w:val="16"/>
                <w:szCs w:val="16"/>
              </w:rPr>
              <w:t>Community Safety</w:t>
            </w:r>
          </w:p>
          <w:p w14:paraId="78A5411C" w14:textId="77777777" w:rsidR="00785144" w:rsidRPr="00A66A2F" w:rsidRDefault="00785144" w:rsidP="00785144">
            <w:pPr>
              <w:numPr>
                <w:ilvl w:val="0"/>
                <w:numId w:val="83"/>
              </w:numPr>
              <w:ind w:left="170" w:hanging="113"/>
              <w:rPr>
                <w:sz w:val="16"/>
                <w:szCs w:val="16"/>
              </w:rPr>
            </w:pPr>
            <w:r w:rsidRPr="00A66A2F">
              <w:rPr>
                <w:sz w:val="16"/>
                <w:szCs w:val="16"/>
              </w:rPr>
              <w:t>Corrections</w:t>
            </w:r>
          </w:p>
          <w:p w14:paraId="76BFD25E" w14:textId="77777777" w:rsidR="00785144" w:rsidRDefault="00785144" w:rsidP="00785144">
            <w:pPr>
              <w:numPr>
                <w:ilvl w:val="0"/>
                <w:numId w:val="83"/>
              </w:numPr>
              <w:ind w:left="170" w:hanging="113"/>
              <w:rPr>
                <w:sz w:val="16"/>
                <w:szCs w:val="16"/>
              </w:rPr>
            </w:pPr>
            <w:r w:rsidRPr="00A66A2F">
              <w:rPr>
                <w:sz w:val="16"/>
                <w:szCs w:val="16"/>
              </w:rPr>
              <w:t>Emergency Services</w:t>
            </w:r>
          </w:p>
          <w:p w14:paraId="37F66273" w14:textId="77777777" w:rsidR="00785144" w:rsidRPr="006B27F9" w:rsidRDefault="00785144">
            <w:pPr>
              <w:ind w:left="170"/>
              <w:rPr>
                <w:sz w:val="16"/>
                <w:szCs w:val="16"/>
              </w:rPr>
            </w:pPr>
          </w:p>
        </w:tc>
        <w:tc>
          <w:tcPr>
            <w:tcW w:w="2231" w:type="dxa"/>
            <w:gridSpan w:val="2"/>
          </w:tcPr>
          <w:p w14:paraId="022BAAD3" w14:textId="77777777" w:rsidR="00785144" w:rsidRPr="00A66A2F" w:rsidRDefault="00785144" w:rsidP="00785144">
            <w:pPr>
              <w:numPr>
                <w:ilvl w:val="0"/>
                <w:numId w:val="83"/>
              </w:numPr>
              <w:ind w:left="170" w:hanging="113"/>
              <w:rPr>
                <w:sz w:val="16"/>
                <w:szCs w:val="16"/>
              </w:rPr>
            </w:pPr>
            <w:r w:rsidRPr="00A66A2F">
              <w:rPr>
                <w:sz w:val="16"/>
                <w:szCs w:val="16"/>
              </w:rPr>
              <w:t>Natural Disaster Recovery</w:t>
            </w:r>
          </w:p>
          <w:p w14:paraId="60451A58" w14:textId="77777777" w:rsidR="00785144" w:rsidRPr="00A66A2F" w:rsidRDefault="00785144" w:rsidP="00785144">
            <w:pPr>
              <w:numPr>
                <w:ilvl w:val="0"/>
                <w:numId w:val="83"/>
              </w:numPr>
              <w:ind w:left="170" w:hanging="113"/>
              <w:rPr>
                <w:sz w:val="16"/>
                <w:szCs w:val="16"/>
              </w:rPr>
            </w:pPr>
            <w:r w:rsidRPr="00A66A2F">
              <w:rPr>
                <w:sz w:val="16"/>
                <w:szCs w:val="16"/>
              </w:rPr>
              <w:t>Police</w:t>
            </w:r>
          </w:p>
          <w:p w14:paraId="56109CED" w14:textId="77777777" w:rsidR="00785144" w:rsidRPr="00A66A2F" w:rsidRDefault="00785144" w:rsidP="00785144">
            <w:pPr>
              <w:numPr>
                <w:ilvl w:val="0"/>
                <w:numId w:val="83"/>
              </w:numPr>
              <w:ind w:left="170" w:hanging="113"/>
              <w:rPr>
                <w:sz w:val="16"/>
                <w:szCs w:val="16"/>
              </w:rPr>
            </w:pPr>
            <w:r w:rsidRPr="00A66A2F">
              <w:rPr>
                <w:sz w:val="16"/>
                <w:szCs w:val="16"/>
              </w:rPr>
              <w:t>Racing</w:t>
            </w:r>
          </w:p>
          <w:p w14:paraId="566123B6" w14:textId="77777777" w:rsidR="00785144" w:rsidRPr="00A66A2F" w:rsidRDefault="00785144" w:rsidP="00785144">
            <w:pPr>
              <w:numPr>
                <w:ilvl w:val="0"/>
                <w:numId w:val="83"/>
              </w:numPr>
              <w:ind w:left="170" w:hanging="113"/>
              <w:rPr>
                <w:sz w:val="16"/>
                <w:szCs w:val="16"/>
              </w:rPr>
            </w:pPr>
            <w:r w:rsidRPr="00A66A2F">
              <w:rPr>
                <w:sz w:val="16"/>
                <w:szCs w:val="16"/>
              </w:rPr>
              <w:t>Victims</w:t>
            </w:r>
          </w:p>
          <w:p w14:paraId="67A3E15F" w14:textId="77777777" w:rsidR="00785144" w:rsidRPr="002171BA" w:rsidRDefault="00785144" w:rsidP="00785144">
            <w:pPr>
              <w:numPr>
                <w:ilvl w:val="0"/>
                <w:numId w:val="83"/>
              </w:numPr>
              <w:ind w:left="170" w:hanging="113"/>
              <w:rPr>
                <w:sz w:val="16"/>
                <w:szCs w:val="16"/>
              </w:rPr>
            </w:pPr>
            <w:r w:rsidRPr="00A66A2F">
              <w:rPr>
                <w:sz w:val="16"/>
                <w:szCs w:val="16"/>
              </w:rPr>
              <w:t>Youth Justice</w:t>
            </w:r>
          </w:p>
        </w:tc>
      </w:tr>
      <w:tr w:rsidR="00785144" w:rsidRPr="00A43B0D" w14:paraId="13085003" w14:textId="77777777">
        <w:trPr>
          <w:trHeight w:val="223"/>
        </w:trPr>
        <w:tc>
          <w:tcPr>
            <w:tcW w:w="4513" w:type="dxa"/>
            <w:vMerge/>
          </w:tcPr>
          <w:p w14:paraId="3531B30A" w14:textId="77777777" w:rsidR="00785144" w:rsidRPr="00EE6EDC" w:rsidRDefault="00785144">
            <w:pPr>
              <w:pStyle w:val="Heading3"/>
              <w:rPr>
                <w:sz w:val="18"/>
                <w:szCs w:val="18"/>
              </w:rPr>
            </w:pPr>
          </w:p>
        </w:tc>
        <w:tc>
          <w:tcPr>
            <w:tcW w:w="4517" w:type="dxa"/>
            <w:gridSpan w:val="3"/>
          </w:tcPr>
          <w:p w14:paraId="4EAE6292" w14:textId="77777777" w:rsidR="00785144" w:rsidRPr="00862DF5" w:rsidRDefault="00785144">
            <w:pPr>
              <w:rPr>
                <w:rFonts w:asciiTheme="majorHAnsi" w:hAnsiTheme="majorHAnsi"/>
                <w:b/>
                <w:bCs/>
                <w:szCs w:val="22"/>
              </w:rPr>
            </w:pPr>
            <w:r w:rsidRPr="00862DF5">
              <w:rPr>
                <w:rFonts w:asciiTheme="majorHAnsi" w:hAnsiTheme="majorHAnsi"/>
                <w:b/>
                <w:bCs/>
                <w:color w:val="0F4761" w:themeColor="accent1" w:themeShade="BF"/>
                <w:szCs w:val="22"/>
              </w:rPr>
              <w:t>VPS non-departmental entities</w:t>
            </w:r>
            <w:r w:rsidRPr="00862DF5">
              <w:rPr>
                <w:rFonts w:asciiTheme="majorHAnsi" w:hAnsiTheme="majorHAnsi"/>
                <w:b/>
                <w:bCs/>
                <w:color w:val="0F4761" w:themeColor="accent1" w:themeShade="BF"/>
                <w:szCs w:val="22"/>
                <w:vertAlign w:val="superscript"/>
              </w:rPr>
              <w:t>^</w:t>
            </w:r>
            <w:r w:rsidRPr="00862DF5">
              <w:rPr>
                <w:rFonts w:asciiTheme="majorHAnsi" w:hAnsiTheme="majorHAnsi"/>
                <w:b/>
                <w:bCs/>
                <w:color w:val="0F4761" w:themeColor="accent1" w:themeShade="BF"/>
                <w:szCs w:val="22"/>
              </w:rPr>
              <w:t xml:space="preserve"> </w:t>
            </w:r>
          </w:p>
        </w:tc>
      </w:tr>
      <w:tr w:rsidR="00785144" w:rsidRPr="00A43B0D" w14:paraId="75DEDE80" w14:textId="77777777">
        <w:trPr>
          <w:trHeight w:val="922"/>
        </w:trPr>
        <w:tc>
          <w:tcPr>
            <w:tcW w:w="4513" w:type="dxa"/>
            <w:vMerge/>
          </w:tcPr>
          <w:p w14:paraId="40F235D1" w14:textId="77777777" w:rsidR="00785144" w:rsidRPr="00EE6EDC" w:rsidRDefault="00785144">
            <w:pPr>
              <w:pStyle w:val="Heading3"/>
              <w:rPr>
                <w:sz w:val="18"/>
                <w:szCs w:val="18"/>
              </w:rPr>
            </w:pPr>
          </w:p>
        </w:tc>
        <w:tc>
          <w:tcPr>
            <w:tcW w:w="2286" w:type="dxa"/>
          </w:tcPr>
          <w:p w14:paraId="27076BA5" w14:textId="77777777" w:rsidR="00785144" w:rsidRPr="00A66A2F" w:rsidRDefault="00785144" w:rsidP="00785144">
            <w:pPr>
              <w:numPr>
                <w:ilvl w:val="0"/>
                <w:numId w:val="83"/>
              </w:numPr>
              <w:ind w:left="227" w:hanging="170"/>
              <w:rPr>
                <w:sz w:val="16"/>
                <w:szCs w:val="16"/>
              </w:rPr>
            </w:pPr>
            <w:r w:rsidRPr="00A66A2F">
              <w:rPr>
                <w:sz w:val="16"/>
                <w:szCs w:val="16"/>
              </w:rPr>
              <w:t>Court Services Victoria</w:t>
            </w:r>
          </w:p>
          <w:p w14:paraId="62B94ED0" w14:textId="77777777" w:rsidR="00785144" w:rsidRPr="00A66A2F" w:rsidRDefault="00785144" w:rsidP="00785144">
            <w:pPr>
              <w:numPr>
                <w:ilvl w:val="0"/>
                <w:numId w:val="83"/>
              </w:numPr>
              <w:ind w:left="227" w:hanging="170"/>
              <w:rPr>
                <w:sz w:val="16"/>
                <w:szCs w:val="16"/>
              </w:rPr>
            </w:pPr>
            <w:r w:rsidRPr="00A66A2F">
              <w:rPr>
                <w:sz w:val="16"/>
                <w:szCs w:val="16"/>
              </w:rPr>
              <w:t>Local Government Inspectorate</w:t>
            </w:r>
          </w:p>
          <w:p w14:paraId="7A117267" w14:textId="77777777" w:rsidR="00785144" w:rsidRPr="00A66A2F" w:rsidRDefault="00785144" w:rsidP="00785144">
            <w:pPr>
              <w:numPr>
                <w:ilvl w:val="0"/>
                <w:numId w:val="83"/>
              </w:numPr>
              <w:ind w:left="227" w:hanging="170"/>
              <w:rPr>
                <w:sz w:val="16"/>
                <w:szCs w:val="16"/>
              </w:rPr>
            </w:pPr>
            <w:r w:rsidRPr="00A66A2F">
              <w:rPr>
                <w:sz w:val="16"/>
                <w:szCs w:val="16"/>
              </w:rPr>
              <w:t>Office of Public Prosecutions</w:t>
            </w:r>
          </w:p>
          <w:p w14:paraId="0A5EC864" w14:textId="77777777" w:rsidR="00785144" w:rsidRPr="00A66A2F" w:rsidRDefault="00785144" w:rsidP="00785144">
            <w:pPr>
              <w:numPr>
                <w:ilvl w:val="0"/>
                <w:numId w:val="83"/>
              </w:numPr>
              <w:ind w:left="227" w:hanging="170"/>
              <w:rPr>
                <w:sz w:val="16"/>
                <w:szCs w:val="16"/>
              </w:rPr>
            </w:pPr>
            <w:r w:rsidRPr="00A66A2F">
              <w:rPr>
                <w:sz w:val="16"/>
                <w:szCs w:val="16"/>
              </w:rPr>
              <w:t>Office of the Legal Services Commissioner</w:t>
            </w:r>
          </w:p>
          <w:p w14:paraId="713A5840" w14:textId="77777777" w:rsidR="00785144" w:rsidRPr="00A66A2F" w:rsidRDefault="00785144" w:rsidP="00785144">
            <w:pPr>
              <w:numPr>
                <w:ilvl w:val="0"/>
                <w:numId w:val="83"/>
              </w:numPr>
              <w:ind w:left="227" w:hanging="170"/>
              <w:rPr>
                <w:sz w:val="16"/>
                <w:szCs w:val="16"/>
              </w:rPr>
            </w:pPr>
            <w:r w:rsidRPr="00A66A2F">
              <w:rPr>
                <w:sz w:val="16"/>
                <w:szCs w:val="16"/>
              </w:rPr>
              <w:t>Office of the Road Safety Camera Commissioner</w:t>
            </w:r>
          </w:p>
          <w:p w14:paraId="66588ABB" w14:textId="77777777" w:rsidR="00785144" w:rsidRPr="002171BA" w:rsidRDefault="00785144" w:rsidP="00785144">
            <w:pPr>
              <w:numPr>
                <w:ilvl w:val="0"/>
                <w:numId w:val="83"/>
              </w:numPr>
              <w:ind w:left="227" w:hanging="170"/>
              <w:rPr>
                <w:sz w:val="16"/>
                <w:szCs w:val="16"/>
              </w:rPr>
            </w:pPr>
            <w:r w:rsidRPr="00A66A2F">
              <w:rPr>
                <w:sz w:val="16"/>
                <w:szCs w:val="16"/>
              </w:rPr>
              <w:t>Office of the Victorian Information Commissioner</w:t>
            </w:r>
          </w:p>
        </w:tc>
        <w:tc>
          <w:tcPr>
            <w:tcW w:w="2231" w:type="dxa"/>
            <w:gridSpan w:val="2"/>
          </w:tcPr>
          <w:p w14:paraId="6DCF0EF5" w14:textId="77777777" w:rsidR="00785144" w:rsidRPr="00A66A2F" w:rsidRDefault="00785144" w:rsidP="00785144">
            <w:pPr>
              <w:numPr>
                <w:ilvl w:val="0"/>
                <w:numId w:val="83"/>
              </w:numPr>
              <w:ind w:left="227" w:hanging="170"/>
              <w:rPr>
                <w:sz w:val="16"/>
                <w:szCs w:val="16"/>
              </w:rPr>
            </w:pPr>
            <w:r w:rsidRPr="00A66A2F">
              <w:rPr>
                <w:sz w:val="16"/>
                <w:szCs w:val="16"/>
              </w:rPr>
              <w:t>Victoria Police (Public Service)</w:t>
            </w:r>
          </w:p>
          <w:p w14:paraId="3B7DC3D7" w14:textId="77777777" w:rsidR="00785144" w:rsidRPr="00A66A2F" w:rsidRDefault="00785144" w:rsidP="00785144">
            <w:pPr>
              <w:numPr>
                <w:ilvl w:val="0"/>
                <w:numId w:val="83"/>
              </w:numPr>
              <w:ind w:left="227" w:hanging="170"/>
              <w:rPr>
                <w:sz w:val="16"/>
                <w:szCs w:val="16"/>
              </w:rPr>
            </w:pPr>
            <w:r w:rsidRPr="00A66A2F">
              <w:rPr>
                <w:sz w:val="16"/>
                <w:szCs w:val="16"/>
              </w:rPr>
              <w:t xml:space="preserve">Victorian Equal Opportunity and Human Rights Commission </w:t>
            </w:r>
          </w:p>
          <w:p w14:paraId="62CEEC3D" w14:textId="77777777" w:rsidR="00785144" w:rsidRPr="00A66A2F" w:rsidRDefault="00785144" w:rsidP="00785144">
            <w:pPr>
              <w:numPr>
                <w:ilvl w:val="0"/>
                <w:numId w:val="83"/>
              </w:numPr>
              <w:ind w:left="227" w:hanging="170"/>
              <w:rPr>
                <w:sz w:val="16"/>
                <w:szCs w:val="16"/>
              </w:rPr>
            </w:pPr>
            <w:r w:rsidRPr="00A66A2F">
              <w:rPr>
                <w:sz w:val="16"/>
                <w:szCs w:val="16"/>
              </w:rPr>
              <w:t xml:space="preserve">Victorian Gambling and Casino Control Commission </w:t>
            </w:r>
          </w:p>
          <w:p w14:paraId="3749D7E5" w14:textId="77777777" w:rsidR="00785144" w:rsidRPr="00A66A2F" w:rsidRDefault="00785144" w:rsidP="00785144">
            <w:pPr>
              <w:numPr>
                <w:ilvl w:val="0"/>
                <w:numId w:val="83"/>
              </w:numPr>
              <w:ind w:left="227" w:hanging="170"/>
              <w:rPr>
                <w:sz w:val="16"/>
                <w:szCs w:val="16"/>
              </w:rPr>
            </w:pPr>
            <w:r w:rsidRPr="00A66A2F">
              <w:rPr>
                <w:sz w:val="16"/>
                <w:szCs w:val="16"/>
              </w:rPr>
              <w:t xml:space="preserve">Victorian Government </w:t>
            </w:r>
            <w:proofErr w:type="gramStart"/>
            <w:r w:rsidRPr="00A66A2F">
              <w:rPr>
                <w:sz w:val="16"/>
                <w:szCs w:val="16"/>
              </w:rPr>
              <w:t>Solicitors</w:t>
            </w:r>
            <w:proofErr w:type="gramEnd"/>
            <w:r w:rsidRPr="00A66A2F">
              <w:rPr>
                <w:sz w:val="16"/>
                <w:szCs w:val="16"/>
              </w:rPr>
              <w:t xml:space="preserve"> Office</w:t>
            </w:r>
          </w:p>
          <w:p w14:paraId="26EC5013" w14:textId="77777777" w:rsidR="00785144" w:rsidRPr="002862E7" w:rsidRDefault="00785144" w:rsidP="00785144">
            <w:pPr>
              <w:numPr>
                <w:ilvl w:val="0"/>
                <w:numId w:val="83"/>
              </w:numPr>
              <w:ind w:left="227" w:hanging="170"/>
              <w:rPr>
                <w:sz w:val="16"/>
                <w:szCs w:val="16"/>
              </w:rPr>
            </w:pPr>
            <w:r w:rsidRPr="00A66A2F">
              <w:rPr>
                <w:sz w:val="16"/>
                <w:szCs w:val="16"/>
              </w:rPr>
              <w:t>Victorian Institute of Forensic Medicine (VIFM)</w:t>
            </w:r>
          </w:p>
          <w:p w14:paraId="52C8A13F" w14:textId="77777777" w:rsidR="00785144" w:rsidRPr="002171BA" w:rsidRDefault="00785144">
            <w:pPr>
              <w:ind w:left="227"/>
              <w:rPr>
                <w:sz w:val="16"/>
                <w:szCs w:val="16"/>
              </w:rPr>
            </w:pPr>
          </w:p>
        </w:tc>
      </w:tr>
      <w:tr w:rsidR="00785144" w:rsidRPr="00A43B0D" w14:paraId="055C9C51" w14:textId="77777777">
        <w:trPr>
          <w:trHeight w:val="2607"/>
        </w:trPr>
        <w:tc>
          <w:tcPr>
            <w:tcW w:w="4513" w:type="dxa"/>
          </w:tcPr>
          <w:p w14:paraId="2572477A" w14:textId="77777777" w:rsidR="009F7E8D" w:rsidRDefault="00785144" w:rsidP="00AD7443">
            <w:pPr>
              <w:spacing w:line="278" w:lineRule="auto"/>
              <w:rPr>
                <w:rFonts w:asciiTheme="majorHAnsi" w:hAnsiTheme="majorHAnsi"/>
                <w:b/>
                <w:bCs/>
                <w:color w:val="0F4761" w:themeColor="accent1" w:themeShade="BF"/>
                <w:szCs w:val="22"/>
              </w:rPr>
            </w:pPr>
            <w:r>
              <w:rPr>
                <w:noProof/>
              </w:rPr>
              <w:drawing>
                <wp:inline distT="0" distB="0" distL="0" distR="0" wp14:anchorId="789AEF30" wp14:editId="43539C52">
                  <wp:extent cx="1992573" cy="1320776"/>
                  <wp:effectExtent l="0" t="0" r="8255" b="0"/>
                  <wp:docPr id="1867089845" name="Picture 1" descr="A graph of data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89845" name="Picture 1" descr="A graph of data with numbers and text&#10;&#10;AI-generated content may be incorrect."/>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997905" cy="1324311"/>
                          </a:xfrm>
                          <a:prstGeom prst="rect">
                            <a:avLst/>
                          </a:prstGeom>
                        </pic:spPr>
                      </pic:pic>
                    </a:graphicData>
                  </a:graphic>
                </wp:inline>
              </w:drawing>
            </w:r>
          </w:p>
          <w:p w14:paraId="74976ED2" w14:textId="76E9F692" w:rsidR="00785144" w:rsidRPr="00EE6EDC" w:rsidRDefault="00AD7443" w:rsidP="00CD075C">
            <w:pPr>
              <w:spacing w:line="278" w:lineRule="auto"/>
              <w:rPr>
                <w:sz w:val="18"/>
                <w:szCs w:val="18"/>
              </w:rPr>
            </w:pPr>
            <w:r w:rsidRPr="0078732A">
              <w:rPr>
                <w:rFonts w:asciiTheme="majorHAnsi" w:hAnsiTheme="majorHAnsi"/>
                <w:b/>
                <w:bCs/>
                <w:color w:val="0F4761" w:themeColor="accent1" w:themeShade="BF"/>
                <w:szCs w:val="22"/>
              </w:rPr>
              <w:t>Output expenditure</w:t>
            </w:r>
            <w:r w:rsidRPr="0078732A">
              <w:rPr>
                <w:rFonts w:asciiTheme="majorHAnsi" w:hAnsiTheme="majorHAnsi"/>
                <w:b/>
                <w:bCs/>
                <w:color w:val="0F4761" w:themeColor="accent1" w:themeShade="BF"/>
                <w:szCs w:val="22"/>
                <w:vertAlign w:val="superscript"/>
              </w:rPr>
              <w:t>†</w:t>
            </w:r>
            <w:r w:rsidRPr="0078732A">
              <w:rPr>
                <w:color w:val="0F4761" w:themeColor="accent1" w:themeShade="BF"/>
              </w:rPr>
              <w:br/>
            </w:r>
            <w:r w:rsidRPr="00253480">
              <w:rPr>
                <w:color w:val="0F4761" w:themeColor="accent1" w:themeShade="BF"/>
                <w:sz w:val="18"/>
                <w:szCs w:val="18"/>
              </w:rPr>
              <w:t xml:space="preserve">$ </w:t>
            </w:r>
            <w:proofErr w:type="gramStart"/>
            <w:r w:rsidRPr="00253480">
              <w:rPr>
                <w:color w:val="0F4761" w:themeColor="accent1" w:themeShade="BF"/>
                <w:sz w:val="18"/>
                <w:szCs w:val="18"/>
              </w:rPr>
              <w:t>millions</w:t>
            </w:r>
            <w:proofErr w:type="gramEnd"/>
            <w:r w:rsidRPr="00253480">
              <w:rPr>
                <w:color w:val="0F4761" w:themeColor="accent1" w:themeShade="BF"/>
                <w:sz w:val="18"/>
                <w:szCs w:val="18"/>
              </w:rPr>
              <w:t>, 2023/24</w:t>
            </w:r>
          </w:p>
        </w:tc>
        <w:tc>
          <w:tcPr>
            <w:tcW w:w="4517" w:type="dxa"/>
            <w:gridSpan w:val="3"/>
          </w:tcPr>
          <w:p w14:paraId="70836F9D" w14:textId="77777777" w:rsidR="00785144" w:rsidRPr="00862DF5" w:rsidRDefault="00785144">
            <w:pPr>
              <w:rPr>
                <w:rFonts w:asciiTheme="majorHAnsi" w:hAnsiTheme="majorHAnsi"/>
                <w:b/>
                <w:bCs/>
                <w:color w:val="0F4761" w:themeColor="accent1" w:themeShade="BF"/>
                <w:szCs w:val="22"/>
              </w:rPr>
            </w:pPr>
            <w:r w:rsidRPr="00862DF5">
              <w:rPr>
                <w:rFonts w:asciiTheme="majorHAnsi" w:hAnsiTheme="majorHAnsi"/>
                <w:b/>
                <w:bCs/>
                <w:color w:val="0F4761" w:themeColor="accent1" w:themeShade="BF"/>
                <w:szCs w:val="22"/>
              </w:rPr>
              <w:t>Demand pressures</w:t>
            </w:r>
          </w:p>
          <w:p w14:paraId="7D5DDE94" w14:textId="77777777" w:rsidR="00785144" w:rsidRPr="00A66A2F" w:rsidRDefault="00785144" w:rsidP="00785144">
            <w:pPr>
              <w:numPr>
                <w:ilvl w:val="0"/>
                <w:numId w:val="85"/>
              </w:numPr>
              <w:ind w:left="414" w:hanging="357"/>
              <w:rPr>
                <w:sz w:val="16"/>
                <w:szCs w:val="16"/>
              </w:rPr>
            </w:pPr>
            <w:r w:rsidRPr="00A66A2F">
              <w:rPr>
                <w:sz w:val="16"/>
                <w:szCs w:val="16"/>
              </w:rPr>
              <w:t>A growing complexity in the needs of children and young people in the youth justice system, including mental illness, cognitive impairment, and disability.</w:t>
            </w:r>
            <w:r w:rsidRPr="00A66A2F">
              <w:rPr>
                <w:sz w:val="16"/>
                <w:szCs w:val="16"/>
                <w:vertAlign w:val="superscript"/>
              </w:rPr>
              <w:t>3</w:t>
            </w:r>
          </w:p>
          <w:p w14:paraId="1530E069" w14:textId="77777777" w:rsidR="00785144" w:rsidRPr="00A66A2F" w:rsidRDefault="00785144" w:rsidP="00785144">
            <w:pPr>
              <w:numPr>
                <w:ilvl w:val="0"/>
                <w:numId w:val="85"/>
              </w:numPr>
              <w:ind w:left="414" w:hanging="357"/>
              <w:rPr>
                <w:sz w:val="16"/>
                <w:szCs w:val="16"/>
              </w:rPr>
            </w:pPr>
            <w:r w:rsidRPr="00A66A2F">
              <w:rPr>
                <w:sz w:val="16"/>
                <w:szCs w:val="16"/>
              </w:rPr>
              <w:t>Rising demand for legal assistance services, particularly among vulnerable and regional communities.</w:t>
            </w:r>
            <w:r w:rsidRPr="00A66A2F">
              <w:rPr>
                <w:sz w:val="16"/>
                <w:szCs w:val="16"/>
                <w:vertAlign w:val="superscript"/>
              </w:rPr>
              <w:t>4</w:t>
            </w:r>
          </w:p>
          <w:p w14:paraId="0F1DCD60" w14:textId="77777777" w:rsidR="00785144" w:rsidRPr="002171BA" w:rsidRDefault="00785144" w:rsidP="00785144">
            <w:pPr>
              <w:numPr>
                <w:ilvl w:val="0"/>
                <w:numId w:val="85"/>
              </w:numPr>
              <w:ind w:left="414" w:hanging="357"/>
              <w:rPr>
                <w:sz w:val="16"/>
                <w:szCs w:val="16"/>
              </w:rPr>
            </w:pPr>
            <w:r w:rsidRPr="00A66A2F">
              <w:rPr>
                <w:sz w:val="16"/>
                <w:szCs w:val="16"/>
              </w:rPr>
              <w:t>Growing need for emergency management and disaster response capabilities.</w:t>
            </w:r>
            <w:r w:rsidRPr="00A66A2F">
              <w:rPr>
                <w:sz w:val="16"/>
                <w:szCs w:val="16"/>
                <w:vertAlign w:val="superscript"/>
              </w:rPr>
              <w:t>5</w:t>
            </w:r>
          </w:p>
        </w:tc>
      </w:tr>
      <w:tr w:rsidR="00785144" w:rsidRPr="00A43B0D" w14:paraId="3354F1DE" w14:textId="77777777">
        <w:trPr>
          <w:gridAfter w:val="1"/>
          <w:wAfter w:w="14" w:type="dxa"/>
          <w:trHeight w:val="2388"/>
        </w:trPr>
        <w:tc>
          <w:tcPr>
            <w:tcW w:w="4513" w:type="dxa"/>
          </w:tcPr>
          <w:p w14:paraId="4CE58AFE" w14:textId="77777777" w:rsidR="00785144" w:rsidRPr="00A43B0D" w:rsidRDefault="00785144">
            <w:pPr>
              <w:spacing w:line="278" w:lineRule="auto"/>
              <w:rPr>
                <w:sz w:val="18"/>
                <w:szCs w:val="18"/>
              </w:rPr>
            </w:pPr>
            <w:r>
              <w:rPr>
                <w:noProof/>
              </w:rPr>
              <w:drawing>
                <wp:inline distT="0" distB="0" distL="0" distR="0" wp14:anchorId="532AD828" wp14:editId="79A0D46C">
                  <wp:extent cx="2750554" cy="2430534"/>
                  <wp:effectExtent l="0" t="0" r="0" b="8255"/>
                  <wp:docPr id="574702620"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02620" name="Picture 1" descr="A graph of a number of people&#10;&#10;AI-generated content may be incorrect."/>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763374" cy="2441863"/>
                          </a:xfrm>
                          <a:prstGeom prst="rect">
                            <a:avLst/>
                          </a:prstGeom>
                        </pic:spPr>
                      </pic:pic>
                    </a:graphicData>
                  </a:graphic>
                </wp:inline>
              </w:drawing>
            </w:r>
          </w:p>
        </w:tc>
        <w:tc>
          <w:tcPr>
            <w:tcW w:w="4503" w:type="dxa"/>
            <w:gridSpan w:val="2"/>
          </w:tcPr>
          <w:p w14:paraId="1D121BA0" w14:textId="77777777" w:rsidR="00785144" w:rsidRDefault="00785144">
            <w:pPr>
              <w:rPr>
                <w:sz w:val="18"/>
                <w:szCs w:val="18"/>
              </w:rPr>
            </w:pPr>
          </w:p>
          <w:p w14:paraId="5ABA8B6F" w14:textId="77777777" w:rsidR="00785144" w:rsidRDefault="00785144">
            <w:pPr>
              <w:rPr>
                <w:sz w:val="18"/>
                <w:szCs w:val="18"/>
              </w:rPr>
            </w:pPr>
          </w:p>
          <w:p w14:paraId="41841803" w14:textId="77777777" w:rsidR="00785144" w:rsidRDefault="00785144">
            <w:pPr>
              <w:rPr>
                <w:sz w:val="18"/>
                <w:szCs w:val="18"/>
              </w:rPr>
            </w:pPr>
          </w:p>
          <w:p w14:paraId="0399FA25" w14:textId="77777777" w:rsidR="00785144" w:rsidRDefault="00785144">
            <w:pPr>
              <w:rPr>
                <w:sz w:val="18"/>
                <w:szCs w:val="18"/>
              </w:rPr>
            </w:pPr>
          </w:p>
          <w:p w14:paraId="451E02C1" w14:textId="77777777" w:rsidR="00785144" w:rsidRDefault="00785144">
            <w:pPr>
              <w:rPr>
                <w:sz w:val="18"/>
                <w:szCs w:val="18"/>
              </w:rPr>
            </w:pPr>
          </w:p>
          <w:p w14:paraId="2B5C917D" w14:textId="77777777" w:rsidR="00785144" w:rsidRDefault="00785144">
            <w:pPr>
              <w:rPr>
                <w:sz w:val="18"/>
                <w:szCs w:val="18"/>
              </w:rPr>
            </w:pPr>
          </w:p>
          <w:p w14:paraId="1946270E" w14:textId="77777777" w:rsidR="00785144" w:rsidRPr="00A43B0D" w:rsidRDefault="00785144">
            <w:pPr>
              <w:rPr>
                <w:sz w:val="18"/>
                <w:szCs w:val="18"/>
              </w:rPr>
            </w:pPr>
            <w:r w:rsidRPr="00A43B0D">
              <w:rPr>
                <w:noProof/>
                <w:sz w:val="18"/>
                <w:szCs w:val="18"/>
              </w:rPr>
              <w:drawing>
                <wp:anchor distT="0" distB="0" distL="114300" distR="114300" simplePos="0" relativeHeight="251658265" behindDoc="0" locked="0" layoutInCell="1" allowOverlap="1" wp14:anchorId="56F07236" wp14:editId="615A6D4A">
                  <wp:simplePos x="0" y="0"/>
                  <wp:positionH relativeFrom="column">
                    <wp:posOffset>311150</wp:posOffset>
                  </wp:positionH>
                  <wp:positionV relativeFrom="paragraph">
                    <wp:posOffset>1036955</wp:posOffset>
                  </wp:positionV>
                  <wp:extent cx="287655" cy="287655"/>
                  <wp:effectExtent l="0" t="0" r="0" b="0"/>
                  <wp:wrapNone/>
                  <wp:docPr id="970556790" name="Picture 19" descr="A white logo with a black background&#10;&#10;AI-generated content may be incorrect.">
                    <a:extLst xmlns:a="http://schemas.openxmlformats.org/drawingml/2006/main">
                      <a:ext uri="{FF2B5EF4-FFF2-40B4-BE49-F238E27FC236}">
                        <a16:creationId xmlns:a16="http://schemas.microsoft.com/office/drawing/2014/main" id="{CFC0251D-C711-4D06-A2C1-500418CBC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9" descr="A white logo with a black background&#10;&#10;AI-generated content may be incorrect.">
                            <a:extLst>
                              <a:ext uri="{FF2B5EF4-FFF2-40B4-BE49-F238E27FC236}">
                                <a16:creationId xmlns:a16="http://schemas.microsoft.com/office/drawing/2014/main" id="{CFC0251D-C711-4D06-A2C1-500418CBCF3C}"/>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pic:spPr>
                      </pic:pic>
                    </a:graphicData>
                  </a:graphic>
                  <wp14:sizeRelH relativeFrom="page">
                    <wp14:pctWidth>0</wp14:pctWidth>
                  </wp14:sizeRelH>
                  <wp14:sizeRelV relativeFrom="page">
                    <wp14:pctHeight>0</wp14:pctHeight>
                  </wp14:sizeRelV>
                </wp:anchor>
              </w:drawing>
            </w:r>
            <w:r w:rsidRPr="00A43B0D">
              <w:rPr>
                <w:noProof/>
                <w:sz w:val="18"/>
                <w:szCs w:val="18"/>
              </w:rPr>
              <w:drawing>
                <wp:anchor distT="0" distB="0" distL="114300" distR="114300" simplePos="0" relativeHeight="251658264" behindDoc="0" locked="0" layoutInCell="1" allowOverlap="1" wp14:anchorId="651F8A65" wp14:editId="060D2EB8">
                  <wp:simplePos x="0" y="0"/>
                  <wp:positionH relativeFrom="column">
                    <wp:posOffset>285115</wp:posOffset>
                  </wp:positionH>
                  <wp:positionV relativeFrom="paragraph">
                    <wp:posOffset>491490</wp:posOffset>
                  </wp:positionV>
                  <wp:extent cx="287655" cy="287655"/>
                  <wp:effectExtent l="0" t="0" r="0" b="0"/>
                  <wp:wrapNone/>
                  <wp:docPr id="715045458" name="Picture 17" descr="A white dollar sign in a circle&#10;&#10;AI-generated content may be incorrect.">
                    <a:extLst xmlns:a="http://schemas.openxmlformats.org/drawingml/2006/main">
                      <a:ext uri="{FF2B5EF4-FFF2-40B4-BE49-F238E27FC236}">
                        <a16:creationId xmlns:a16="http://schemas.microsoft.com/office/drawing/2014/main" id="{5E95BA44-000E-5F82-4AD1-8DDFA53A9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7" descr="A white dollar sign in a circle&#10;&#10;AI-generated content may be incorrect.">
                            <a:extLst>
                              <a:ext uri="{FF2B5EF4-FFF2-40B4-BE49-F238E27FC236}">
                                <a16:creationId xmlns:a16="http://schemas.microsoft.com/office/drawing/2014/main" id="{5E95BA44-000E-5F82-4AD1-8DDFA53A9737}"/>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pic:spPr>
                      </pic:pic>
                    </a:graphicData>
                  </a:graphic>
                  <wp14:sizeRelH relativeFrom="page">
                    <wp14:pctWidth>0</wp14:pctWidth>
                  </wp14:sizeRelH>
                  <wp14:sizeRelV relativeFrom="page">
                    <wp14:pctHeight>0</wp14:pctHeight>
                  </wp14:sizeRelV>
                </wp:anchor>
              </w:drawing>
            </w:r>
            <w:r w:rsidRPr="00A43B0D">
              <w:rPr>
                <w:noProof/>
                <w:sz w:val="18"/>
                <w:szCs w:val="18"/>
              </w:rPr>
              <mc:AlternateContent>
                <mc:Choice Requires="wps">
                  <w:drawing>
                    <wp:anchor distT="0" distB="0" distL="114300" distR="114300" simplePos="0" relativeHeight="251658249" behindDoc="0" locked="0" layoutInCell="1" allowOverlap="1" wp14:anchorId="42C5FD25" wp14:editId="408D460A">
                      <wp:simplePos x="0" y="0"/>
                      <wp:positionH relativeFrom="column">
                        <wp:posOffset>73025</wp:posOffset>
                      </wp:positionH>
                      <wp:positionV relativeFrom="paragraph">
                        <wp:posOffset>147159</wp:posOffset>
                      </wp:positionV>
                      <wp:extent cx="2699385" cy="1475740"/>
                      <wp:effectExtent l="0" t="0" r="5715" b="0"/>
                      <wp:wrapNone/>
                      <wp:docPr id="1685221903" name="TextBox 48"/>
                      <wp:cNvGraphicFramePr/>
                      <a:graphic xmlns:a="http://schemas.openxmlformats.org/drawingml/2006/main">
                        <a:graphicData uri="http://schemas.microsoft.com/office/word/2010/wordprocessingShape">
                          <wps:wsp>
                            <wps:cNvSpPr txBox="1"/>
                            <wps:spPr>
                              <a:xfrm>
                                <a:off x="0" y="0"/>
                                <a:ext cx="2699385" cy="1475740"/>
                              </a:xfrm>
                              <a:prstGeom prst="roundRect">
                                <a:avLst>
                                  <a:gd name="adj" fmla="val 4000"/>
                                </a:avLst>
                              </a:prstGeom>
                              <a:solidFill>
                                <a:schemeClr val="accent1"/>
                              </a:solidFill>
                            </wps:spPr>
                            <wps:txbx>
                              <w:txbxContent>
                                <w:p w14:paraId="7171B8EA" w14:textId="77777777" w:rsidR="00785144" w:rsidRPr="00FF4C86" w:rsidRDefault="00785144" w:rsidP="00785144">
                                  <w:pPr>
                                    <w:rPr>
                                      <w:rFonts w:hAnsi="Aptos"/>
                                      <w:b/>
                                      <w:color w:val="FFFFFF" w:themeColor="background1"/>
                                      <w:kern w:val="24"/>
                                      <w:szCs w:val="22"/>
                                      <w14:ligatures w14:val="none"/>
                                    </w:rPr>
                                  </w:pPr>
                                  <w:r w:rsidRPr="00FF4C86">
                                    <w:rPr>
                                      <w:rFonts w:hAnsi="Aptos"/>
                                      <w:b/>
                                      <w:color w:val="FFFFFF" w:themeColor="background1"/>
                                      <w:kern w:val="24"/>
                                      <w:szCs w:val="22"/>
                                    </w:rPr>
                                    <w:t xml:space="preserve">Review’s recommended savings </w:t>
                                  </w:r>
                                </w:p>
                                <w:p w14:paraId="32CFCC5D" w14:textId="725FC462" w:rsidR="00785144" w:rsidRDefault="00785144" w:rsidP="00785144">
                                  <w:pPr>
                                    <w:ind w:left="720"/>
                                    <w:rPr>
                                      <w:rFonts w:hAnsi="Aptos"/>
                                      <w:color w:val="FFFFFF" w:themeColor="background1"/>
                                      <w:kern w:val="24"/>
                                      <w:sz w:val="32"/>
                                      <w:szCs w:val="32"/>
                                    </w:rPr>
                                  </w:pPr>
                                  <w:r w:rsidRPr="00FF4C86">
                                    <w:rPr>
                                      <w:rFonts w:hAnsi="Aptos"/>
                                      <w:b/>
                                      <w:bCs/>
                                      <w:color w:val="FFFFFF" w:themeColor="background1"/>
                                      <w:kern w:val="24"/>
                                      <w:szCs w:val="22"/>
                                    </w:rPr>
                                    <w:t>$2</w:t>
                                  </w:r>
                                  <w:r w:rsidR="007A3D00">
                                    <w:rPr>
                                      <w:rFonts w:hAnsi="Aptos"/>
                                      <w:b/>
                                      <w:bCs/>
                                      <w:color w:val="FFFFFF" w:themeColor="background1"/>
                                      <w:kern w:val="24"/>
                                      <w:szCs w:val="22"/>
                                    </w:rPr>
                                    <w:t>73</w:t>
                                  </w:r>
                                  <w:r w:rsidRPr="00FF4C86">
                                    <w:rPr>
                                      <w:rFonts w:hAnsi="Aptos"/>
                                      <w:b/>
                                      <w:bCs/>
                                      <w:color w:val="FFFFFF" w:themeColor="background1"/>
                                      <w:kern w:val="24"/>
                                      <w:szCs w:val="22"/>
                                    </w:rPr>
                                    <w:t xml:space="preserve"> million</w:t>
                                  </w:r>
                                  <w:r>
                                    <w:rPr>
                                      <w:rFonts w:hAnsi="Aptos"/>
                                      <w:color w:val="FFFFFF" w:themeColor="background1"/>
                                      <w:kern w:val="24"/>
                                      <w:sz w:val="32"/>
                                      <w:szCs w:val="32"/>
                                    </w:rPr>
                                    <w:br/>
                                  </w:r>
                                  <w:r w:rsidRPr="00730BBF">
                                    <w:rPr>
                                      <w:rFonts w:hAnsi="Aptos"/>
                                      <w:color w:val="FFFFFF" w:themeColor="background1"/>
                                      <w:kern w:val="24"/>
                                      <w:sz w:val="20"/>
                                      <w:szCs w:val="20"/>
                                    </w:rPr>
                                    <w:t>2025</w:t>
                                  </w:r>
                                  <w:r w:rsidRPr="00730BBF">
                                    <w:rPr>
                                      <w:color w:val="FFFFFF" w:themeColor="background1"/>
                                      <w:kern w:val="24"/>
                                      <w:sz w:val="20"/>
                                      <w:szCs w:val="20"/>
                                    </w:rPr>
                                    <w:t>–</w:t>
                                  </w:r>
                                  <w:r w:rsidRPr="00730BBF">
                                    <w:rPr>
                                      <w:rFonts w:hAnsi="Aptos"/>
                                      <w:color w:val="FFFFFF" w:themeColor="background1"/>
                                      <w:kern w:val="24"/>
                                      <w:sz w:val="20"/>
                                      <w:szCs w:val="20"/>
                                    </w:rPr>
                                    <w:t>26 to 2028</w:t>
                                  </w:r>
                                  <w:r w:rsidRPr="00730BBF">
                                    <w:rPr>
                                      <w:color w:val="FFFFFF" w:themeColor="background1"/>
                                      <w:kern w:val="24"/>
                                      <w:sz w:val="20"/>
                                      <w:szCs w:val="20"/>
                                    </w:rPr>
                                    <w:t>–</w:t>
                                  </w:r>
                                  <w:r w:rsidRPr="00730BBF">
                                    <w:rPr>
                                      <w:rFonts w:hAnsi="Aptos"/>
                                      <w:color w:val="FFFFFF" w:themeColor="background1"/>
                                      <w:kern w:val="24"/>
                                      <w:sz w:val="20"/>
                                      <w:szCs w:val="20"/>
                                    </w:rPr>
                                    <w:t>29</w:t>
                                  </w:r>
                                </w:p>
                                <w:p w14:paraId="68DFE03A" w14:textId="5EFDD08C" w:rsidR="00785144" w:rsidRDefault="007A3D00" w:rsidP="00785144">
                                  <w:pPr>
                                    <w:ind w:left="720"/>
                                    <w:rPr>
                                      <w:rFonts w:hAnsi="Aptos"/>
                                      <w:color w:val="FFFFFF" w:themeColor="background1"/>
                                      <w:kern w:val="24"/>
                                      <w:sz w:val="32"/>
                                      <w:szCs w:val="32"/>
                                    </w:rPr>
                                  </w:pPr>
                                  <w:r>
                                    <w:rPr>
                                      <w:rFonts w:hAnsi="Aptos"/>
                                      <w:b/>
                                      <w:bCs/>
                                      <w:color w:val="FFFFFF" w:themeColor="background1"/>
                                      <w:kern w:val="24"/>
                                      <w:szCs w:val="22"/>
                                    </w:rPr>
                                    <w:t>194</w:t>
                                  </w:r>
                                  <w:r w:rsidR="00785144" w:rsidRPr="00FF4C86">
                                    <w:rPr>
                                      <w:rFonts w:hAnsi="Aptos"/>
                                      <w:b/>
                                      <w:bCs/>
                                      <w:color w:val="FFFFFF" w:themeColor="background1"/>
                                      <w:kern w:val="24"/>
                                      <w:szCs w:val="22"/>
                                    </w:rPr>
                                    <w:t xml:space="preserve"> staff</w:t>
                                  </w:r>
                                  <w:r w:rsidR="00785144">
                                    <w:rPr>
                                      <w:rFonts w:hAnsi="Aptos"/>
                                      <w:color w:val="FFFFFF" w:themeColor="background1"/>
                                      <w:kern w:val="24"/>
                                      <w:sz w:val="32"/>
                                      <w:szCs w:val="32"/>
                                    </w:rPr>
                                    <w:br/>
                                  </w:r>
                                  <w:r w:rsidR="00785144" w:rsidRPr="00730BBF">
                                    <w:rPr>
                                      <w:rFonts w:hAnsi="Aptos"/>
                                      <w:color w:val="FFFFFF" w:themeColor="background1"/>
                                      <w:kern w:val="24"/>
                                      <w:sz w:val="20"/>
                                      <w:szCs w:val="20"/>
                                    </w:rPr>
                                    <w:t>Ongoing FTE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42C5FD25" id="_x0000_s1103" style="position:absolute;margin-left:5.75pt;margin-top:11.6pt;width:212.55pt;height:116.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6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" fillcolor="#156082 [3204]" stroked="f">
                      <v:textbox>
                        <w:txbxContent>
                          <w:p w14:paraId="7171B8EA" w14:textId="77777777" w:rsidR="00785144" w:rsidRPr="00FF4C86" w:rsidRDefault="00785144" w:rsidP="00785144">
                            <w:pPr>
                              <w:rPr>
                                <w:rFonts w:hAnsi="Aptos"/>
                                <w:b/>
                                <w:color w:val="FFFFFF" w:themeColor="background1"/>
                                <w:kern w:val="24"/>
                                <w:szCs w:val="22"/>
                                <w14:ligatures w14:val="none"/>
                              </w:rPr>
                            </w:pPr>
                            <w:r w:rsidRPr="00FF4C86">
                              <w:rPr>
                                <w:rFonts w:hAnsi="Aptos"/>
                                <w:b/>
                                <w:color w:val="FFFFFF" w:themeColor="background1"/>
                                <w:kern w:val="24"/>
                                <w:szCs w:val="22"/>
                              </w:rPr>
                              <w:t xml:space="preserve">Review’s recommended savings </w:t>
                            </w:r>
                          </w:p>
                          <w:p w14:paraId="32CFCC5D" w14:textId="725FC462" w:rsidR="00785144" w:rsidRDefault="00785144" w:rsidP="00785144">
                            <w:pPr>
                              <w:ind w:left="720"/>
                              <w:rPr>
                                <w:rFonts w:hAnsi="Aptos"/>
                                <w:color w:val="FFFFFF" w:themeColor="background1"/>
                                <w:kern w:val="24"/>
                                <w:sz w:val="32"/>
                                <w:szCs w:val="32"/>
                              </w:rPr>
                            </w:pPr>
                            <w:r w:rsidRPr="00FF4C86">
                              <w:rPr>
                                <w:rFonts w:hAnsi="Aptos"/>
                                <w:b/>
                                <w:bCs/>
                                <w:color w:val="FFFFFF" w:themeColor="background1"/>
                                <w:kern w:val="24"/>
                                <w:szCs w:val="22"/>
                              </w:rPr>
                              <w:t>$2</w:t>
                            </w:r>
                            <w:r w:rsidR="007A3D00">
                              <w:rPr>
                                <w:rFonts w:hAnsi="Aptos"/>
                                <w:b/>
                                <w:bCs/>
                                <w:color w:val="FFFFFF" w:themeColor="background1"/>
                                <w:kern w:val="24"/>
                                <w:szCs w:val="22"/>
                              </w:rPr>
                              <w:t>73</w:t>
                            </w:r>
                            <w:r w:rsidRPr="00FF4C86">
                              <w:rPr>
                                <w:rFonts w:hAnsi="Aptos"/>
                                <w:b/>
                                <w:bCs/>
                                <w:color w:val="FFFFFF" w:themeColor="background1"/>
                                <w:kern w:val="24"/>
                                <w:szCs w:val="22"/>
                              </w:rPr>
                              <w:t xml:space="preserve"> million</w:t>
                            </w:r>
                            <w:r>
                              <w:rPr>
                                <w:rFonts w:hAnsi="Aptos"/>
                                <w:color w:val="FFFFFF" w:themeColor="background1"/>
                                <w:kern w:val="24"/>
                                <w:sz w:val="32"/>
                                <w:szCs w:val="32"/>
                              </w:rPr>
                              <w:br/>
                            </w:r>
                            <w:r w:rsidRPr="00730BBF">
                              <w:rPr>
                                <w:rFonts w:hAnsi="Aptos"/>
                                <w:color w:val="FFFFFF" w:themeColor="background1"/>
                                <w:kern w:val="24"/>
                                <w:sz w:val="20"/>
                                <w:szCs w:val="20"/>
                              </w:rPr>
                              <w:t>2025</w:t>
                            </w:r>
                            <w:r w:rsidRPr="00730BBF">
                              <w:rPr>
                                <w:color w:val="FFFFFF" w:themeColor="background1"/>
                                <w:kern w:val="24"/>
                                <w:sz w:val="20"/>
                                <w:szCs w:val="20"/>
                              </w:rPr>
                              <w:t>–</w:t>
                            </w:r>
                            <w:r w:rsidRPr="00730BBF">
                              <w:rPr>
                                <w:rFonts w:hAnsi="Aptos"/>
                                <w:color w:val="FFFFFF" w:themeColor="background1"/>
                                <w:kern w:val="24"/>
                                <w:sz w:val="20"/>
                                <w:szCs w:val="20"/>
                              </w:rPr>
                              <w:t>26 to 2028</w:t>
                            </w:r>
                            <w:r w:rsidRPr="00730BBF">
                              <w:rPr>
                                <w:color w:val="FFFFFF" w:themeColor="background1"/>
                                <w:kern w:val="24"/>
                                <w:sz w:val="20"/>
                                <w:szCs w:val="20"/>
                              </w:rPr>
                              <w:t>–</w:t>
                            </w:r>
                            <w:r w:rsidRPr="00730BBF">
                              <w:rPr>
                                <w:rFonts w:hAnsi="Aptos"/>
                                <w:color w:val="FFFFFF" w:themeColor="background1"/>
                                <w:kern w:val="24"/>
                                <w:sz w:val="20"/>
                                <w:szCs w:val="20"/>
                              </w:rPr>
                              <w:t>29</w:t>
                            </w:r>
                          </w:p>
                          <w:p w14:paraId="68DFE03A" w14:textId="5EFDD08C" w:rsidR="00785144" w:rsidRDefault="007A3D00" w:rsidP="00785144">
                            <w:pPr>
                              <w:ind w:left="720"/>
                              <w:rPr>
                                <w:rFonts w:hAnsi="Aptos"/>
                                <w:color w:val="FFFFFF" w:themeColor="background1"/>
                                <w:kern w:val="24"/>
                                <w:sz w:val="32"/>
                                <w:szCs w:val="32"/>
                              </w:rPr>
                            </w:pPr>
                            <w:r>
                              <w:rPr>
                                <w:rFonts w:hAnsi="Aptos"/>
                                <w:b/>
                                <w:bCs/>
                                <w:color w:val="FFFFFF" w:themeColor="background1"/>
                                <w:kern w:val="24"/>
                                <w:szCs w:val="22"/>
                              </w:rPr>
                              <w:t>194</w:t>
                            </w:r>
                            <w:r w:rsidR="00785144" w:rsidRPr="00FF4C86">
                              <w:rPr>
                                <w:rFonts w:hAnsi="Aptos"/>
                                <w:b/>
                                <w:bCs/>
                                <w:color w:val="FFFFFF" w:themeColor="background1"/>
                                <w:kern w:val="24"/>
                                <w:szCs w:val="22"/>
                              </w:rPr>
                              <w:t xml:space="preserve"> staff</w:t>
                            </w:r>
                            <w:r w:rsidR="00785144">
                              <w:rPr>
                                <w:rFonts w:hAnsi="Aptos"/>
                                <w:color w:val="FFFFFF" w:themeColor="background1"/>
                                <w:kern w:val="24"/>
                                <w:sz w:val="32"/>
                                <w:szCs w:val="32"/>
                              </w:rPr>
                              <w:br/>
                            </w:r>
                            <w:r w:rsidR="00785144" w:rsidRPr="00730BBF">
                              <w:rPr>
                                <w:rFonts w:hAnsi="Aptos"/>
                                <w:color w:val="FFFFFF" w:themeColor="background1"/>
                                <w:kern w:val="24"/>
                                <w:sz w:val="20"/>
                                <w:szCs w:val="20"/>
                              </w:rPr>
                              <w:t>Ongoing FTE</w:t>
                            </w:r>
                          </w:p>
                        </w:txbxContent>
                      </v:textbox>
                    </v:roundrect>
                  </w:pict>
                </mc:Fallback>
              </mc:AlternateContent>
            </w:r>
          </w:p>
        </w:tc>
      </w:tr>
      <w:tr w:rsidR="00785144" w:rsidRPr="00A43B0D" w14:paraId="0BEB29B9" w14:textId="77777777">
        <w:trPr>
          <w:trHeight w:val="521"/>
        </w:trPr>
        <w:tc>
          <w:tcPr>
            <w:tcW w:w="9030" w:type="dxa"/>
            <w:gridSpan w:val="4"/>
          </w:tcPr>
          <w:p w14:paraId="5CCFAAD0" w14:textId="63D18E99" w:rsidR="00785144" w:rsidRPr="002E7F06" w:rsidRDefault="00785144" w:rsidP="00785144">
            <w:pPr>
              <w:pStyle w:val="ListParagraph"/>
              <w:numPr>
                <w:ilvl w:val="0"/>
                <w:numId w:val="92"/>
              </w:numPr>
              <w:rPr>
                <w:sz w:val="12"/>
                <w:szCs w:val="12"/>
              </w:rPr>
            </w:pPr>
            <w:r w:rsidRPr="002E7F06">
              <w:rPr>
                <w:sz w:val="12"/>
                <w:szCs w:val="12"/>
              </w:rPr>
              <w:t xml:space="preserve">FTE figure includes non-executive and non-forensic staff at VIFM, </w:t>
            </w:r>
            <w:r w:rsidR="00A0389F">
              <w:rPr>
                <w:sz w:val="12"/>
                <w:szCs w:val="12"/>
              </w:rPr>
              <w:br/>
            </w:r>
            <w:r w:rsidRPr="002E7F06">
              <w:rPr>
                <w:sz w:val="12"/>
                <w:szCs w:val="12"/>
              </w:rPr>
              <w:t xml:space="preserve">community health practitioners, custodial officers, </w:t>
            </w:r>
            <w:proofErr w:type="gramStart"/>
            <w:r w:rsidRPr="002E7F06">
              <w:rPr>
                <w:sz w:val="12"/>
                <w:szCs w:val="12"/>
              </w:rPr>
              <w:t>children</w:t>
            </w:r>
            <w:proofErr w:type="gramEnd"/>
            <w:r w:rsidRPr="002E7F06">
              <w:rPr>
                <w:sz w:val="12"/>
                <w:szCs w:val="12"/>
              </w:rPr>
              <w:t xml:space="preserve"> youth and family workers, and youth justice workers.</w:t>
            </w:r>
          </w:p>
          <w:p w14:paraId="25D8CD3F" w14:textId="77777777" w:rsidR="00785144" w:rsidRPr="002E7F06" w:rsidRDefault="00785144" w:rsidP="00785144">
            <w:pPr>
              <w:pStyle w:val="ListParagraph"/>
              <w:numPr>
                <w:ilvl w:val="0"/>
                <w:numId w:val="92"/>
              </w:numPr>
              <w:rPr>
                <w:sz w:val="12"/>
                <w:szCs w:val="12"/>
              </w:rPr>
            </w:pPr>
            <w:r w:rsidRPr="002E7F06">
              <w:rPr>
                <w:sz w:val="12"/>
                <w:szCs w:val="12"/>
              </w:rPr>
              <w:t>Victoria Police</w:t>
            </w:r>
            <w:r w:rsidRPr="00F405E1">
              <w:rPr>
                <w:sz w:val="12"/>
                <w:szCs w:val="12"/>
              </w:rPr>
              <w:t>,</w:t>
            </w:r>
            <w:r w:rsidRPr="002E7F06">
              <w:rPr>
                <w:sz w:val="12"/>
                <w:szCs w:val="12"/>
              </w:rPr>
              <w:t xml:space="preserve"> </w:t>
            </w:r>
            <w:r w:rsidRPr="00C91DAF">
              <w:rPr>
                <w:i/>
                <w:iCs/>
                <w:sz w:val="12"/>
                <w:szCs w:val="12"/>
              </w:rPr>
              <w:t>Annual Report 2023-24</w:t>
            </w:r>
            <w:r w:rsidRPr="00F405E1">
              <w:rPr>
                <w:sz w:val="12"/>
                <w:szCs w:val="12"/>
              </w:rPr>
              <w:t>, 2024.</w:t>
            </w:r>
          </w:p>
          <w:p w14:paraId="0946C202" w14:textId="77777777" w:rsidR="00785144" w:rsidRPr="002E7F06" w:rsidRDefault="00785144" w:rsidP="00785144">
            <w:pPr>
              <w:pStyle w:val="ListParagraph"/>
              <w:numPr>
                <w:ilvl w:val="0"/>
                <w:numId w:val="92"/>
              </w:numPr>
              <w:rPr>
                <w:sz w:val="12"/>
                <w:szCs w:val="12"/>
              </w:rPr>
            </w:pPr>
            <w:r w:rsidRPr="00F405E1">
              <w:rPr>
                <w:sz w:val="12"/>
                <w:szCs w:val="12"/>
              </w:rPr>
              <w:t xml:space="preserve">DJCS, </w:t>
            </w:r>
            <w:r w:rsidRPr="00C91DAF">
              <w:rPr>
                <w:i/>
                <w:iCs/>
                <w:sz w:val="12"/>
                <w:szCs w:val="12"/>
              </w:rPr>
              <w:t>Youth Justice Strategic Plan 2020-</w:t>
            </w:r>
            <w:r w:rsidRPr="002E7F06">
              <w:rPr>
                <w:i/>
                <w:iCs/>
                <w:sz w:val="12"/>
                <w:szCs w:val="12"/>
              </w:rPr>
              <w:t>23</w:t>
            </w:r>
            <w:r w:rsidRPr="002E7F06">
              <w:rPr>
                <w:sz w:val="12"/>
                <w:szCs w:val="12"/>
              </w:rPr>
              <w:t>, 2020.</w:t>
            </w:r>
          </w:p>
          <w:p w14:paraId="7A8D6B37" w14:textId="77777777" w:rsidR="00785144" w:rsidRPr="002E7F06" w:rsidRDefault="00785144" w:rsidP="00785144">
            <w:pPr>
              <w:pStyle w:val="ListParagraph"/>
              <w:numPr>
                <w:ilvl w:val="0"/>
                <w:numId w:val="92"/>
              </w:numPr>
              <w:rPr>
                <w:sz w:val="12"/>
                <w:szCs w:val="12"/>
              </w:rPr>
            </w:pPr>
            <w:r w:rsidRPr="00F405E1">
              <w:rPr>
                <w:sz w:val="12"/>
                <w:szCs w:val="12"/>
              </w:rPr>
              <w:t xml:space="preserve">DJCS, </w:t>
            </w:r>
            <w:r w:rsidRPr="00C91DAF">
              <w:rPr>
                <w:i/>
                <w:iCs/>
                <w:sz w:val="12"/>
                <w:szCs w:val="12"/>
              </w:rPr>
              <w:t>Legal Assistance Strategy Victoria 2022-2025</w:t>
            </w:r>
            <w:r w:rsidRPr="002E7F06">
              <w:rPr>
                <w:sz w:val="12"/>
                <w:szCs w:val="12"/>
              </w:rPr>
              <w:t>, 2022.</w:t>
            </w:r>
          </w:p>
          <w:p w14:paraId="1E57086E" w14:textId="77777777" w:rsidR="00785144" w:rsidRPr="00C91DAF" w:rsidRDefault="00785144" w:rsidP="00785144">
            <w:pPr>
              <w:pStyle w:val="ListParagraph"/>
              <w:numPr>
                <w:ilvl w:val="0"/>
                <w:numId w:val="92"/>
              </w:numPr>
              <w:rPr>
                <w:i/>
                <w:iCs/>
                <w:sz w:val="12"/>
                <w:szCs w:val="12"/>
              </w:rPr>
            </w:pPr>
            <w:r w:rsidRPr="002E7F06">
              <w:rPr>
                <w:sz w:val="12"/>
                <w:szCs w:val="12"/>
              </w:rPr>
              <w:t>DJCS</w:t>
            </w:r>
            <w:r w:rsidRPr="00F405E1">
              <w:rPr>
                <w:sz w:val="12"/>
                <w:szCs w:val="12"/>
              </w:rPr>
              <w:t>,</w:t>
            </w:r>
            <w:r w:rsidRPr="002E7F06">
              <w:rPr>
                <w:sz w:val="12"/>
                <w:szCs w:val="12"/>
              </w:rPr>
              <w:t xml:space="preserve"> </w:t>
            </w:r>
            <w:r w:rsidRPr="00C91DAF">
              <w:rPr>
                <w:i/>
                <w:iCs/>
                <w:sz w:val="12"/>
                <w:szCs w:val="12"/>
              </w:rPr>
              <w:t>Strategic Direction: 2024-2028</w:t>
            </w:r>
            <w:r w:rsidRPr="002E7F06">
              <w:rPr>
                <w:sz w:val="12"/>
                <w:szCs w:val="12"/>
              </w:rPr>
              <w:t>, 2024.</w:t>
            </w:r>
          </w:p>
        </w:tc>
      </w:tr>
    </w:tbl>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7"/>
        <w:gridCol w:w="4499"/>
      </w:tblGrid>
      <w:tr w:rsidR="00785144" w:rsidRPr="00A43B0D" w14:paraId="09649123" w14:textId="77777777">
        <w:trPr>
          <w:trHeight w:val="449"/>
        </w:trPr>
        <w:tc>
          <w:tcPr>
            <w:tcW w:w="9016" w:type="dxa"/>
            <w:gridSpan w:val="2"/>
          </w:tcPr>
          <w:p w14:paraId="57AC55CD" w14:textId="77777777" w:rsidR="00785144" w:rsidRPr="00303A8B" w:rsidRDefault="00785144" w:rsidP="00303A8B">
            <w:pPr>
              <w:pStyle w:val="Heading3"/>
              <w:rPr>
                <w:rFonts w:asciiTheme="majorHAnsi" w:hAnsiTheme="majorHAnsi"/>
                <w:sz w:val="32"/>
                <w:szCs w:val="32"/>
              </w:rPr>
            </w:pPr>
            <w:r w:rsidRPr="00303A8B">
              <w:rPr>
                <w:rFonts w:asciiTheme="majorHAnsi" w:hAnsiTheme="majorHAnsi"/>
                <w:sz w:val="32"/>
                <w:szCs w:val="32"/>
              </w:rPr>
              <w:lastRenderedPageBreak/>
              <w:t>Department of Transport and Planning (DTP)</w:t>
            </w:r>
          </w:p>
        </w:tc>
      </w:tr>
      <w:tr w:rsidR="00785144" w:rsidRPr="00A43B0D" w14:paraId="6ACEACF0" w14:textId="77777777">
        <w:trPr>
          <w:trHeight w:val="276"/>
        </w:trPr>
        <w:tc>
          <w:tcPr>
            <w:tcW w:w="9016" w:type="dxa"/>
            <w:gridSpan w:val="2"/>
          </w:tcPr>
          <w:p w14:paraId="7220A243" w14:textId="77777777" w:rsidR="00785144" w:rsidRDefault="00785144">
            <w:pPr>
              <w:spacing w:line="278" w:lineRule="auto"/>
              <w:rPr>
                <w:sz w:val="18"/>
                <w:szCs w:val="18"/>
              </w:rPr>
            </w:pPr>
            <w:r w:rsidRPr="00584C4B">
              <w:rPr>
                <w:sz w:val="18"/>
                <w:szCs w:val="18"/>
              </w:rPr>
              <w:t>Integrating Victoria’s transport, land and planning system to create an inclusive, productive and sustainable state.</w:t>
            </w:r>
          </w:p>
          <w:p w14:paraId="68FDC72B" w14:textId="77777777" w:rsidR="00785144" w:rsidRPr="00A43B0D" w:rsidRDefault="00785144">
            <w:pPr>
              <w:spacing w:line="278" w:lineRule="auto"/>
              <w:rPr>
                <w:sz w:val="18"/>
                <w:szCs w:val="18"/>
              </w:rPr>
            </w:pPr>
          </w:p>
        </w:tc>
      </w:tr>
      <w:tr w:rsidR="00785144" w:rsidRPr="00A43B0D" w14:paraId="3A78187A" w14:textId="77777777">
        <w:trPr>
          <w:trHeight w:val="759"/>
        </w:trPr>
        <w:tc>
          <w:tcPr>
            <w:tcW w:w="4517" w:type="dxa"/>
          </w:tcPr>
          <w:p w14:paraId="15CD57BF" w14:textId="77777777" w:rsidR="00785144" w:rsidRPr="00A43B0D" w:rsidRDefault="00785144">
            <w:pPr>
              <w:spacing w:line="278" w:lineRule="auto"/>
              <w:rPr>
                <w:sz w:val="18"/>
                <w:szCs w:val="18"/>
              </w:rPr>
            </w:pPr>
            <w:r>
              <w:rPr>
                <w:noProof/>
              </w:rPr>
              <w:drawing>
                <wp:inline distT="0" distB="0" distL="0" distR="0" wp14:anchorId="06C4C00F" wp14:editId="2A021CE3">
                  <wp:extent cx="2193235" cy="323550"/>
                  <wp:effectExtent l="0" t="0" r="0" b="635"/>
                  <wp:docPr id="1100213111"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13111" name="Picture 1" descr="A close up of a text&#10;&#10;AI-generated content may be incorrect."/>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216415" cy="326970"/>
                          </a:xfrm>
                          <a:prstGeom prst="rect">
                            <a:avLst/>
                          </a:prstGeom>
                        </pic:spPr>
                      </pic:pic>
                    </a:graphicData>
                  </a:graphic>
                </wp:inline>
              </w:drawing>
            </w:r>
          </w:p>
        </w:tc>
        <w:tc>
          <w:tcPr>
            <w:tcW w:w="4499" w:type="dxa"/>
          </w:tcPr>
          <w:p w14:paraId="01ABE4E0" w14:textId="77777777" w:rsidR="00785144" w:rsidRPr="00A43B0D" w:rsidRDefault="00785144">
            <w:pPr>
              <w:spacing w:line="278" w:lineRule="auto"/>
              <w:rPr>
                <w:sz w:val="18"/>
                <w:szCs w:val="18"/>
              </w:rPr>
            </w:pPr>
            <w:r>
              <w:rPr>
                <w:noProof/>
              </w:rPr>
              <w:drawing>
                <wp:inline distT="0" distB="0" distL="0" distR="0" wp14:anchorId="78A58CB3" wp14:editId="2E1AE870">
                  <wp:extent cx="1868556" cy="325881"/>
                  <wp:effectExtent l="0" t="0" r="0" b="0"/>
                  <wp:docPr id="124264771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47711" name="Picture 1" descr="A close-up of a logo&#10;&#10;AI-generated content may be incorrect."/>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21873" cy="335180"/>
                          </a:xfrm>
                          <a:prstGeom prst="rect">
                            <a:avLst/>
                          </a:prstGeom>
                        </pic:spPr>
                      </pic:pic>
                    </a:graphicData>
                  </a:graphic>
                </wp:inline>
              </w:drawing>
            </w:r>
          </w:p>
        </w:tc>
      </w:tr>
      <w:tr w:rsidR="00785144" w:rsidRPr="00A43B0D" w14:paraId="35446A0B" w14:textId="77777777">
        <w:trPr>
          <w:trHeight w:val="922"/>
        </w:trPr>
        <w:tc>
          <w:tcPr>
            <w:tcW w:w="4517" w:type="dxa"/>
          </w:tcPr>
          <w:p w14:paraId="2C4FD585" w14:textId="77777777" w:rsidR="00785144" w:rsidRPr="00A45405" w:rsidRDefault="00785144">
            <w:pPr>
              <w:rPr>
                <w:rFonts w:asciiTheme="majorHAnsi" w:hAnsiTheme="majorHAnsi"/>
                <w:b/>
                <w:bCs/>
                <w:color w:val="0F4761" w:themeColor="accent1" w:themeShade="BF"/>
                <w:szCs w:val="22"/>
              </w:rPr>
            </w:pPr>
            <w:r w:rsidRPr="00A45405">
              <w:rPr>
                <w:rFonts w:asciiTheme="majorHAnsi" w:hAnsiTheme="majorHAnsi"/>
                <w:b/>
                <w:bCs/>
                <w:color w:val="0F4761" w:themeColor="accent1" w:themeShade="BF"/>
                <w:szCs w:val="22"/>
              </w:rPr>
              <w:t>Objectives</w:t>
            </w:r>
            <w:r w:rsidRPr="00A45405">
              <w:rPr>
                <w:rFonts w:asciiTheme="majorHAnsi" w:hAnsiTheme="majorHAnsi"/>
                <w:b/>
                <w:bCs/>
                <w:color w:val="0F4761" w:themeColor="accent1" w:themeShade="BF"/>
                <w:szCs w:val="22"/>
                <w:vertAlign w:val="superscript"/>
              </w:rPr>
              <w:t>†</w:t>
            </w:r>
          </w:p>
          <w:p w14:paraId="0DBF0797" w14:textId="77777777" w:rsidR="00785144" w:rsidRPr="003C6A09" w:rsidRDefault="00785144" w:rsidP="00785144">
            <w:pPr>
              <w:numPr>
                <w:ilvl w:val="0"/>
                <w:numId w:val="82"/>
              </w:numPr>
              <w:ind w:left="414" w:hanging="357"/>
              <w:rPr>
                <w:sz w:val="18"/>
                <w:szCs w:val="18"/>
              </w:rPr>
            </w:pPr>
            <w:r w:rsidRPr="003C6A09">
              <w:rPr>
                <w:sz w:val="18"/>
                <w:szCs w:val="18"/>
              </w:rPr>
              <w:t>Reliable and people-focused transport services</w:t>
            </w:r>
          </w:p>
          <w:p w14:paraId="7492EF23" w14:textId="77777777" w:rsidR="00785144" w:rsidRPr="003C6A09" w:rsidRDefault="00785144" w:rsidP="00785144">
            <w:pPr>
              <w:numPr>
                <w:ilvl w:val="0"/>
                <w:numId w:val="82"/>
              </w:numPr>
              <w:ind w:left="414" w:hanging="357"/>
              <w:rPr>
                <w:sz w:val="18"/>
                <w:szCs w:val="18"/>
              </w:rPr>
            </w:pPr>
            <w:r w:rsidRPr="003C6A09">
              <w:rPr>
                <w:sz w:val="18"/>
                <w:szCs w:val="18"/>
              </w:rPr>
              <w:t>Safe and well-regulated transport services</w:t>
            </w:r>
          </w:p>
          <w:p w14:paraId="43ED1643" w14:textId="77777777" w:rsidR="00785144" w:rsidRPr="003C6A09" w:rsidRDefault="00785144" w:rsidP="00785144">
            <w:pPr>
              <w:numPr>
                <w:ilvl w:val="0"/>
                <w:numId w:val="82"/>
              </w:numPr>
              <w:ind w:left="414" w:hanging="357"/>
              <w:rPr>
                <w:sz w:val="18"/>
                <w:szCs w:val="18"/>
              </w:rPr>
            </w:pPr>
            <w:r w:rsidRPr="003C6A09">
              <w:rPr>
                <w:sz w:val="18"/>
                <w:szCs w:val="18"/>
              </w:rPr>
              <w:t>A safe and quality-</w:t>
            </w:r>
            <w:proofErr w:type="gramStart"/>
            <w:r w:rsidRPr="003C6A09">
              <w:rPr>
                <w:sz w:val="18"/>
                <w:szCs w:val="18"/>
              </w:rPr>
              <w:t>build</w:t>
            </w:r>
            <w:proofErr w:type="gramEnd"/>
            <w:r w:rsidRPr="003C6A09">
              <w:rPr>
                <w:sz w:val="18"/>
                <w:szCs w:val="18"/>
              </w:rPr>
              <w:t xml:space="preserve"> environment</w:t>
            </w:r>
          </w:p>
          <w:p w14:paraId="797BEE9D" w14:textId="77777777" w:rsidR="00785144" w:rsidRPr="003C6A09" w:rsidRDefault="00785144" w:rsidP="00785144">
            <w:pPr>
              <w:numPr>
                <w:ilvl w:val="0"/>
                <w:numId w:val="82"/>
              </w:numPr>
              <w:ind w:left="414" w:hanging="357"/>
              <w:rPr>
                <w:sz w:val="18"/>
                <w:szCs w:val="18"/>
              </w:rPr>
            </w:pPr>
            <w:r w:rsidRPr="003C6A09">
              <w:rPr>
                <w:sz w:val="18"/>
                <w:szCs w:val="18"/>
              </w:rPr>
              <w:t>Effective management of Victoria’s land assets</w:t>
            </w:r>
          </w:p>
          <w:p w14:paraId="227DFAEB" w14:textId="77777777" w:rsidR="00785144" w:rsidRPr="003C6A09" w:rsidRDefault="00785144" w:rsidP="00785144">
            <w:pPr>
              <w:numPr>
                <w:ilvl w:val="0"/>
                <w:numId w:val="82"/>
              </w:numPr>
              <w:ind w:left="414" w:hanging="357"/>
              <w:rPr>
                <w:sz w:val="18"/>
                <w:szCs w:val="18"/>
              </w:rPr>
            </w:pPr>
            <w:r w:rsidRPr="003C6A09">
              <w:rPr>
                <w:sz w:val="18"/>
                <w:szCs w:val="18"/>
              </w:rPr>
              <w:t>Build prosperous and connected communities</w:t>
            </w:r>
          </w:p>
          <w:p w14:paraId="560FC2D7" w14:textId="77777777" w:rsidR="00785144" w:rsidRPr="00FE5383" w:rsidRDefault="00785144">
            <w:pPr>
              <w:rPr>
                <w:sz w:val="18"/>
                <w:szCs w:val="18"/>
              </w:rPr>
            </w:pPr>
          </w:p>
          <w:p w14:paraId="35B29829" w14:textId="77777777" w:rsidR="00785144" w:rsidRPr="00EE6EDC" w:rsidRDefault="00785144">
            <w:pPr>
              <w:pStyle w:val="Heading3"/>
              <w:rPr>
                <w:sz w:val="18"/>
                <w:szCs w:val="18"/>
              </w:rPr>
            </w:pPr>
          </w:p>
        </w:tc>
        <w:tc>
          <w:tcPr>
            <w:tcW w:w="4499" w:type="dxa"/>
          </w:tcPr>
          <w:p w14:paraId="1F841F82" w14:textId="77777777" w:rsidR="00785144" w:rsidRPr="00A45405" w:rsidRDefault="00785144">
            <w:pPr>
              <w:rPr>
                <w:rFonts w:asciiTheme="majorHAnsi" w:hAnsiTheme="majorHAnsi"/>
                <w:b/>
                <w:bCs/>
                <w:color w:val="0F4761" w:themeColor="accent1" w:themeShade="BF"/>
                <w:szCs w:val="22"/>
              </w:rPr>
            </w:pPr>
            <w:r w:rsidRPr="00A45405">
              <w:rPr>
                <w:rFonts w:asciiTheme="majorHAnsi" w:hAnsiTheme="majorHAnsi"/>
                <w:b/>
                <w:bCs/>
                <w:color w:val="0F4761" w:themeColor="accent1" w:themeShade="BF"/>
                <w:szCs w:val="22"/>
              </w:rPr>
              <w:t>Ministerial portfolios</w:t>
            </w:r>
          </w:p>
          <w:p w14:paraId="2AB98410" w14:textId="77777777" w:rsidR="00785144" w:rsidRPr="00BB6EDF" w:rsidRDefault="00785144" w:rsidP="00785144">
            <w:pPr>
              <w:numPr>
                <w:ilvl w:val="0"/>
                <w:numId w:val="83"/>
              </w:numPr>
              <w:ind w:left="414" w:hanging="357"/>
              <w:rPr>
                <w:sz w:val="18"/>
                <w:szCs w:val="18"/>
              </w:rPr>
            </w:pPr>
            <w:r w:rsidRPr="00BB6EDF">
              <w:rPr>
                <w:sz w:val="18"/>
                <w:szCs w:val="18"/>
              </w:rPr>
              <w:t>Transport Infrastructure</w:t>
            </w:r>
          </w:p>
          <w:p w14:paraId="2A0C1861" w14:textId="77777777" w:rsidR="00785144" w:rsidRPr="00BB6EDF" w:rsidRDefault="00785144" w:rsidP="00785144">
            <w:pPr>
              <w:numPr>
                <w:ilvl w:val="0"/>
                <w:numId w:val="83"/>
              </w:numPr>
              <w:ind w:left="414" w:hanging="357"/>
              <w:rPr>
                <w:sz w:val="18"/>
                <w:szCs w:val="18"/>
              </w:rPr>
            </w:pPr>
            <w:r w:rsidRPr="00BB6EDF">
              <w:rPr>
                <w:sz w:val="18"/>
                <w:szCs w:val="18"/>
              </w:rPr>
              <w:t>Suburban Rail Loop</w:t>
            </w:r>
          </w:p>
          <w:p w14:paraId="2D100E6A" w14:textId="77777777" w:rsidR="00785144" w:rsidRPr="00BB6EDF" w:rsidRDefault="00785144" w:rsidP="00785144">
            <w:pPr>
              <w:numPr>
                <w:ilvl w:val="0"/>
                <w:numId w:val="83"/>
              </w:numPr>
              <w:ind w:left="414" w:hanging="357"/>
              <w:rPr>
                <w:sz w:val="18"/>
                <w:szCs w:val="18"/>
              </w:rPr>
            </w:pPr>
            <w:r w:rsidRPr="00BB6EDF">
              <w:rPr>
                <w:sz w:val="18"/>
                <w:szCs w:val="18"/>
              </w:rPr>
              <w:t>Public and Active Transport</w:t>
            </w:r>
          </w:p>
          <w:p w14:paraId="5C05D5CB" w14:textId="77777777" w:rsidR="00785144" w:rsidRPr="00BB6EDF" w:rsidRDefault="00785144" w:rsidP="00785144">
            <w:pPr>
              <w:numPr>
                <w:ilvl w:val="0"/>
                <w:numId w:val="83"/>
              </w:numPr>
              <w:ind w:left="414" w:hanging="357"/>
              <w:rPr>
                <w:sz w:val="18"/>
                <w:szCs w:val="18"/>
              </w:rPr>
            </w:pPr>
            <w:proofErr w:type="gramStart"/>
            <w:r w:rsidRPr="00BB6EDF">
              <w:rPr>
                <w:sz w:val="18"/>
                <w:szCs w:val="18"/>
              </w:rPr>
              <w:t>Roads</w:t>
            </w:r>
            <w:proofErr w:type="gramEnd"/>
            <w:r w:rsidRPr="00BB6EDF">
              <w:rPr>
                <w:sz w:val="18"/>
                <w:szCs w:val="18"/>
              </w:rPr>
              <w:t xml:space="preserve"> and Road Safety</w:t>
            </w:r>
          </w:p>
          <w:p w14:paraId="66E7AC0E" w14:textId="77777777" w:rsidR="00785144" w:rsidRPr="00BB6EDF" w:rsidRDefault="00785144" w:rsidP="00785144">
            <w:pPr>
              <w:numPr>
                <w:ilvl w:val="0"/>
                <w:numId w:val="83"/>
              </w:numPr>
              <w:ind w:left="414" w:hanging="357"/>
              <w:rPr>
                <w:sz w:val="18"/>
                <w:szCs w:val="18"/>
              </w:rPr>
            </w:pPr>
            <w:r w:rsidRPr="00BB6EDF">
              <w:rPr>
                <w:sz w:val="18"/>
                <w:szCs w:val="18"/>
              </w:rPr>
              <w:t>Ports and Freight</w:t>
            </w:r>
          </w:p>
          <w:p w14:paraId="60C070B9" w14:textId="77777777" w:rsidR="00785144" w:rsidRPr="00BB6EDF" w:rsidRDefault="00785144" w:rsidP="00785144">
            <w:pPr>
              <w:numPr>
                <w:ilvl w:val="0"/>
                <w:numId w:val="83"/>
              </w:numPr>
              <w:ind w:left="414" w:hanging="357"/>
              <w:rPr>
                <w:sz w:val="18"/>
                <w:szCs w:val="18"/>
              </w:rPr>
            </w:pPr>
            <w:r w:rsidRPr="00BB6EDF">
              <w:rPr>
                <w:sz w:val="18"/>
                <w:szCs w:val="18"/>
              </w:rPr>
              <w:t>Planning</w:t>
            </w:r>
          </w:p>
          <w:p w14:paraId="51B148AA" w14:textId="77777777" w:rsidR="00785144" w:rsidRPr="00BB6EDF" w:rsidRDefault="00785144" w:rsidP="00785144">
            <w:pPr>
              <w:numPr>
                <w:ilvl w:val="0"/>
                <w:numId w:val="83"/>
              </w:numPr>
              <w:ind w:left="414" w:hanging="357"/>
              <w:rPr>
                <w:sz w:val="18"/>
                <w:szCs w:val="18"/>
              </w:rPr>
            </w:pPr>
            <w:r w:rsidRPr="00BB6EDF">
              <w:rPr>
                <w:sz w:val="18"/>
                <w:szCs w:val="18"/>
              </w:rPr>
              <w:t>Development Victoria and Precincts</w:t>
            </w:r>
          </w:p>
          <w:p w14:paraId="193D8B56" w14:textId="77777777" w:rsidR="00785144" w:rsidRDefault="00785144" w:rsidP="00785144">
            <w:pPr>
              <w:numPr>
                <w:ilvl w:val="0"/>
                <w:numId w:val="83"/>
              </w:numPr>
              <w:ind w:left="414" w:hanging="357"/>
              <w:rPr>
                <w:sz w:val="18"/>
                <w:szCs w:val="18"/>
              </w:rPr>
            </w:pPr>
            <w:r w:rsidRPr="00BB6EDF">
              <w:rPr>
                <w:sz w:val="18"/>
                <w:szCs w:val="18"/>
              </w:rPr>
              <w:t>Housing and Building (also DFFH)</w:t>
            </w:r>
          </w:p>
          <w:p w14:paraId="69171318" w14:textId="77777777" w:rsidR="00785144" w:rsidRPr="00FE5383" w:rsidRDefault="00785144">
            <w:pPr>
              <w:ind w:left="414"/>
              <w:rPr>
                <w:sz w:val="18"/>
                <w:szCs w:val="18"/>
              </w:rPr>
            </w:pPr>
          </w:p>
        </w:tc>
      </w:tr>
      <w:tr w:rsidR="00785144" w:rsidRPr="00A43B0D" w14:paraId="1AAF7D85" w14:textId="77777777">
        <w:trPr>
          <w:trHeight w:val="2984"/>
        </w:trPr>
        <w:tc>
          <w:tcPr>
            <w:tcW w:w="4517" w:type="dxa"/>
          </w:tcPr>
          <w:p w14:paraId="1CA4F82C" w14:textId="77777777" w:rsidR="00785144" w:rsidRPr="00F45BAF" w:rsidRDefault="00785144" w:rsidP="00F45BAF">
            <w:pPr>
              <w:pStyle w:val="Heading4"/>
              <w:rPr>
                <w:b/>
                <w:bCs/>
                <w:i w:val="0"/>
                <w:iCs w:val="0"/>
              </w:rPr>
            </w:pPr>
            <w:r w:rsidRPr="00F45BAF">
              <w:rPr>
                <w:rStyle w:val="Heading3Char"/>
                <w:i w:val="0"/>
                <w:iCs w:val="0"/>
                <w:sz w:val="22"/>
                <w:szCs w:val="22"/>
              </w:rPr>
              <w:t>Share of VPS workforce</w:t>
            </w:r>
            <w:r w:rsidRPr="00F45BAF">
              <w:rPr>
                <w:rStyle w:val="Heading3Char"/>
                <w:b w:val="0"/>
                <w:sz w:val="22"/>
                <w:szCs w:val="22"/>
              </w:rPr>
              <w:t>^</w:t>
            </w:r>
            <w:r w:rsidRPr="00A43B0D">
              <w:rPr>
                <w:bCs/>
              </w:rPr>
              <w:br/>
            </w:r>
            <w:r w:rsidRPr="00F45BAF">
              <w:rPr>
                <w:rStyle w:val="Heading3Char"/>
                <w:b w:val="0"/>
                <w:bCs/>
                <w:i w:val="0"/>
                <w:iCs w:val="0"/>
                <w:sz w:val="18"/>
                <w:szCs w:val="18"/>
              </w:rPr>
              <w:t>VPS Classifications, June 2024</w:t>
            </w:r>
          </w:p>
          <w:p w14:paraId="7FD17118" w14:textId="77777777" w:rsidR="00785144" w:rsidRPr="00EB1D09" w:rsidRDefault="00785144">
            <w:r>
              <w:rPr>
                <w:noProof/>
              </w:rPr>
              <w:drawing>
                <wp:inline distT="0" distB="0" distL="0" distR="0" wp14:anchorId="46A98E07" wp14:editId="5953DE76">
                  <wp:extent cx="2328898" cy="1584251"/>
                  <wp:effectExtent l="0" t="0" r="0" b="0"/>
                  <wp:docPr id="2090031022" name="Picture 1" descr="A graph of blue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31022" name="Picture 1" descr="A graph of blue rectangles&#10;&#10;AI-generated content may be incorrect."/>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339758" cy="1591639"/>
                          </a:xfrm>
                          <a:prstGeom prst="rect">
                            <a:avLst/>
                          </a:prstGeom>
                        </pic:spPr>
                      </pic:pic>
                    </a:graphicData>
                  </a:graphic>
                </wp:inline>
              </w:drawing>
            </w:r>
          </w:p>
          <w:p w14:paraId="20ECA001" w14:textId="77777777" w:rsidR="00785144" w:rsidRPr="00EB1D09" w:rsidRDefault="00785144">
            <w:pPr>
              <w:pStyle w:val="Heading2"/>
              <w:rPr>
                <w:sz w:val="18"/>
                <w:szCs w:val="18"/>
              </w:rPr>
            </w:pPr>
          </w:p>
          <w:p w14:paraId="30C30AA0" w14:textId="77777777" w:rsidR="00785144" w:rsidRPr="00EB1D09" w:rsidRDefault="00785144">
            <w:pPr>
              <w:pStyle w:val="Heading2"/>
              <w:rPr>
                <w:sz w:val="18"/>
                <w:szCs w:val="18"/>
              </w:rPr>
            </w:pPr>
          </w:p>
          <w:p w14:paraId="457B61CF" w14:textId="77777777" w:rsidR="00785144" w:rsidRPr="00EE6EDC" w:rsidRDefault="00B575A7" w:rsidP="00B575A7">
            <w:pPr>
              <w:rPr>
                <w:sz w:val="18"/>
                <w:szCs w:val="18"/>
              </w:rPr>
            </w:pPr>
            <w:r w:rsidRPr="00B575A7">
              <w:rPr>
                <w:rFonts w:asciiTheme="majorHAnsi" w:hAnsiTheme="majorHAnsi"/>
                <w:b/>
                <w:bCs/>
                <w:color w:val="0F4761" w:themeColor="accent1" w:themeShade="BF"/>
              </w:rPr>
              <w:t>Output expenditure</w:t>
            </w:r>
            <w:r w:rsidRPr="00B575A7">
              <w:rPr>
                <w:rFonts w:asciiTheme="majorHAnsi" w:hAnsiTheme="majorHAnsi"/>
                <w:b/>
                <w:bCs/>
                <w:color w:val="0F4761" w:themeColor="accent1" w:themeShade="BF"/>
                <w:vertAlign w:val="superscript"/>
              </w:rPr>
              <w:t>†</w:t>
            </w:r>
            <w:r w:rsidRPr="0078732A">
              <w:br/>
            </w:r>
            <w:r w:rsidRPr="00B575A7">
              <w:rPr>
                <w:color w:val="0F4761" w:themeColor="accent1" w:themeShade="BF"/>
                <w:sz w:val="18"/>
                <w:szCs w:val="18"/>
              </w:rPr>
              <w:t xml:space="preserve">$ </w:t>
            </w:r>
            <w:proofErr w:type="gramStart"/>
            <w:r w:rsidRPr="00B575A7">
              <w:rPr>
                <w:color w:val="0F4761" w:themeColor="accent1" w:themeShade="BF"/>
                <w:sz w:val="18"/>
                <w:szCs w:val="18"/>
              </w:rPr>
              <w:t>millions</w:t>
            </w:r>
            <w:proofErr w:type="gramEnd"/>
            <w:r w:rsidRPr="00B575A7">
              <w:rPr>
                <w:color w:val="0F4761" w:themeColor="accent1" w:themeShade="BF"/>
                <w:sz w:val="18"/>
                <w:szCs w:val="18"/>
              </w:rPr>
              <w:t>, 2023/24</w:t>
            </w:r>
          </w:p>
        </w:tc>
        <w:tc>
          <w:tcPr>
            <w:tcW w:w="4499" w:type="dxa"/>
          </w:tcPr>
          <w:p w14:paraId="29641931" w14:textId="77777777" w:rsidR="00785144" w:rsidRPr="00A45405" w:rsidRDefault="00785144">
            <w:pPr>
              <w:rPr>
                <w:rFonts w:asciiTheme="majorHAnsi" w:hAnsiTheme="majorHAnsi"/>
                <w:b/>
                <w:bCs/>
                <w:color w:val="0F4761" w:themeColor="accent1" w:themeShade="BF"/>
                <w:szCs w:val="22"/>
              </w:rPr>
            </w:pPr>
            <w:r w:rsidRPr="00A45405">
              <w:rPr>
                <w:rFonts w:asciiTheme="majorHAnsi" w:hAnsiTheme="majorHAnsi"/>
                <w:b/>
                <w:bCs/>
                <w:color w:val="0F4761" w:themeColor="accent1" w:themeShade="BF"/>
                <w:szCs w:val="22"/>
              </w:rPr>
              <w:t>VPS non-departmental entities</w:t>
            </w:r>
            <w:r w:rsidRPr="00A45405">
              <w:rPr>
                <w:rFonts w:asciiTheme="majorHAnsi" w:hAnsiTheme="majorHAnsi"/>
                <w:b/>
                <w:bCs/>
                <w:color w:val="0F4761" w:themeColor="accent1" w:themeShade="BF"/>
                <w:szCs w:val="22"/>
                <w:vertAlign w:val="superscript"/>
              </w:rPr>
              <w:t>^</w:t>
            </w:r>
            <w:r w:rsidRPr="00A45405">
              <w:rPr>
                <w:rFonts w:asciiTheme="majorHAnsi" w:hAnsiTheme="majorHAnsi"/>
                <w:b/>
                <w:bCs/>
                <w:color w:val="0F4761" w:themeColor="accent1" w:themeShade="BF"/>
                <w:szCs w:val="22"/>
              </w:rPr>
              <w:t xml:space="preserve"> </w:t>
            </w:r>
          </w:p>
          <w:p w14:paraId="00274239" w14:textId="77777777" w:rsidR="00785144" w:rsidRPr="00D278A4" w:rsidRDefault="00785144" w:rsidP="00785144">
            <w:pPr>
              <w:numPr>
                <w:ilvl w:val="0"/>
                <w:numId w:val="83"/>
              </w:numPr>
              <w:ind w:left="414" w:hanging="357"/>
              <w:rPr>
                <w:sz w:val="18"/>
                <w:szCs w:val="18"/>
              </w:rPr>
            </w:pPr>
            <w:r w:rsidRPr="00D278A4">
              <w:rPr>
                <w:sz w:val="18"/>
                <w:szCs w:val="18"/>
              </w:rPr>
              <w:t>Cladding Safety Victoria</w:t>
            </w:r>
          </w:p>
          <w:p w14:paraId="7D243AE0" w14:textId="77777777" w:rsidR="00785144" w:rsidRPr="00D278A4" w:rsidRDefault="00785144" w:rsidP="00785144">
            <w:pPr>
              <w:numPr>
                <w:ilvl w:val="0"/>
                <w:numId w:val="83"/>
              </w:numPr>
              <w:ind w:left="414" w:hanging="357"/>
              <w:rPr>
                <w:sz w:val="18"/>
                <w:szCs w:val="18"/>
              </w:rPr>
            </w:pPr>
            <w:r w:rsidRPr="00D278A4">
              <w:rPr>
                <w:sz w:val="18"/>
                <w:szCs w:val="18"/>
              </w:rPr>
              <w:t>Safe Transport Victoria</w:t>
            </w:r>
          </w:p>
          <w:p w14:paraId="71F3B017" w14:textId="77777777" w:rsidR="00785144" w:rsidRPr="00D278A4" w:rsidRDefault="00785144" w:rsidP="00785144">
            <w:pPr>
              <w:numPr>
                <w:ilvl w:val="0"/>
                <w:numId w:val="83"/>
              </w:numPr>
              <w:ind w:left="414" w:hanging="357"/>
              <w:rPr>
                <w:sz w:val="18"/>
                <w:szCs w:val="18"/>
              </w:rPr>
            </w:pPr>
            <w:r w:rsidRPr="00D278A4">
              <w:rPr>
                <w:sz w:val="18"/>
                <w:szCs w:val="18"/>
              </w:rPr>
              <w:t>Suburban Rail Loop Authority</w:t>
            </w:r>
          </w:p>
          <w:p w14:paraId="2CB74F3A" w14:textId="77777777" w:rsidR="00785144" w:rsidRDefault="00785144" w:rsidP="00785144">
            <w:pPr>
              <w:numPr>
                <w:ilvl w:val="0"/>
                <w:numId w:val="83"/>
              </w:numPr>
              <w:ind w:left="414" w:hanging="357"/>
              <w:rPr>
                <w:sz w:val="18"/>
                <w:szCs w:val="18"/>
              </w:rPr>
            </w:pPr>
            <w:r w:rsidRPr="00D278A4">
              <w:rPr>
                <w:sz w:val="18"/>
                <w:szCs w:val="18"/>
              </w:rPr>
              <w:t>Victorian Infrastructure Delivery Authority</w:t>
            </w:r>
          </w:p>
          <w:p w14:paraId="0F673B11" w14:textId="77777777" w:rsidR="00785144" w:rsidRPr="00D278A4" w:rsidRDefault="00785144">
            <w:pPr>
              <w:rPr>
                <w:sz w:val="18"/>
                <w:szCs w:val="18"/>
              </w:rPr>
            </w:pPr>
          </w:p>
          <w:p w14:paraId="0651AA3C" w14:textId="77777777" w:rsidR="00785144" w:rsidRPr="00A45405" w:rsidRDefault="00785144">
            <w:pPr>
              <w:rPr>
                <w:rFonts w:asciiTheme="majorHAnsi" w:hAnsiTheme="majorHAnsi"/>
                <w:b/>
                <w:bCs/>
                <w:color w:val="0F4761" w:themeColor="accent1" w:themeShade="BF"/>
                <w:szCs w:val="22"/>
              </w:rPr>
            </w:pPr>
            <w:r w:rsidRPr="00A45405">
              <w:rPr>
                <w:rFonts w:asciiTheme="majorHAnsi" w:hAnsiTheme="majorHAnsi"/>
                <w:b/>
                <w:bCs/>
                <w:color w:val="0F4761" w:themeColor="accent1" w:themeShade="BF"/>
                <w:szCs w:val="22"/>
              </w:rPr>
              <w:t>Demand pressures</w:t>
            </w:r>
          </w:p>
          <w:p w14:paraId="05FC75F9" w14:textId="77777777" w:rsidR="00785144" w:rsidRPr="00F63C92" w:rsidRDefault="00785144" w:rsidP="00785144">
            <w:pPr>
              <w:numPr>
                <w:ilvl w:val="0"/>
                <w:numId w:val="85"/>
              </w:numPr>
              <w:ind w:left="414" w:hanging="357"/>
              <w:rPr>
                <w:sz w:val="18"/>
                <w:szCs w:val="18"/>
              </w:rPr>
            </w:pPr>
            <w:r w:rsidRPr="00F63C92">
              <w:rPr>
                <w:sz w:val="18"/>
                <w:szCs w:val="18"/>
              </w:rPr>
              <w:t>Melbourne is projected to have a population of 8 million by 2051, driving demand for transport, housing and land-use reform.</w:t>
            </w:r>
            <w:r w:rsidRPr="00F63C92">
              <w:rPr>
                <w:sz w:val="18"/>
                <w:szCs w:val="18"/>
                <w:vertAlign w:val="superscript"/>
              </w:rPr>
              <w:t>1</w:t>
            </w:r>
          </w:p>
          <w:p w14:paraId="41469172" w14:textId="77777777" w:rsidR="00785144" w:rsidRPr="00F63C92" w:rsidRDefault="00785144" w:rsidP="00785144">
            <w:pPr>
              <w:numPr>
                <w:ilvl w:val="0"/>
                <w:numId w:val="85"/>
              </w:numPr>
              <w:ind w:left="414" w:hanging="357"/>
              <w:rPr>
                <w:sz w:val="18"/>
                <w:szCs w:val="18"/>
              </w:rPr>
            </w:pPr>
            <w:r w:rsidRPr="00F63C92">
              <w:rPr>
                <w:sz w:val="18"/>
                <w:szCs w:val="18"/>
              </w:rPr>
              <w:t>Public transport use is forecast to exceed pre-COVID levels by 2026–27, requiring network and service expansion.</w:t>
            </w:r>
            <w:r w:rsidRPr="00F63C92">
              <w:rPr>
                <w:sz w:val="18"/>
                <w:szCs w:val="18"/>
                <w:vertAlign w:val="superscript"/>
              </w:rPr>
              <w:t>2</w:t>
            </w:r>
          </w:p>
          <w:p w14:paraId="4B46A0E6" w14:textId="77777777" w:rsidR="00785144" w:rsidRPr="00F63C92" w:rsidRDefault="00785144" w:rsidP="00785144">
            <w:pPr>
              <w:numPr>
                <w:ilvl w:val="0"/>
                <w:numId w:val="85"/>
              </w:numPr>
              <w:ind w:left="414" w:hanging="357"/>
              <w:rPr>
                <w:sz w:val="18"/>
                <w:szCs w:val="18"/>
              </w:rPr>
            </w:pPr>
            <w:r w:rsidRPr="00F63C92">
              <w:rPr>
                <w:sz w:val="18"/>
                <w:szCs w:val="18"/>
              </w:rPr>
              <w:t xml:space="preserve">Growth in </w:t>
            </w:r>
            <w:r>
              <w:rPr>
                <w:sz w:val="18"/>
                <w:szCs w:val="18"/>
              </w:rPr>
              <w:t>heavy vehicle traffic</w:t>
            </w:r>
            <w:r w:rsidRPr="00F63C92">
              <w:rPr>
                <w:sz w:val="18"/>
                <w:szCs w:val="18"/>
              </w:rPr>
              <w:t xml:space="preserve"> is </w:t>
            </w:r>
            <w:r>
              <w:rPr>
                <w:sz w:val="18"/>
                <w:szCs w:val="18"/>
              </w:rPr>
              <w:t>impacting the condition</w:t>
            </w:r>
            <w:r w:rsidRPr="00F63C92">
              <w:rPr>
                <w:sz w:val="18"/>
                <w:szCs w:val="18"/>
              </w:rPr>
              <w:t xml:space="preserve"> </w:t>
            </w:r>
            <w:r>
              <w:rPr>
                <w:sz w:val="18"/>
                <w:szCs w:val="18"/>
              </w:rPr>
              <w:t>of</w:t>
            </w:r>
            <w:r w:rsidRPr="00F63C92">
              <w:rPr>
                <w:sz w:val="18"/>
                <w:szCs w:val="18"/>
              </w:rPr>
              <w:t xml:space="preserve"> Victoria’s road network, increasing demand for maintenance and renewal.</w:t>
            </w:r>
            <w:r w:rsidRPr="00F63C92">
              <w:rPr>
                <w:sz w:val="18"/>
                <w:szCs w:val="18"/>
                <w:vertAlign w:val="superscript"/>
              </w:rPr>
              <w:t>3</w:t>
            </w:r>
          </w:p>
          <w:p w14:paraId="6F977344" w14:textId="77777777" w:rsidR="00785144" w:rsidRPr="00F63C92" w:rsidRDefault="00785144" w:rsidP="00785144">
            <w:pPr>
              <w:numPr>
                <w:ilvl w:val="0"/>
                <w:numId w:val="85"/>
              </w:numPr>
              <w:ind w:left="414" w:hanging="357"/>
              <w:rPr>
                <w:sz w:val="18"/>
                <w:szCs w:val="18"/>
              </w:rPr>
            </w:pPr>
            <w:r w:rsidRPr="00F63C92">
              <w:rPr>
                <w:sz w:val="18"/>
                <w:szCs w:val="18"/>
              </w:rPr>
              <w:t>Increased frequency of extreme weather events is placing pressure on network resilience and maintenance needs.</w:t>
            </w:r>
            <w:r w:rsidRPr="00F63C92">
              <w:rPr>
                <w:sz w:val="18"/>
                <w:szCs w:val="18"/>
                <w:vertAlign w:val="superscript"/>
              </w:rPr>
              <w:t>2</w:t>
            </w:r>
          </w:p>
          <w:p w14:paraId="202DDE22" w14:textId="77777777" w:rsidR="00785144" w:rsidRPr="007025CC" w:rsidRDefault="00785144">
            <w:pPr>
              <w:ind w:left="414"/>
              <w:rPr>
                <w:sz w:val="18"/>
                <w:szCs w:val="18"/>
              </w:rPr>
            </w:pPr>
          </w:p>
        </w:tc>
      </w:tr>
      <w:tr w:rsidR="00785144" w:rsidRPr="00A43B0D" w14:paraId="4A024FCD" w14:textId="77777777">
        <w:trPr>
          <w:trHeight w:val="3725"/>
        </w:trPr>
        <w:tc>
          <w:tcPr>
            <w:tcW w:w="4517" w:type="dxa"/>
          </w:tcPr>
          <w:p w14:paraId="596F0F83" w14:textId="77777777" w:rsidR="00785144" w:rsidRPr="00A43B0D" w:rsidRDefault="00785144">
            <w:pPr>
              <w:spacing w:line="278" w:lineRule="auto"/>
              <w:rPr>
                <w:sz w:val="18"/>
                <w:szCs w:val="18"/>
              </w:rPr>
            </w:pPr>
            <w:r>
              <w:rPr>
                <w:noProof/>
              </w:rPr>
              <w:drawing>
                <wp:inline distT="0" distB="0" distL="0" distR="0" wp14:anchorId="1A3A04AB" wp14:editId="3ED1CA98">
                  <wp:extent cx="2731261" cy="2082248"/>
                  <wp:effectExtent l="0" t="0" r="0" b="0"/>
                  <wp:docPr id="1393144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44325" name="Picture 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731261" cy="2082248"/>
                          </a:xfrm>
                          <a:prstGeom prst="rect">
                            <a:avLst/>
                          </a:prstGeom>
                        </pic:spPr>
                      </pic:pic>
                    </a:graphicData>
                  </a:graphic>
                </wp:inline>
              </w:drawing>
            </w:r>
          </w:p>
        </w:tc>
        <w:tc>
          <w:tcPr>
            <w:tcW w:w="4499" w:type="dxa"/>
          </w:tcPr>
          <w:p w14:paraId="14B2F746" w14:textId="77777777" w:rsidR="00785144" w:rsidRDefault="00785144">
            <w:pPr>
              <w:spacing w:line="278" w:lineRule="auto"/>
              <w:rPr>
                <w:sz w:val="18"/>
                <w:szCs w:val="18"/>
              </w:rPr>
            </w:pPr>
          </w:p>
          <w:p w14:paraId="30C4F460" w14:textId="77777777" w:rsidR="00785144" w:rsidRDefault="00785144">
            <w:pPr>
              <w:spacing w:line="278" w:lineRule="auto"/>
              <w:rPr>
                <w:sz w:val="18"/>
                <w:szCs w:val="18"/>
              </w:rPr>
            </w:pPr>
          </w:p>
          <w:p w14:paraId="0EDFC658" w14:textId="77777777" w:rsidR="00785144" w:rsidRDefault="00785144">
            <w:pPr>
              <w:spacing w:line="278" w:lineRule="auto"/>
              <w:rPr>
                <w:sz w:val="18"/>
                <w:szCs w:val="18"/>
              </w:rPr>
            </w:pPr>
          </w:p>
          <w:p w14:paraId="39C8CBAD" w14:textId="77777777" w:rsidR="00785144" w:rsidRDefault="00785144">
            <w:pPr>
              <w:spacing w:line="278" w:lineRule="auto"/>
              <w:rPr>
                <w:sz w:val="18"/>
                <w:szCs w:val="18"/>
              </w:rPr>
            </w:pPr>
          </w:p>
          <w:p w14:paraId="673A7E0B" w14:textId="77777777" w:rsidR="00785144" w:rsidRPr="00A43B0D" w:rsidRDefault="00785144">
            <w:pPr>
              <w:spacing w:line="278" w:lineRule="auto"/>
              <w:rPr>
                <w:sz w:val="18"/>
                <w:szCs w:val="18"/>
              </w:rPr>
            </w:pPr>
            <w:r w:rsidRPr="00A43B0D">
              <w:rPr>
                <w:noProof/>
                <w:sz w:val="18"/>
                <w:szCs w:val="18"/>
              </w:rPr>
              <w:drawing>
                <wp:anchor distT="0" distB="0" distL="114300" distR="114300" simplePos="0" relativeHeight="251658253" behindDoc="0" locked="0" layoutInCell="1" allowOverlap="1" wp14:anchorId="11560516" wp14:editId="2C0DC4A1">
                  <wp:simplePos x="0" y="0"/>
                  <wp:positionH relativeFrom="column">
                    <wp:posOffset>298450</wp:posOffset>
                  </wp:positionH>
                  <wp:positionV relativeFrom="paragraph">
                    <wp:posOffset>622935</wp:posOffset>
                  </wp:positionV>
                  <wp:extent cx="287655" cy="287655"/>
                  <wp:effectExtent l="0" t="0" r="0" b="0"/>
                  <wp:wrapNone/>
                  <wp:docPr id="1155441496" name="Picture 17" descr="A white dollar sign in a circle&#10;&#10;AI-generated content may be incorrect.">
                    <a:extLst xmlns:a="http://schemas.openxmlformats.org/drawingml/2006/main">
                      <a:ext uri="{FF2B5EF4-FFF2-40B4-BE49-F238E27FC236}">
                        <a16:creationId xmlns:a16="http://schemas.microsoft.com/office/drawing/2014/main" id="{5E95BA44-000E-5F82-4AD1-8DDFA53A9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7" descr="A white dollar sign in a circle&#10;&#10;AI-generated content may be incorrect.">
                            <a:extLst>
                              <a:ext uri="{FF2B5EF4-FFF2-40B4-BE49-F238E27FC236}">
                                <a16:creationId xmlns:a16="http://schemas.microsoft.com/office/drawing/2014/main" id="{5E95BA44-000E-5F82-4AD1-8DDFA53A9737}"/>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pic:spPr>
                      </pic:pic>
                    </a:graphicData>
                  </a:graphic>
                  <wp14:sizeRelH relativeFrom="page">
                    <wp14:pctWidth>0</wp14:pctWidth>
                  </wp14:sizeRelH>
                  <wp14:sizeRelV relativeFrom="page">
                    <wp14:pctHeight>0</wp14:pctHeight>
                  </wp14:sizeRelV>
                </wp:anchor>
              </w:drawing>
            </w:r>
            <w:r w:rsidRPr="00A43B0D">
              <w:rPr>
                <w:noProof/>
                <w:sz w:val="18"/>
                <w:szCs w:val="18"/>
              </w:rPr>
              <mc:AlternateContent>
                <mc:Choice Requires="wps">
                  <w:drawing>
                    <wp:anchor distT="0" distB="0" distL="114300" distR="114300" simplePos="0" relativeHeight="251658252" behindDoc="0" locked="0" layoutInCell="1" allowOverlap="1" wp14:anchorId="273D31B3" wp14:editId="71A8785D">
                      <wp:simplePos x="0" y="0"/>
                      <wp:positionH relativeFrom="column">
                        <wp:posOffset>69850</wp:posOffset>
                      </wp:positionH>
                      <wp:positionV relativeFrom="paragraph">
                        <wp:posOffset>236855</wp:posOffset>
                      </wp:positionV>
                      <wp:extent cx="2699385" cy="1475740"/>
                      <wp:effectExtent l="0" t="0" r="5715" b="0"/>
                      <wp:wrapNone/>
                      <wp:docPr id="1026934776" name="TextBox 48"/>
                      <wp:cNvGraphicFramePr/>
                      <a:graphic xmlns:a="http://schemas.openxmlformats.org/drawingml/2006/main">
                        <a:graphicData uri="http://schemas.microsoft.com/office/word/2010/wordprocessingShape">
                          <wps:wsp>
                            <wps:cNvSpPr txBox="1"/>
                            <wps:spPr>
                              <a:xfrm>
                                <a:off x="0" y="0"/>
                                <a:ext cx="2699385" cy="1475740"/>
                              </a:xfrm>
                              <a:prstGeom prst="roundRect">
                                <a:avLst>
                                  <a:gd name="adj" fmla="val 4000"/>
                                </a:avLst>
                              </a:prstGeom>
                              <a:solidFill>
                                <a:schemeClr val="accent1"/>
                              </a:solidFill>
                            </wps:spPr>
                            <wps:txbx>
                              <w:txbxContent>
                                <w:p w14:paraId="6FAA061B" w14:textId="77777777" w:rsidR="00785144" w:rsidRPr="005C61AD" w:rsidRDefault="00785144" w:rsidP="00785144">
                                  <w:pPr>
                                    <w:rPr>
                                      <w:rFonts w:hAnsi="Aptos"/>
                                      <w:b/>
                                      <w:color w:val="FFFFFF" w:themeColor="background1"/>
                                      <w:kern w:val="24"/>
                                      <w:szCs w:val="22"/>
                                      <w14:ligatures w14:val="none"/>
                                    </w:rPr>
                                  </w:pPr>
                                  <w:r w:rsidRPr="005C61AD">
                                    <w:rPr>
                                      <w:rFonts w:hAnsi="Aptos"/>
                                      <w:b/>
                                      <w:color w:val="FFFFFF" w:themeColor="background1"/>
                                      <w:kern w:val="24"/>
                                      <w:szCs w:val="22"/>
                                    </w:rPr>
                                    <w:t xml:space="preserve">Review’s recommended savings </w:t>
                                  </w:r>
                                </w:p>
                                <w:p w14:paraId="68B92F5E" w14:textId="30D5AF0F" w:rsidR="00785144" w:rsidRDefault="00785144" w:rsidP="00785144">
                                  <w:pPr>
                                    <w:ind w:left="720"/>
                                    <w:rPr>
                                      <w:rFonts w:hAnsi="Aptos"/>
                                      <w:color w:val="FFFFFF" w:themeColor="background1"/>
                                      <w:kern w:val="24"/>
                                      <w:sz w:val="32"/>
                                      <w:szCs w:val="32"/>
                                    </w:rPr>
                                  </w:pPr>
                                  <w:r w:rsidRPr="005C61AD">
                                    <w:rPr>
                                      <w:rFonts w:hAnsi="Aptos"/>
                                      <w:b/>
                                      <w:bCs/>
                                      <w:color w:val="FFFFFF" w:themeColor="background1"/>
                                      <w:kern w:val="24"/>
                                      <w:szCs w:val="22"/>
                                    </w:rPr>
                                    <w:t>$2</w:t>
                                  </w:r>
                                  <w:r w:rsidR="007A3D00">
                                    <w:rPr>
                                      <w:rFonts w:hAnsi="Aptos"/>
                                      <w:b/>
                                      <w:bCs/>
                                      <w:color w:val="FFFFFF" w:themeColor="background1"/>
                                      <w:kern w:val="24"/>
                                      <w:szCs w:val="22"/>
                                    </w:rPr>
                                    <w:t>7</w:t>
                                  </w:r>
                                  <w:r w:rsidR="0091457A">
                                    <w:rPr>
                                      <w:rFonts w:hAnsi="Aptos"/>
                                      <w:b/>
                                      <w:bCs/>
                                      <w:color w:val="FFFFFF" w:themeColor="background1"/>
                                      <w:kern w:val="24"/>
                                      <w:szCs w:val="22"/>
                                    </w:rPr>
                                    <w:t>0</w:t>
                                  </w:r>
                                  <w:r w:rsidRPr="005C61AD">
                                    <w:rPr>
                                      <w:rFonts w:hAnsi="Aptos"/>
                                      <w:b/>
                                      <w:bCs/>
                                      <w:color w:val="FFFFFF" w:themeColor="background1"/>
                                      <w:kern w:val="24"/>
                                      <w:szCs w:val="22"/>
                                    </w:rPr>
                                    <w:t xml:space="preserve"> million</w:t>
                                  </w:r>
                                  <w:r>
                                    <w:rPr>
                                      <w:rFonts w:hAnsi="Aptos"/>
                                      <w:color w:val="FFFFFF" w:themeColor="background1"/>
                                      <w:kern w:val="24"/>
                                      <w:sz w:val="32"/>
                                      <w:szCs w:val="32"/>
                                    </w:rPr>
                                    <w:br/>
                                  </w:r>
                                  <w:r w:rsidRPr="00657104">
                                    <w:rPr>
                                      <w:rFonts w:hAnsi="Aptos"/>
                                      <w:color w:val="FFFFFF" w:themeColor="background1"/>
                                      <w:kern w:val="24"/>
                                      <w:sz w:val="20"/>
                                      <w:szCs w:val="20"/>
                                    </w:rPr>
                                    <w:t>2025</w:t>
                                  </w:r>
                                  <w:r w:rsidRPr="00657104">
                                    <w:rPr>
                                      <w:color w:val="FFFFFF" w:themeColor="background1"/>
                                      <w:kern w:val="24"/>
                                      <w:sz w:val="20"/>
                                      <w:szCs w:val="20"/>
                                    </w:rPr>
                                    <w:t>–</w:t>
                                  </w:r>
                                  <w:r w:rsidRPr="00657104">
                                    <w:rPr>
                                      <w:rFonts w:hAnsi="Aptos"/>
                                      <w:color w:val="FFFFFF" w:themeColor="background1"/>
                                      <w:kern w:val="24"/>
                                      <w:sz w:val="20"/>
                                      <w:szCs w:val="20"/>
                                    </w:rPr>
                                    <w:t>26 to 2028</w:t>
                                  </w:r>
                                  <w:r w:rsidRPr="00657104">
                                    <w:rPr>
                                      <w:color w:val="FFFFFF" w:themeColor="background1"/>
                                      <w:kern w:val="24"/>
                                      <w:sz w:val="20"/>
                                      <w:szCs w:val="20"/>
                                    </w:rPr>
                                    <w:t>–</w:t>
                                  </w:r>
                                  <w:r w:rsidRPr="00657104">
                                    <w:rPr>
                                      <w:rFonts w:hAnsi="Aptos"/>
                                      <w:color w:val="FFFFFF" w:themeColor="background1"/>
                                      <w:kern w:val="24"/>
                                      <w:sz w:val="20"/>
                                      <w:szCs w:val="20"/>
                                    </w:rPr>
                                    <w:t>29</w:t>
                                  </w:r>
                                </w:p>
                                <w:p w14:paraId="235B2934" w14:textId="64AA8E73" w:rsidR="00785144" w:rsidRDefault="007A3D00" w:rsidP="00785144">
                                  <w:pPr>
                                    <w:ind w:left="720"/>
                                    <w:rPr>
                                      <w:rFonts w:hAnsi="Aptos"/>
                                      <w:color w:val="FFFFFF" w:themeColor="background1"/>
                                      <w:kern w:val="24"/>
                                      <w:sz w:val="32"/>
                                      <w:szCs w:val="32"/>
                                    </w:rPr>
                                  </w:pPr>
                                  <w:r>
                                    <w:rPr>
                                      <w:rFonts w:hAnsi="Aptos"/>
                                      <w:b/>
                                      <w:bCs/>
                                      <w:color w:val="FFFFFF" w:themeColor="background1"/>
                                      <w:kern w:val="24"/>
                                      <w:szCs w:val="22"/>
                                    </w:rPr>
                                    <w:t>107</w:t>
                                  </w:r>
                                  <w:r w:rsidR="00785144" w:rsidRPr="005C61AD">
                                    <w:rPr>
                                      <w:rFonts w:hAnsi="Aptos"/>
                                      <w:b/>
                                      <w:bCs/>
                                      <w:color w:val="FFFFFF" w:themeColor="background1"/>
                                      <w:kern w:val="24"/>
                                      <w:szCs w:val="22"/>
                                    </w:rPr>
                                    <w:t xml:space="preserve"> staff</w:t>
                                  </w:r>
                                  <w:r w:rsidR="00785144">
                                    <w:rPr>
                                      <w:rFonts w:hAnsi="Aptos"/>
                                      <w:color w:val="FFFFFF" w:themeColor="background1"/>
                                      <w:kern w:val="24"/>
                                      <w:sz w:val="32"/>
                                      <w:szCs w:val="32"/>
                                    </w:rPr>
                                    <w:br/>
                                  </w:r>
                                  <w:r w:rsidR="00785144" w:rsidRPr="00657104">
                                    <w:rPr>
                                      <w:rFonts w:hAnsi="Aptos"/>
                                      <w:color w:val="FFFFFF" w:themeColor="background1"/>
                                      <w:kern w:val="24"/>
                                      <w:sz w:val="20"/>
                                      <w:szCs w:val="20"/>
                                    </w:rPr>
                                    <w:t>Ongoing FTE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273D31B3" id="_x0000_s1104" style="position:absolute;margin-left:5.5pt;margin-top:18.65pt;width:212.55pt;height:116.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6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" fillcolor="#156082 [3204]" stroked="f">
                      <v:textbox>
                        <w:txbxContent>
                          <w:p w14:paraId="6FAA061B" w14:textId="77777777" w:rsidR="00785144" w:rsidRPr="005C61AD" w:rsidRDefault="00785144" w:rsidP="00785144">
                            <w:pPr>
                              <w:rPr>
                                <w:rFonts w:hAnsi="Aptos"/>
                                <w:b/>
                                <w:color w:val="FFFFFF" w:themeColor="background1"/>
                                <w:kern w:val="24"/>
                                <w:szCs w:val="22"/>
                                <w14:ligatures w14:val="none"/>
                              </w:rPr>
                            </w:pPr>
                            <w:r w:rsidRPr="005C61AD">
                              <w:rPr>
                                <w:rFonts w:hAnsi="Aptos"/>
                                <w:b/>
                                <w:color w:val="FFFFFF" w:themeColor="background1"/>
                                <w:kern w:val="24"/>
                                <w:szCs w:val="22"/>
                              </w:rPr>
                              <w:t xml:space="preserve">Review’s recommended savings </w:t>
                            </w:r>
                          </w:p>
                          <w:p w14:paraId="68B92F5E" w14:textId="30D5AF0F" w:rsidR="00785144" w:rsidRDefault="00785144" w:rsidP="00785144">
                            <w:pPr>
                              <w:ind w:left="720"/>
                              <w:rPr>
                                <w:rFonts w:hAnsi="Aptos"/>
                                <w:color w:val="FFFFFF" w:themeColor="background1"/>
                                <w:kern w:val="24"/>
                                <w:sz w:val="32"/>
                                <w:szCs w:val="32"/>
                              </w:rPr>
                            </w:pPr>
                            <w:r w:rsidRPr="005C61AD">
                              <w:rPr>
                                <w:rFonts w:hAnsi="Aptos"/>
                                <w:b/>
                                <w:bCs/>
                                <w:color w:val="FFFFFF" w:themeColor="background1"/>
                                <w:kern w:val="24"/>
                                <w:szCs w:val="22"/>
                              </w:rPr>
                              <w:t>$2</w:t>
                            </w:r>
                            <w:r w:rsidR="007A3D00">
                              <w:rPr>
                                <w:rFonts w:hAnsi="Aptos"/>
                                <w:b/>
                                <w:bCs/>
                                <w:color w:val="FFFFFF" w:themeColor="background1"/>
                                <w:kern w:val="24"/>
                                <w:szCs w:val="22"/>
                              </w:rPr>
                              <w:t>7</w:t>
                            </w:r>
                            <w:r w:rsidR="0091457A">
                              <w:rPr>
                                <w:rFonts w:hAnsi="Aptos"/>
                                <w:b/>
                                <w:bCs/>
                                <w:color w:val="FFFFFF" w:themeColor="background1"/>
                                <w:kern w:val="24"/>
                                <w:szCs w:val="22"/>
                              </w:rPr>
                              <w:t>0</w:t>
                            </w:r>
                            <w:r w:rsidRPr="005C61AD">
                              <w:rPr>
                                <w:rFonts w:hAnsi="Aptos"/>
                                <w:b/>
                                <w:bCs/>
                                <w:color w:val="FFFFFF" w:themeColor="background1"/>
                                <w:kern w:val="24"/>
                                <w:szCs w:val="22"/>
                              </w:rPr>
                              <w:t xml:space="preserve"> million</w:t>
                            </w:r>
                            <w:r>
                              <w:rPr>
                                <w:rFonts w:hAnsi="Aptos"/>
                                <w:color w:val="FFFFFF" w:themeColor="background1"/>
                                <w:kern w:val="24"/>
                                <w:sz w:val="32"/>
                                <w:szCs w:val="32"/>
                              </w:rPr>
                              <w:br/>
                            </w:r>
                            <w:r w:rsidRPr="00657104">
                              <w:rPr>
                                <w:rFonts w:hAnsi="Aptos"/>
                                <w:color w:val="FFFFFF" w:themeColor="background1"/>
                                <w:kern w:val="24"/>
                                <w:sz w:val="20"/>
                                <w:szCs w:val="20"/>
                              </w:rPr>
                              <w:t>2025</w:t>
                            </w:r>
                            <w:r w:rsidRPr="00657104">
                              <w:rPr>
                                <w:color w:val="FFFFFF" w:themeColor="background1"/>
                                <w:kern w:val="24"/>
                                <w:sz w:val="20"/>
                                <w:szCs w:val="20"/>
                              </w:rPr>
                              <w:t>–</w:t>
                            </w:r>
                            <w:r w:rsidRPr="00657104">
                              <w:rPr>
                                <w:rFonts w:hAnsi="Aptos"/>
                                <w:color w:val="FFFFFF" w:themeColor="background1"/>
                                <w:kern w:val="24"/>
                                <w:sz w:val="20"/>
                                <w:szCs w:val="20"/>
                              </w:rPr>
                              <w:t>26 to 2028</w:t>
                            </w:r>
                            <w:r w:rsidRPr="00657104">
                              <w:rPr>
                                <w:color w:val="FFFFFF" w:themeColor="background1"/>
                                <w:kern w:val="24"/>
                                <w:sz w:val="20"/>
                                <w:szCs w:val="20"/>
                              </w:rPr>
                              <w:t>–</w:t>
                            </w:r>
                            <w:r w:rsidRPr="00657104">
                              <w:rPr>
                                <w:rFonts w:hAnsi="Aptos"/>
                                <w:color w:val="FFFFFF" w:themeColor="background1"/>
                                <w:kern w:val="24"/>
                                <w:sz w:val="20"/>
                                <w:szCs w:val="20"/>
                              </w:rPr>
                              <w:t>29</w:t>
                            </w:r>
                          </w:p>
                          <w:p w14:paraId="235B2934" w14:textId="64AA8E73" w:rsidR="00785144" w:rsidRDefault="007A3D00" w:rsidP="00785144">
                            <w:pPr>
                              <w:ind w:left="720"/>
                              <w:rPr>
                                <w:rFonts w:hAnsi="Aptos"/>
                                <w:color w:val="FFFFFF" w:themeColor="background1"/>
                                <w:kern w:val="24"/>
                                <w:sz w:val="32"/>
                                <w:szCs w:val="32"/>
                              </w:rPr>
                            </w:pPr>
                            <w:r>
                              <w:rPr>
                                <w:rFonts w:hAnsi="Aptos"/>
                                <w:b/>
                                <w:bCs/>
                                <w:color w:val="FFFFFF" w:themeColor="background1"/>
                                <w:kern w:val="24"/>
                                <w:szCs w:val="22"/>
                              </w:rPr>
                              <w:t>107</w:t>
                            </w:r>
                            <w:r w:rsidR="00785144" w:rsidRPr="005C61AD">
                              <w:rPr>
                                <w:rFonts w:hAnsi="Aptos"/>
                                <w:b/>
                                <w:bCs/>
                                <w:color w:val="FFFFFF" w:themeColor="background1"/>
                                <w:kern w:val="24"/>
                                <w:szCs w:val="22"/>
                              </w:rPr>
                              <w:t xml:space="preserve"> staff</w:t>
                            </w:r>
                            <w:r w:rsidR="00785144">
                              <w:rPr>
                                <w:rFonts w:hAnsi="Aptos"/>
                                <w:color w:val="FFFFFF" w:themeColor="background1"/>
                                <w:kern w:val="24"/>
                                <w:sz w:val="32"/>
                                <w:szCs w:val="32"/>
                              </w:rPr>
                              <w:br/>
                            </w:r>
                            <w:r w:rsidR="00785144" w:rsidRPr="00657104">
                              <w:rPr>
                                <w:rFonts w:hAnsi="Aptos"/>
                                <w:color w:val="FFFFFF" w:themeColor="background1"/>
                                <w:kern w:val="24"/>
                                <w:sz w:val="20"/>
                                <w:szCs w:val="20"/>
                              </w:rPr>
                              <w:t>Ongoing FTE</w:t>
                            </w:r>
                          </w:p>
                        </w:txbxContent>
                      </v:textbox>
                    </v:roundrect>
                  </w:pict>
                </mc:Fallback>
              </mc:AlternateContent>
            </w:r>
            <w:r w:rsidRPr="00A43B0D">
              <w:rPr>
                <w:noProof/>
                <w:sz w:val="18"/>
                <w:szCs w:val="18"/>
              </w:rPr>
              <w:drawing>
                <wp:anchor distT="0" distB="0" distL="114300" distR="114300" simplePos="0" relativeHeight="251658263" behindDoc="0" locked="0" layoutInCell="1" allowOverlap="1" wp14:anchorId="671E8DE8" wp14:editId="1A36DC85">
                  <wp:simplePos x="0" y="0"/>
                  <wp:positionH relativeFrom="column">
                    <wp:posOffset>298317</wp:posOffset>
                  </wp:positionH>
                  <wp:positionV relativeFrom="paragraph">
                    <wp:posOffset>1127987</wp:posOffset>
                  </wp:positionV>
                  <wp:extent cx="287655" cy="287655"/>
                  <wp:effectExtent l="0" t="0" r="0" b="0"/>
                  <wp:wrapNone/>
                  <wp:docPr id="212488985" name="Picture 19" descr="A white logo with a black background&#10;&#10;AI-generated content may be incorrect.">
                    <a:extLst xmlns:a="http://schemas.openxmlformats.org/drawingml/2006/main">
                      <a:ext uri="{FF2B5EF4-FFF2-40B4-BE49-F238E27FC236}">
                        <a16:creationId xmlns:a16="http://schemas.microsoft.com/office/drawing/2014/main" id="{CFC0251D-C711-4D06-A2C1-500418CBC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9" descr="A white logo with a black background&#10;&#10;AI-generated content may be incorrect.">
                            <a:extLst>
                              <a:ext uri="{FF2B5EF4-FFF2-40B4-BE49-F238E27FC236}">
                                <a16:creationId xmlns:a16="http://schemas.microsoft.com/office/drawing/2014/main" id="{CFC0251D-C711-4D06-A2C1-500418CBCF3C}"/>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pic:spPr>
                      </pic:pic>
                    </a:graphicData>
                  </a:graphic>
                  <wp14:sizeRelH relativeFrom="page">
                    <wp14:pctWidth>0</wp14:pctWidth>
                  </wp14:sizeRelH>
                  <wp14:sizeRelV relativeFrom="page">
                    <wp14:pctHeight>0</wp14:pctHeight>
                  </wp14:sizeRelV>
                </wp:anchor>
              </w:drawing>
            </w:r>
          </w:p>
        </w:tc>
      </w:tr>
      <w:tr w:rsidR="00785144" w:rsidRPr="00A43B0D" w14:paraId="1D98507D" w14:textId="77777777">
        <w:trPr>
          <w:trHeight w:val="521"/>
        </w:trPr>
        <w:tc>
          <w:tcPr>
            <w:tcW w:w="9016" w:type="dxa"/>
            <w:gridSpan w:val="2"/>
          </w:tcPr>
          <w:p w14:paraId="55BC4336" w14:textId="77777777" w:rsidR="00785144" w:rsidRPr="00BA0DDD" w:rsidRDefault="00785144" w:rsidP="00785144">
            <w:pPr>
              <w:pStyle w:val="ListParagraph"/>
              <w:numPr>
                <w:ilvl w:val="0"/>
                <w:numId w:val="93"/>
              </w:numPr>
              <w:rPr>
                <w:sz w:val="12"/>
                <w:szCs w:val="12"/>
              </w:rPr>
            </w:pPr>
            <w:r w:rsidRPr="008F3908">
              <w:rPr>
                <w:sz w:val="12"/>
                <w:szCs w:val="12"/>
              </w:rPr>
              <w:t xml:space="preserve">DTP, </w:t>
            </w:r>
            <w:r w:rsidRPr="00BA0DDD">
              <w:rPr>
                <w:i/>
                <w:iCs/>
                <w:sz w:val="12"/>
                <w:szCs w:val="12"/>
              </w:rPr>
              <w:t>Victoria in Future 2023</w:t>
            </w:r>
            <w:r w:rsidRPr="00BA0DDD">
              <w:rPr>
                <w:sz w:val="12"/>
                <w:szCs w:val="12"/>
              </w:rPr>
              <w:t>, 2023</w:t>
            </w:r>
            <w:r w:rsidRPr="008F3908">
              <w:rPr>
                <w:sz w:val="12"/>
                <w:szCs w:val="12"/>
              </w:rPr>
              <w:t>.</w:t>
            </w:r>
            <w:r w:rsidRPr="00BA0DDD">
              <w:rPr>
                <w:sz w:val="12"/>
                <w:szCs w:val="12"/>
              </w:rPr>
              <w:t xml:space="preserve"> </w:t>
            </w:r>
          </w:p>
          <w:p w14:paraId="326B635B" w14:textId="77777777" w:rsidR="00785144" w:rsidRPr="00BA0DDD" w:rsidRDefault="00785144" w:rsidP="00785144">
            <w:pPr>
              <w:pStyle w:val="ListParagraph"/>
              <w:numPr>
                <w:ilvl w:val="0"/>
                <w:numId w:val="93"/>
              </w:numPr>
              <w:rPr>
                <w:sz w:val="12"/>
                <w:szCs w:val="12"/>
              </w:rPr>
            </w:pPr>
            <w:r w:rsidRPr="008F3908">
              <w:rPr>
                <w:sz w:val="12"/>
                <w:szCs w:val="12"/>
              </w:rPr>
              <w:t>DTP,</w:t>
            </w:r>
            <w:r w:rsidRPr="00BA0DDD">
              <w:rPr>
                <w:sz w:val="12"/>
                <w:szCs w:val="12"/>
              </w:rPr>
              <w:t xml:space="preserve"> </w:t>
            </w:r>
            <w:r w:rsidRPr="00803659">
              <w:rPr>
                <w:i/>
                <w:iCs/>
                <w:sz w:val="12"/>
                <w:szCs w:val="12"/>
              </w:rPr>
              <w:t>Strategic Plan 2024</w:t>
            </w:r>
            <w:r w:rsidRPr="00BA0DDD">
              <w:rPr>
                <w:i/>
                <w:iCs/>
                <w:sz w:val="12"/>
                <w:szCs w:val="12"/>
              </w:rPr>
              <w:t>-28</w:t>
            </w:r>
            <w:r w:rsidRPr="00BA0DDD">
              <w:rPr>
                <w:sz w:val="12"/>
                <w:szCs w:val="12"/>
              </w:rPr>
              <w:t>, 2024</w:t>
            </w:r>
            <w:r w:rsidRPr="008F3908">
              <w:rPr>
                <w:sz w:val="12"/>
                <w:szCs w:val="12"/>
              </w:rPr>
              <w:t>.</w:t>
            </w:r>
          </w:p>
          <w:p w14:paraId="5CCF73BF" w14:textId="77777777" w:rsidR="00785144" w:rsidRPr="008F3908" w:rsidRDefault="00785144" w:rsidP="00785144">
            <w:pPr>
              <w:pStyle w:val="ListParagraph"/>
              <w:numPr>
                <w:ilvl w:val="0"/>
                <w:numId w:val="93"/>
              </w:numPr>
              <w:rPr>
                <w:sz w:val="12"/>
                <w:szCs w:val="12"/>
              </w:rPr>
            </w:pPr>
            <w:r w:rsidRPr="008F3908">
              <w:rPr>
                <w:sz w:val="12"/>
                <w:szCs w:val="12"/>
              </w:rPr>
              <w:t xml:space="preserve">DTP, </w:t>
            </w:r>
            <w:r w:rsidRPr="00BA0DDD">
              <w:rPr>
                <w:i/>
                <w:iCs/>
                <w:sz w:val="12"/>
                <w:szCs w:val="12"/>
              </w:rPr>
              <w:t>10-Year Victorian Road Maintenance Funding Conversation summary</w:t>
            </w:r>
            <w:r w:rsidRPr="00BA0DDD">
              <w:rPr>
                <w:sz w:val="12"/>
                <w:szCs w:val="12"/>
              </w:rPr>
              <w:t>, 2024</w:t>
            </w:r>
            <w:r w:rsidRPr="008F3908">
              <w:rPr>
                <w:sz w:val="12"/>
                <w:szCs w:val="12"/>
              </w:rPr>
              <w:t>.</w:t>
            </w:r>
          </w:p>
        </w:tc>
      </w:tr>
    </w:tbl>
    <w:p w14:paraId="00BF8EB1" w14:textId="77777777" w:rsidR="00785144" w:rsidRDefault="00785144" w:rsidP="00785144">
      <w:pPr>
        <w:rPr>
          <w:i/>
          <w:iCs/>
          <w:szCs w:val="22"/>
        </w:rPr>
      </w:pP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03"/>
      </w:tblGrid>
      <w:tr w:rsidR="00785144" w:rsidRPr="00A43B0D" w14:paraId="3E1462DD" w14:textId="77777777">
        <w:trPr>
          <w:trHeight w:val="449"/>
        </w:trPr>
        <w:tc>
          <w:tcPr>
            <w:tcW w:w="9016" w:type="dxa"/>
            <w:gridSpan w:val="2"/>
          </w:tcPr>
          <w:p w14:paraId="4FD1C8E2" w14:textId="77777777" w:rsidR="00785144" w:rsidRPr="00303A8B" w:rsidRDefault="00785144" w:rsidP="00303A8B">
            <w:pPr>
              <w:pStyle w:val="Heading3"/>
              <w:rPr>
                <w:rFonts w:asciiTheme="majorHAnsi" w:hAnsiTheme="majorHAnsi"/>
                <w:sz w:val="32"/>
                <w:szCs w:val="32"/>
              </w:rPr>
            </w:pPr>
            <w:r w:rsidRPr="00303A8B">
              <w:rPr>
                <w:rFonts w:asciiTheme="majorHAnsi" w:hAnsiTheme="majorHAnsi"/>
                <w:sz w:val="32"/>
                <w:szCs w:val="32"/>
              </w:rPr>
              <w:lastRenderedPageBreak/>
              <w:t>Department of Premier and Cabinet (DPC)</w:t>
            </w:r>
          </w:p>
        </w:tc>
      </w:tr>
      <w:tr w:rsidR="00785144" w:rsidRPr="00A43B0D" w14:paraId="3FDFE47D" w14:textId="77777777">
        <w:trPr>
          <w:trHeight w:val="276"/>
        </w:trPr>
        <w:tc>
          <w:tcPr>
            <w:tcW w:w="9016" w:type="dxa"/>
            <w:gridSpan w:val="2"/>
          </w:tcPr>
          <w:p w14:paraId="2F2198A5" w14:textId="77777777" w:rsidR="00785144" w:rsidRDefault="00785144">
            <w:pPr>
              <w:spacing w:line="278" w:lineRule="auto"/>
              <w:rPr>
                <w:sz w:val="18"/>
                <w:szCs w:val="18"/>
              </w:rPr>
            </w:pPr>
            <w:r w:rsidRPr="00C245A0">
              <w:rPr>
                <w:sz w:val="18"/>
                <w:szCs w:val="18"/>
              </w:rPr>
              <w:t>Support the people of Victoria by helping government achieve its strategic objectives, providing leadership to the public sector to improve its effectiveness and promoting collaboration across government to drive performance and improve outcomes.</w:t>
            </w:r>
          </w:p>
          <w:p w14:paraId="36E9BC0C" w14:textId="77777777" w:rsidR="00785144" w:rsidRPr="00A43B0D" w:rsidRDefault="00785144">
            <w:pPr>
              <w:spacing w:line="278" w:lineRule="auto"/>
              <w:rPr>
                <w:sz w:val="18"/>
                <w:szCs w:val="18"/>
              </w:rPr>
            </w:pPr>
          </w:p>
        </w:tc>
      </w:tr>
      <w:tr w:rsidR="00785144" w:rsidRPr="00A43B0D" w14:paraId="4B819ACF" w14:textId="77777777">
        <w:trPr>
          <w:trHeight w:val="649"/>
        </w:trPr>
        <w:tc>
          <w:tcPr>
            <w:tcW w:w="4513" w:type="dxa"/>
          </w:tcPr>
          <w:p w14:paraId="0B4D57DF" w14:textId="77777777" w:rsidR="00785144" w:rsidRPr="00A43B0D" w:rsidRDefault="00785144">
            <w:pPr>
              <w:spacing w:line="278" w:lineRule="auto"/>
              <w:rPr>
                <w:sz w:val="18"/>
                <w:szCs w:val="18"/>
              </w:rPr>
            </w:pPr>
            <w:r>
              <w:rPr>
                <w:noProof/>
              </w:rPr>
              <w:drawing>
                <wp:inline distT="0" distB="0" distL="0" distR="0" wp14:anchorId="45B6889F" wp14:editId="018A438A">
                  <wp:extent cx="2230821" cy="373909"/>
                  <wp:effectExtent l="0" t="0" r="0" b="7620"/>
                  <wp:docPr id="1513824167"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824167" name="Picture 1" descr="A close-up of a text&#10;&#10;AI-generated content may be incorrect."/>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248721" cy="376909"/>
                          </a:xfrm>
                          <a:prstGeom prst="rect">
                            <a:avLst/>
                          </a:prstGeom>
                        </pic:spPr>
                      </pic:pic>
                    </a:graphicData>
                  </a:graphic>
                </wp:inline>
              </w:drawing>
            </w:r>
          </w:p>
        </w:tc>
        <w:tc>
          <w:tcPr>
            <w:tcW w:w="4503" w:type="dxa"/>
          </w:tcPr>
          <w:p w14:paraId="3130ABED" w14:textId="77777777" w:rsidR="00785144" w:rsidRDefault="00785144">
            <w:pPr>
              <w:spacing w:line="278" w:lineRule="auto"/>
              <w:rPr>
                <w:sz w:val="18"/>
                <w:szCs w:val="18"/>
              </w:rPr>
            </w:pPr>
            <w:r>
              <w:rPr>
                <w:noProof/>
              </w:rPr>
              <w:drawing>
                <wp:inline distT="0" distB="0" distL="0" distR="0" wp14:anchorId="615335CE" wp14:editId="304DC379">
                  <wp:extent cx="1797269" cy="336988"/>
                  <wp:effectExtent l="0" t="0" r="0" b="6350"/>
                  <wp:docPr id="878567508" name="Picture 1"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67508" name="Picture 1" descr="A blue text on a white background&#10;&#10;AI-generated content may be incorrect."/>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822822" cy="341779"/>
                          </a:xfrm>
                          <a:prstGeom prst="rect">
                            <a:avLst/>
                          </a:prstGeom>
                        </pic:spPr>
                      </pic:pic>
                    </a:graphicData>
                  </a:graphic>
                </wp:inline>
              </w:drawing>
            </w:r>
          </w:p>
          <w:p w14:paraId="3340797E" w14:textId="77777777" w:rsidR="00785144" w:rsidRPr="00A43B0D" w:rsidRDefault="00785144">
            <w:pPr>
              <w:spacing w:line="278" w:lineRule="auto"/>
              <w:rPr>
                <w:sz w:val="18"/>
                <w:szCs w:val="18"/>
              </w:rPr>
            </w:pPr>
          </w:p>
        </w:tc>
      </w:tr>
      <w:tr w:rsidR="00785144" w:rsidRPr="00A43B0D" w14:paraId="399901B8" w14:textId="77777777">
        <w:trPr>
          <w:trHeight w:val="922"/>
        </w:trPr>
        <w:tc>
          <w:tcPr>
            <w:tcW w:w="4513" w:type="dxa"/>
          </w:tcPr>
          <w:p w14:paraId="461CCE57" w14:textId="77777777" w:rsidR="00785144" w:rsidRPr="0056251A" w:rsidRDefault="00785144">
            <w:pPr>
              <w:rPr>
                <w:rFonts w:asciiTheme="majorHAnsi" w:hAnsiTheme="majorHAnsi"/>
                <w:b/>
                <w:color w:val="0F4761" w:themeColor="accent1" w:themeShade="BF"/>
                <w:szCs w:val="22"/>
              </w:rPr>
            </w:pPr>
            <w:r w:rsidRPr="0056251A">
              <w:rPr>
                <w:rFonts w:asciiTheme="majorHAnsi" w:hAnsiTheme="majorHAnsi"/>
                <w:b/>
                <w:color w:val="0F4761" w:themeColor="accent1" w:themeShade="BF"/>
                <w:szCs w:val="22"/>
              </w:rPr>
              <w:t>Objectives</w:t>
            </w:r>
            <w:r w:rsidRPr="0056251A">
              <w:rPr>
                <w:rFonts w:asciiTheme="majorHAnsi" w:hAnsiTheme="majorHAnsi"/>
                <w:b/>
                <w:color w:val="0F4761" w:themeColor="accent1" w:themeShade="BF"/>
                <w:szCs w:val="22"/>
                <w:vertAlign w:val="superscript"/>
              </w:rPr>
              <w:t>†</w:t>
            </w:r>
          </w:p>
          <w:p w14:paraId="5A24C2F6" w14:textId="77777777" w:rsidR="00785144" w:rsidRPr="00247178" w:rsidRDefault="00785144" w:rsidP="00785144">
            <w:pPr>
              <w:numPr>
                <w:ilvl w:val="0"/>
                <w:numId w:val="83"/>
              </w:numPr>
              <w:ind w:left="414" w:hanging="357"/>
              <w:rPr>
                <w:sz w:val="18"/>
                <w:szCs w:val="18"/>
              </w:rPr>
            </w:pPr>
            <w:r w:rsidRPr="00247178">
              <w:rPr>
                <w:sz w:val="18"/>
                <w:szCs w:val="18"/>
              </w:rPr>
              <w:t>Stronger policy outcomes for Victoria</w:t>
            </w:r>
          </w:p>
          <w:p w14:paraId="4F582BA9" w14:textId="77777777" w:rsidR="00785144" w:rsidRPr="00247178" w:rsidRDefault="00785144" w:rsidP="00785144">
            <w:pPr>
              <w:numPr>
                <w:ilvl w:val="0"/>
                <w:numId w:val="83"/>
              </w:numPr>
              <w:ind w:left="414" w:hanging="357"/>
              <w:rPr>
                <w:sz w:val="18"/>
                <w:szCs w:val="18"/>
              </w:rPr>
            </w:pPr>
            <w:r w:rsidRPr="00247178">
              <w:rPr>
                <w:sz w:val="18"/>
                <w:szCs w:val="18"/>
              </w:rPr>
              <w:t>First Peoples in Victoria are strong and self-determining</w:t>
            </w:r>
          </w:p>
          <w:p w14:paraId="048FD980" w14:textId="77777777" w:rsidR="00785144" w:rsidRPr="00FE5383" w:rsidRDefault="00785144" w:rsidP="00785144">
            <w:pPr>
              <w:numPr>
                <w:ilvl w:val="0"/>
                <w:numId w:val="83"/>
              </w:numPr>
              <w:ind w:left="414" w:hanging="357"/>
              <w:rPr>
                <w:sz w:val="18"/>
                <w:szCs w:val="18"/>
              </w:rPr>
            </w:pPr>
            <w:r w:rsidRPr="00247178">
              <w:rPr>
                <w:sz w:val="18"/>
                <w:szCs w:val="18"/>
              </w:rPr>
              <w:t>Improved public administration and support for the Victorian Public Service</w:t>
            </w:r>
          </w:p>
          <w:p w14:paraId="1D97B495" w14:textId="77777777" w:rsidR="00785144" w:rsidRPr="00EE6EDC" w:rsidRDefault="00785144">
            <w:pPr>
              <w:pStyle w:val="Heading3"/>
              <w:rPr>
                <w:sz w:val="18"/>
                <w:szCs w:val="18"/>
              </w:rPr>
            </w:pPr>
          </w:p>
        </w:tc>
        <w:tc>
          <w:tcPr>
            <w:tcW w:w="4503" w:type="dxa"/>
          </w:tcPr>
          <w:p w14:paraId="5FF76AA1" w14:textId="77777777" w:rsidR="00785144" w:rsidRPr="0056251A" w:rsidRDefault="00785144">
            <w:pPr>
              <w:rPr>
                <w:rFonts w:asciiTheme="majorHAnsi" w:hAnsiTheme="majorHAnsi"/>
                <w:b/>
                <w:color w:val="0F4761" w:themeColor="accent1" w:themeShade="BF"/>
                <w:szCs w:val="22"/>
              </w:rPr>
            </w:pPr>
            <w:r w:rsidRPr="0056251A">
              <w:rPr>
                <w:rFonts w:asciiTheme="majorHAnsi" w:hAnsiTheme="majorHAnsi"/>
                <w:b/>
                <w:color w:val="0F4761" w:themeColor="accent1" w:themeShade="BF"/>
                <w:szCs w:val="22"/>
              </w:rPr>
              <w:t>Ministerial portfolios</w:t>
            </w:r>
          </w:p>
          <w:p w14:paraId="31C28CAA" w14:textId="77777777" w:rsidR="00785144" w:rsidRPr="00E13CE7" w:rsidRDefault="00785144" w:rsidP="00785144">
            <w:pPr>
              <w:numPr>
                <w:ilvl w:val="0"/>
                <w:numId w:val="83"/>
              </w:numPr>
              <w:ind w:left="414" w:hanging="357"/>
              <w:rPr>
                <w:sz w:val="18"/>
                <w:szCs w:val="18"/>
              </w:rPr>
            </w:pPr>
            <w:r w:rsidRPr="00E13CE7">
              <w:rPr>
                <w:sz w:val="18"/>
                <w:szCs w:val="18"/>
              </w:rPr>
              <w:t>Premier</w:t>
            </w:r>
          </w:p>
          <w:p w14:paraId="0F9B17FF" w14:textId="77777777" w:rsidR="00785144" w:rsidRPr="00E13CE7" w:rsidRDefault="00785144" w:rsidP="00785144">
            <w:pPr>
              <w:numPr>
                <w:ilvl w:val="0"/>
                <w:numId w:val="83"/>
              </w:numPr>
              <w:ind w:left="414" w:hanging="357"/>
              <w:rPr>
                <w:sz w:val="18"/>
                <w:szCs w:val="18"/>
              </w:rPr>
            </w:pPr>
            <w:r w:rsidRPr="00E13CE7">
              <w:rPr>
                <w:sz w:val="18"/>
                <w:szCs w:val="18"/>
              </w:rPr>
              <w:t>Deputy Premier</w:t>
            </w:r>
          </w:p>
          <w:p w14:paraId="4BF45AFE" w14:textId="77777777" w:rsidR="00785144" w:rsidRPr="00E13CE7" w:rsidRDefault="00785144" w:rsidP="00785144">
            <w:pPr>
              <w:numPr>
                <w:ilvl w:val="0"/>
                <w:numId w:val="83"/>
              </w:numPr>
              <w:ind w:left="414" w:hanging="357"/>
              <w:rPr>
                <w:sz w:val="18"/>
                <w:szCs w:val="18"/>
              </w:rPr>
            </w:pPr>
            <w:r w:rsidRPr="00E13CE7">
              <w:rPr>
                <w:sz w:val="18"/>
                <w:szCs w:val="18"/>
              </w:rPr>
              <w:t>Treaty and First Peoples</w:t>
            </w:r>
          </w:p>
          <w:p w14:paraId="78539571" w14:textId="77777777" w:rsidR="00785144" w:rsidRPr="00EB1D09" w:rsidRDefault="00785144" w:rsidP="00785144">
            <w:pPr>
              <w:numPr>
                <w:ilvl w:val="0"/>
                <w:numId w:val="83"/>
              </w:numPr>
              <w:ind w:left="414" w:hanging="357"/>
              <w:rPr>
                <w:sz w:val="18"/>
                <w:szCs w:val="18"/>
              </w:rPr>
            </w:pPr>
            <w:r w:rsidRPr="00E13CE7">
              <w:rPr>
                <w:sz w:val="18"/>
                <w:szCs w:val="18"/>
              </w:rPr>
              <w:t>Multicultural Affairs</w:t>
            </w:r>
          </w:p>
        </w:tc>
      </w:tr>
      <w:tr w:rsidR="00785144" w:rsidRPr="00A43B0D" w14:paraId="61D3A247" w14:textId="77777777">
        <w:trPr>
          <w:trHeight w:val="2984"/>
        </w:trPr>
        <w:tc>
          <w:tcPr>
            <w:tcW w:w="4513" w:type="dxa"/>
          </w:tcPr>
          <w:p w14:paraId="3DE3B873" w14:textId="77777777" w:rsidR="00785144" w:rsidRDefault="00785144" w:rsidP="00FD5990">
            <w:pPr>
              <w:pStyle w:val="Heading4"/>
            </w:pPr>
            <w:r w:rsidRPr="00FD5990">
              <w:rPr>
                <w:rStyle w:val="Heading3Char"/>
                <w:i w:val="0"/>
                <w:iCs w:val="0"/>
                <w:sz w:val="22"/>
                <w:szCs w:val="22"/>
              </w:rPr>
              <w:t>Share of VPS workforce</w:t>
            </w:r>
            <w:r w:rsidRPr="00FD5990">
              <w:rPr>
                <w:rStyle w:val="Heading3Char"/>
                <w:b w:val="0"/>
                <w:sz w:val="22"/>
                <w:szCs w:val="22"/>
                <w:vertAlign w:val="superscript"/>
              </w:rPr>
              <w:t>^</w:t>
            </w:r>
            <w:r w:rsidRPr="00A43B0D">
              <w:rPr>
                <w:bCs/>
              </w:rPr>
              <w:br/>
            </w:r>
            <w:r w:rsidRPr="00FD5990">
              <w:rPr>
                <w:rStyle w:val="Heading3Char"/>
                <w:sz w:val="18"/>
                <w:szCs w:val="18"/>
              </w:rPr>
              <w:t>VPS Classifications, June 2024</w:t>
            </w:r>
          </w:p>
          <w:p w14:paraId="6427EDFD" w14:textId="77777777" w:rsidR="00785144" w:rsidRDefault="00785144"/>
          <w:p w14:paraId="6AE1F76C" w14:textId="77777777" w:rsidR="00785144" w:rsidRPr="00EB1D09" w:rsidRDefault="00785144">
            <w:r>
              <w:rPr>
                <w:noProof/>
              </w:rPr>
              <w:drawing>
                <wp:inline distT="0" distB="0" distL="0" distR="0" wp14:anchorId="5AF0B1F7" wp14:editId="3250D798">
                  <wp:extent cx="2095672" cy="1531331"/>
                  <wp:effectExtent l="0" t="0" r="0" b="0"/>
                  <wp:docPr id="825893142" name="Picture 1" descr="A graph of a number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93142" name="Picture 1" descr="A graph of a number of different types of data&#10;&#10;AI-generated content may be incorrect."/>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095672" cy="1531331"/>
                          </a:xfrm>
                          <a:prstGeom prst="rect">
                            <a:avLst/>
                          </a:prstGeom>
                        </pic:spPr>
                      </pic:pic>
                    </a:graphicData>
                  </a:graphic>
                </wp:inline>
              </w:drawing>
            </w:r>
          </w:p>
          <w:p w14:paraId="07CD2672" w14:textId="77777777" w:rsidR="00B575A7" w:rsidRDefault="00B575A7" w:rsidP="00B575A7">
            <w:pPr>
              <w:rPr>
                <w:b/>
                <w:bCs/>
                <w:color w:val="0F4761" w:themeColor="accent1" w:themeShade="BF"/>
              </w:rPr>
            </w:pPr>
          </w:p>
          <w:p w14:paraId="79DDD561" w14:textId="77777777" w:rsidR="00785144" w:rsidRPr="00EE6EDC" w:rsidRDefault="00A364EE" w:rsidP="00B575A7">
            <w:pPr>
              <w:rPr>
                <w:sz w:val="18"/>
                <w:szCs w:val="18"/>
              </w:rPr>
            </w:pPr>
            <w:r w:rsidRPr="00B575A7">
              <w:rPr>
                <w:b/>
                <w:bCs/>
                <w:color w:val="0F4761" w:themeColor="accent1" w:themeShade="BF"/>
              </w:rPr>
              <w:t>Output expenditure</w:t>
            </w:r>
            <w:r w:rsidRPr="00B575A7">
              <w:rPr>
                <w:b/>
                <w:bCs/>
                <w:color w:val="0F4761" w:themeColor="accent1" w:themeShade="BF"/>
                <w:vertAlign w:val="superscript"/>
              </w:rPr>
              <w:t>†</w:t>
            </w:r>
            <w:r w:rsidRPr="0040758C">
              <w:br/>
            </w:r>
            <w:r w:rsidRPr="00B575A7">
              <w:rPr>
                <w:color w:val="0F4761" w:themeColor="accent1" w:themeShade="BF"/>
                <w:sz w:val="18"/>
                <w:szCs w:val="18"/>
              </w:rPr>
              <w:t xml:space="preserve">$ </w:t>
            </w:r>
            <w:proofErr w:type="gramStart"/>
            <w:r w:rsidRPr="00B575A7">
              <w:rPr>
                <w:color w:val="0F4761" w:themeColor="accent1" w:themeShade="BF"/>
                <w:sz w:val="18"/>
                <w:szCs w:val="18"/>
              </w:rPr>
              <w:t>millions</w:t>
            </w:r>
            <w:proofErr w:type="gramEnd"/>
            <w:r w:rsidRPr="00B575A7">
              <w:rPr>
                <w:color w:val="0F4761" w:themeColor="accent1" w:themeShade="BF"/>
                <w:sz w:val="18"/>
                <w:szCs w:val="18"/>
              </w:rPr>
              <w:t>, 2023/24</w:t>
            </w:r>
          </w:p>
        </w:tc>
        <w:tc>
          <w:tcPr>
            <w:tcW w:w="4503" w:type="dxa"/>
          </w:tcPr>
          <w:p w14:paraId="4E4FE0D9" w14:textId="77777777" w:rsidR="00785144" w:rsidRPr="0056251A" w:rsidRDefault="00785144">
            <w:pPr>
              <w:rPr>
                <w:rFonts w:asciiTheme="majorHAnsi" w:hAnsiTheme="majorHAnsi"/>
                <w:b/>
                <w:color w:val="0F4761" w:themeColor="accent1" w:themeShade="BF"/>
                <w:szCs w:val="22"/>
              </w:rPr>
            </w:pPr>
            <w:r w:rsidRPr="0056251A">
              <w:rPr>
                <w:rFonts w:asciiTheme="majorHAnsi" w:hAnsiTheme="majorHAnsi"/>
                <w:b/>
                <w:color w:val="0F4761" w:themeColor="accent1" w:themeShade="BF"/>
                <w:szCs w:val="22"/>
              </w:rPr>
              <w:t>VPS non-departmental entities</w:t>
            </w:r>
            <w:r w:rsidRPr="0056251A">
              <w:rPr>
                <w:rFonts w:asciiTheme="majorHAnsi" w:hAnsiTheme="majorHAnsi"/>
                <w:b/>
                <w:color w:val="0F4761" w:themeColor="accent1" w:themeShade="BF"/>
                <w:szCs w:val="22"/>
                <w:vertAlign w:val="superscript"/>
              </w:rPr>
              <w:t>^</w:t>
            </w:r>
            <w:r w:rsidRPr="0056251A">
              <w:rPr>
                <w:rFonts w:asciiTheme="majorHAnsi" w:hAnsiTheme="majorHAnsi"/>
                <w:b/>
                <w:color w:val="0F4761" w:themeColor="accent1" w:themeShade="BF"/>
                <w:szCs w:val="22"/>
              </w:rPr>
              <w:t xml:space="preserve"> </w:t>
            </w:r>
          </w:p>
          <w:p w14:paraId="6971D359" w14:textId="77777777" w:rsidR="00785144" w:rsidRPr="00DA281B" w:rsidRDefault="00785144" w:rsidP="00785144">
            <w:pPr>
              <w:numPr>
                <w:ilvl w:val="0"/>
                <w:numId w:val="83"/>
              </w:numPr>
              <w:ind w:left="414" w:hanging="357"/>
              <w:rPr>
                <w:sz w:val="18"/>
                <w:szCs w:val="18"/>
              </w:rPr>
            </w:pPr>
            <w:r w:rsidRPr="00DA281B">
              <w:rPr>
                <w:sz w:val="18"/>
                <w:szCs w:val="18"/>
              </w:rPr>
              <w:t>Office of the Chief Parliamentary Counsel</w:t>
            </w:r>
          </w:p>
          <w:p w14:paraId="4EC5FA76" w14:textId="77777777" w:rsidR="00785144" w:rsidRPr="00DA281B" w:rsidRDefault="00785144" w:rsidP="00785144">
            <w:pPr>
              <w:numPr>
                <w:ilvl w:val="0"/>
                <w:numId w:val="83"/>
              </w:numPr>
              <w:ind w:left="414" w:hanging="357"/>
              <w:rPr>
                <w:sz w:val="18"/>
                <w:szCs w:val="18"/>
              </w:rPr>
            </w:pPr>
            <w:r w:rsidRPr="00DA281B">
              <w:rPr>
                <w:sz w:val="18"/>
                <w:szCs w:val="18"/>
              </w:rPr>
              <w:t>Office of the Governor</w:t>
            </w:r>
          </w:p>
          <w:p w14:paraId="1C2667BF" w14:textId="77777777" w:rsidR="00785144" w:rsidRPr="00DA281B" w:rsidRDefault="00785144" w:rsidP="00785144">
            <w:pPr>
              <w:numPr>
                <w:ilvl w:val="0"/>
                <w:numId w:val="83"/>
              </w:numPr>
              <w:ind w:left="414" w:hanging="357"/>
              <w:rPr>
                <w:sz w:val="18"/>
                <w:szCs w:val="18"/>
              </w:rPr>
            </w:pPr>
            <w:r w:rsidRPr="00DA281B">
              <w:rPr>
                <w:sz w:val="18"/>
                <w:szCs w:val="18"/>
              </w:rPr>
              <w:t>Office of the Victorian Electoral Commission</w:t>
            </w:r>
          </w:p>
          <w:p w14:paraId="0866CCED" w14:textId="77777777" w:rsidR="00785144" w:rsidRDefault="00785144" w:rsidP="00785144">
            <w:pPr>
              <w:numPr>
                <w:ilvl w:val="0"/>
                <w:numId w:val="83"/>
              </w:numPr>
              <w:ind w:left="414" w:hanging="357"/>
              <w:rPr>
                <w:sz w:val="18"/>
                <w:szCs w:val="18"/>
              </w:rPr>
            </w:pPr>
            <w:r w:rsidRPr="00DA281B">
              <w:rPr>
                <w:sz w:val="18"/>
                <w:szCs w:val="18"/>
              </w:rPr>
              <w:t>Victorian Public Sector Commission</w:t>
            </w:r>
          </w:p>
          <w:p w14:paraId="6AD05EF6" w14:textId="77777777" w:rsidR="00785144" w:rsidRPr="00DA281B" w:rsidRDefault="00785144">
            <w:pPr>
              <w:ind w:left="414"/>
              <w:rPr>
                <w:sz w:val="18"/>
                <w:szCs w:val="18"/>
              </w:rPr>
            </w:pPr>
          </w:p>
          <w:p w14:paraId="56D7EC6A" w14:textId="77777777" w:rsidR="00785144" w:rsidRPr="0056251A" w:rsidRDefault="00785144">
            <w:pPr>
              <w:rPr>
                <w:rFonts w:asciiTheme="majorHAnsi" w:hAnsiTheme="majorHAnsi"/>
                <w:b/>
                <w:color w:val="0F4761" w:themeColor="accent1" w:themeShade="BF"/>
                <w:szCs w:val="22"/>
              </w:rPr>
            </w:pPr>
            <w:r w:rsidRPr="0056251A">
              <w:rPr>
                <w:rFonts w:asciiTheme="majorHAnsi" w:hAnsiTheme="majorHAnsi"/>
                <w:b/>
                <w:color w:val="0F4761" w:themeColor="accent1" w:themeShade="BF"/>
                <w:szCs w:val="22"/>
              </w:rPr>
              <w:t>Demand pressures</w:t>
            </w:r>
          </w:p>
          <w:p w14:paraId="349591D3" w14:textId="77777777" w:rsidR="00785144" w:rsidRPr="000267A2" w:rsidRDefault="00785144" w:rsidP="00785144">
            <w:pPr>
              <w:numPr>
                <w:ilvl w:val="0"/>
                <w:numId w:val="85"/>
              </w:numPr>
              <w:ind w:left="414" w:hanging="357"/>
              <w:rPr>
                <w:sz w:val="18"/>
                <w:szCs w:val="18"/>
              </w:rPr>
            </w:pPr>
            <w:r w:rsidRPr="000267A2">
              <w:rPr>
                <w:sz w:val="18"/>
                <w:szCs w:val="18"/>
              </w:rPr>
              <w:t>Advancing treaty and truth-telling processes is a key priority, requiring sustained support and partnership with First Peoples.</w:t>
            </w:r>
            <w:r w:rsidRPr="000267A2">
              <w:rPr>
                <w:sz w:val="18"/>
                <w:szCs w:val="18"/>
                <w:vertAlign w:val="superscript"/>
              </w:rPr>
              <w:t>1</w:t>
            </w:r>
          </w:p>
          <w:p w14:paraId="69081408" w14:textId="77777777" w:rsidR="00785144" w:rsidRPr="000267A2" w:rsidRDefault="00785144" w:rsidP="00785144">
            <w:pPr>
              <w:numPr>
                <w:ilvl w:val="0"/>
                <w:numId w:val="85"/>
              </w:numPr>
              <w:ind w:left="414" w:hanging="357"/>
              <w:rPr>
                <w:sz w:val="18"/>
                <w:szCs w:val="18"/>
              </w:rPr>
            </w:pPr>
            <w:r>
              <w:rPr>
                <w:sz w:val="18"/>
                <w:szCs w:val="18"/>
              </w:rPr>
              <w:t>Challenging economic conditions</w:t>
            </w:r>
            <w:r w:rsidRPr="000267A2">
              <w:rPr>
                <w:sz w:val="18"/>
                <w:szCs w:val="18"/>
              </w:rPr>
              <w:t xml:space="preserve"> and public debt are increasing demand for coordinated fiscal and policy advice.</w:t>
            </w:r>
            <w:r w:rsidRPr="000267A2">
              <w:rPr>
                <w:sz w:val="18"/>
                <w:szCs w:val="18"/>
                <w:vertAlign w:val="superscript"/>
              </w:rPr>
              <w:t>2</w:t>
            </w:r>
          </w:p>
          <w:p w14:paraId="75F56293" w14:textId="77777777" w:rsidR="00785144" w:rsidRPr="007025CC" w:rsidRDefault="00785144" w:rsidP="00785144">
            <w:pPr>
              <w:numPr>
                <w:ilvl w:val="0"/>
                <w:numId w:val="85"/>
              </w:numPr>
              <w:ind w:left="414" w:hanging="357"/>
              <w:rPr>
                <w:sz w:val="18"/>
                <w:szCs w:val="18"/>
              </w:rPr>
            </w:pPr>
            <w:r w:rsidRPr="000267A2">
              <w:rPr>
                <w:sz w:val="18"/>
                <w:szCs w:val="18"/>
              </w:rPr>
              <w:t>Infrastructure and service delivery challenges require stronger oversight and whole-of-government coordination.</w:t>
            </w:r>
            <w:r w:rsidRPr="00FF2921">
              <w:rPr>
                <w:sz w:val="18"/>
                <w:szCs w:val="18"/>
                <w:vertAlign w:val="superscript"/>
              </w:rPr>
              <w:t>2</w:t>
            </w:r>
          </w:p>
        </w:tc>
      </w:tr>
      <w:tr w:rsidR="00785144" w:rsidRPr="00A43B0D" w14:paraId="7A0D81C5" w14:textId="77777777">
        <w:trPr>
          <w:trHeight w:val="3814"/>
        </w:trPr>
        <w:tc>
          <w:tcPr>
            <w:tcW w:w="4513" w:type="dxa"/>
          </w:tcPr>
          <w:p w14:paraId="0F0567D2" w14:textId="77777777" w:rsidR="00785144" w:rsidRPr="00A43B0D" w:rsidRDefault="00785144">
            <w:pPr>
              <w:spacing w:line="278" w:lineRule="auto"/>
              <w:rPr>
                <w:sz w:val="18"/>
                <w:szCs w:val="18"/>
              </w:rPr>
            </w:pPr>
            <w:r>
              <w:rPr>
                <w:noProof/>
              </w:rPr>
              <w:drawing>
                <wp:inline distT="0" distB="0" distL="0" distR="0" wp14:anchorId="0FBB066A" wp14:editId="626BB101">
                  <wp:extent cx="2682219" cy="2239889"/>
                  <wp:effectExtent l="0" t="0" r="4445" b="8255"/>
                  <wp:docPr id="1164850531" name="Picture 1" descr="A graph with blu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50531" name="Picture 1" descr="A graph with blue and black text&#10;&#10;AI-generated content may be incorrect."/>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682219" cy="2239889"/>
                          </a:xfrm>
                          <a:prstGeom prst="rect">
                            <a:avLst/>
                          </a:prstGeom>
                        </pic:spPr>
                      </pic:pic>
                    </a:graphicData>
                  </a:graphic>
                </wp:inline>
              </w:drawing>
            </w:r>
          </w:p>
        </w:tc>
        <w:tc>
          <w:tcPr>
            <w:tcW w:w="4503" w:type="dxa"/>
          </w:tcPr>
          <w:p w14:paraId="5D6C9796" w14:textId="77777777" w:rsidR="00785144" w:rsidRDefault="00785144">
            <w:pPr>
              <w:spacing w:line="278" w:lineRule="auto"/>
              <w:rPr>
                <w:rFonts w:eastAsiaTheme="minorHAnsi" w:hAnsi="Aptos"/>
                <w:b/>
                <w:color w:val="FFFFFF" w:themeColor="background1"/>
                <w:kern w:val="24"/>
                <w:lang w:eastAsia="en-US"/>
              </w:rPr>
            </w:pPr>
          </w:p>
          <w:p w14:paraId="2A004D74" w14:textId="77777777" w:rsidR="00785144" w:rsidRDefault="00785144">
            <w:pPr>
              <w:spacing w:line="278" w:lineRule="auto"/>
              <w:rPr>
                <w:rFonts w:eastAsiaTheme="minorHAnsi" w:hAnsi="Aptos"/>
                <w:b/>
                <w:color w:val="FFFFFF" w:themeColor="background1"/>
                <w:kern w:val="24"/>
                <w:lang w:eastAsia="en-US"/>
              </w:rPr>
            </w:pPr>
          </w:p>
          <w:p w14:paraId="68A82D8F" w14:textId="77777777" w:rsidR="00785144" w:rsidRDefault="00785144">
            <w:pPr>
              <w:spacing w:line="278" w:lineRule="auto"/>
              <w:rPr>
                <w:rFonts w:eastAsiaTheme="minorHAnsi" w:hAnsi="Aptos"/>
                <w:b/>
                <w:color w:val="FFFFFF" w:themeColor="background1"/>
                <w:kern w:val="24"/>
                <w:lang w:eastAsia="en-US"/>
              </w:rPr>
            </w:pPr>
          </w:p>
          <w:p w14:paraId="16E8BFA9" w14:textId="77777777" w:rsidR="00785144" w:rsidRPr="00A43B0D" w:rsidRDefault="00785144">
            <w:pPr>
              <w:spacing w:line="278" w:lineRule="auto"/>
              <w:ind w:left="720"/>
              <w:rPr>
                <w:sz w:val="18"/>
                <w:szCs w:val="18"/>
              </w:rPr>
            </w:pPr>
            <w:r w:rsidRPr="00A43B0D">
              <w:rPr>
                <w:noProof/>
                <w:sz w:val="18"/>
                <w:szCs w:val="18"/>
              </w:rPr>
              <mc:AlternateContent>
                <mc:Choice Requires="wps">
                  <w:drawing>
                    <wp:anchor distT="0" distB="0" distL="114300" distR="114300" simplePos="0" relativeHeight="251658266" behindDoc="0" locked="0" layoutInCell="1" allowOverlap="1" wp14:anchorId="1D06490B" wp14:editId="152CFBFF">
                      <wp:simplePos x="0" y="0"/>
                      <wp:positionH relativeFrom="column">
                        <wp:posOffset>57150</wp:posOffset>
                      </wp:positionH>
                      <wp:positionV relativeFrom="paragraph">
                        <wp:posOffset>313690</wp:posOffset>
                      </wp:positionV>
                      <wp:extent cx="2699385" cy="1475740"/>
                      <wp:effectExtent l="0" t="0" r="5715" b="0"/>
                      <wp:wrapNone/>
                      <wp:docPr id="1778382815" name="TextBox 48"/>
                      <wp:cNvGraphicFramePr/>
                      <a:graphic xmlns:a="http://schemas.openxmlformats.org/drawingml/2006/main">
                        <a:graphicData uri="http://schemas.microsoft.com/office/word/2010/wordprocessingShape">
                          <wps:wsp>
                            <wps:cNvSpPr txBox="1"/>
                            <wps:spPr>
                              <a:xfrm>
                                <a:off x="0" y="0"/>
                                <a:ext cx="2699385" cy="1475740"/>
                              </a:xfrm>
                              <a:prstGeom prst="roundRect">
                                <a:avLst>
                                  <a:gd name="adj" fmla="val 4000"/>
                                </a:avLst>
                              </a:prstGeom>
                              <a:solidFill>
                                <a:schemeClr val="accent1"/>
                              </a:solidFill>
                            </wps:spPr>
                            <wps:txbx>
                              <w:txbxContent>
                                <w:p w14:paraId="7B48739F" w14:textId="77777777" w:rsidR="00785144" w:rsidRPr="00050B6A" w:rsidRDefault="00785144" w:rsidP="00785144">
                                  <w:pPr>
                                    <w:rPr>
                                      <w:rFonts w:hAnsi="Aptos"/>
                                      <w:b/>
                                      <w:bCs/>
                                      <w:color w:val="FFFFFF" w:themeColor="background1"/>
                                      <w:kern w:val="24"/>
                                      <w:szCs w:val="22"/>
                                      <w14:ligatures w14:val="none"/>
                                    </w:rPr>
                                  </w:pPr>
                                  <w:r w:rsidRPr="00050B6A">
                                    <w:rPr>
                                      <w:rFonts w:hAnsi="Aptos"/>
                                      <w:b/>
                                      <w:bCs/>
                                      <w:color w:val="FFFFFF" w:themeColor="background1"/>
                                      <w:kern w:val="24"/>
                                      <w:szCs w:val="22"/>
                                    </w:rPr>
                                    <w:t xml:space="preserve">Review’s recommended savings </w:t>
                                  </w:r>
                                </w:p>
                                <w:p w14:paraId="2588A2C2" w14:textId="77777777" w:rsidR="00785144" w:rsidRDefault="00785144" w:rsidP="00785144">
                                  <w:pPr>
                                    <w:ind w:left="720"/>
                                    <w:rPr>
                                      <w:rFonts w:hAnsi="Aptos"/>
                                      <w:color w:val="FFFFFF" w:themeColor="background1"/>
                                      <w:kern w:val="24"/>
                                      <w:sz w:val="32"/>
                                      <w:szCs w:val="32"/>
                                    </w:rPr>
                                  </w:pPr>
                                  <w:r w:rsidRPr="00050B6A">
                                    <w:rPr>
                                      <w:rFonts w:hAnsi="Aptos"/>
                                      <w:b/>
                                      <w:bCs/>
                                      <w:color w:val="FFFFFF" w:themeColor="background1"/>
                                      <w:kern w:val="24"/>
                                      <w:szCs w:val="22"/>
                                    </w:rPr>
                                    <w:t>$17 million</w:t>
                                  </w:r>
                                  <w:r>
                                    <w:rPr>
                                      <w:rFonts w:hAnsi="Aptos"/>
                                      <w:color w:val="FFFFFF" w:themeColor="background1"/>
                                      <w:kern w:val="24"/>
                                      <w:sz w:val="32"/>
                                      <w:szCs w:val="32"/>
                                    </w:rPr>
                                    <w:br/>
                                  </w:r>
                                  <w:r w:rsidRPr="00050B6A">
                                    <w:rPr>
                                      <w:rFonts w:hAnsi="Aptos"/>
                                      <w:color w:val="FFFFFF" w:themeColor="background1"/>
                                      <w:kern w:val="24"/>
                                      <w:sz w:val="20"/>
                                      <w:szCs w:val="20"/>
                                    </w:rPr>
                                    <w:t>2025</w:t>
                                  </w:r>
                                  <w:r w:rsidRPr="00050B6A">
                                    <w:rPr>
                                      <w:color w:val="FFFFFF" w:themeColor="background1"/>
                                      <w:kern w:val="24"/>
                                      <w:sz w:val="20"/>
                                      <w:szCs w:val="20"/>
                                    </w:rPr>
                                    <w:t>–</w:t>
                                  </w:r>
                                  <w:r w:rsidRPr="00050B6A">
                                    <w:rPr>
                                      <w:rFonts w:hAnsi="Aptos"/>
                                      <w:color w:val="FFFFFF" w:themeColor="background1"/>
                                      <w:kern w:val="24"/>
                                      <w:sz w:val="20"/>
                                      <w:szCs w:val="20"/>
                                    </w:rPr>
                                    <w:t>26 to 2028</w:t>
                                  </w:r>
                                  <w:r w:rsidRPr="00050B6A">
                                    <w:rPr>
                                      <w:color w:val="FFFFFF" w:themeColor="background1"/>
                                      <w:kern w:val="24"/>
                                      <w:sz w:val="20"/>
                                      <w:szCs w:val="20"/>
                                    </w:rPr>
                                    <w:t>–</w:t>
                                  </w:r>
                                  <w:r w:rsidRPr="00050B6A">
                                    <w:rPr>
                                      <w:rFonts w:hAnsi="Aptos"/>
                                      <w:color w:val="FFFFFF" w:themeColor="background1"/>
                                      <w:kern w:val="24"/>
                                      <w:sz w:val="20"/>
                                      <w:szCs w:val="20"/>
                                    </w:rPr>
                                    <w:t>29</w:t>
                                  </w:r>
                                </w:p>
                                <w:p w14:paraId="05D8BA08" w14:textId="77777777" w:rsidR="00785144" w:rsidRDefault="00785144" w:rsidP="00785144">
                                  <w:pPr>
                                    <w:ind w:left="720"/>
                                    <w:rPr>
                                      <w:rFonts w:hAnsi="Aptos"/>
                                      <w:color w:val="FFFFFF" w:themeColor="background1"/>
                                      <w:kern w:val="24"/>
                                      <w:sz w:val="32"/>
                                      <w:szCs w:val="32"/>
                                    </w:rPr>
                                  </w:pPr>
                                  <w:r w:rsidRPr="00050B6A">
                                    <w:rPr>
                                      <w:rFonts w:hAnsi="Aptos"/>
                                      <w:b/>
                                      <w:bCs/>
                                      <w:color w:val="FFFFFF" w:themeColor="background1"/>
                                      <w:kern w:val="24"/>
                                      <w:szCs w:val="22"/>
                                    </w:rPr>
                                    <w:t>16 staff</w:t>
                                  </w:r>
                                  <w:r>
                                    <w:rPr>
                                      <w:rFonts w:hAnsi="Aptos"/>
                                      <w:color w:val="FFFFFF" w:themeColor="background1"/>
                                      <w:kern w:val="24"/>
                                      <w:sz w:val="32"/>
                                      <w:szCs w:val="32"/>
                                    </w:rPr>
                                    <w:br/>
                                  </w:r>
                                  <w:r w:rsidRPr="00050B6A">
                                    <w:rPr>
                                      <w:rFonts w:hAnsi="Aptos"/>
                                      <w:color w:val="FFFFFF" w:themeColor="background1"/>
                                      <w:kern w:val="24"/>
                                      <w:sz w:val="20"/>
                                      <w:szCs w:val="20"/>
                                    </w:rPr>
                                    <w:t>Ongoing FTE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1D06490B" id="_x0000_s1105" style="position:absolute;left:0;text-align:left;margin-left:4.5pt;margin-top:24.7pt;width:212.55pt;height:116.2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6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" fillcolor="#156082 [3204]" stroked="f">
                      <v:textbox>
                        <w:txbxContent>
                          <w:p w14:paraId="7B48739F" w14:textId="77777777" w:rsidR="00785144" w:rsidRPr="00050B6A" w:rsidRDefault="00785144" w:rsidP="00785144">
                            <w:pPr>
                              <w:rPr>
                                <w:rFonts w:hAnsi="Aptos"/>
                                <w:b/>
                                <w:bCs/>
                                <w:color w:val="FFFFFF" w:themeColor="background1"/>
                                <w:kern w:val="24"/>
                                <w:szCs w:val="22"/>
                                <w14:ligatures w14:val="none"/>
                              </w:rPr>
                            </w:pPr>
                            <w:r w:rsidRPr="00050B6A">
                              <w:rPr>
                                <w:rFonts w:hAnsi="Aptos"/>
                                <w:b/>
                                <w:bCs/>
                                <w:color w:val="FFFFFF" w:themeColor="background1"/>
                                <w:kern w:val="24"/>
                                <w:szCs w:val="22"/>
                              </w:rPr>
                              <w:t xml:space="preserve">Review’s recommended savings </w:t>
                            </w:r>
                          </w:p>
                          <w:p w14:paraId="2588A2C2" w14:textId="77777777" w:rsidR="00785144" w:rsidRDefault="00785144" w:rsidP="00785144">
                            <w:pPr>
                              <w:ind w:left="720"/>
                              <w:rPr>
                                <w:rFonts w:hAnsi="Aptos"/>
                                <w:color w:val="FFFFFF" w:themeColor="background1"/>
                                <w:kern w:val="24"/>
                                <w:sz w:val="32"/>
                                <w:szCs w:val="32"/>
                              </w:rPr>
                            </w:pPr>
                            <w:r w:rsidRPr="00050B6A">
                              <w:rPr>
                                <w:rFonts w:hAnsi="Aptos"/>
                                <w:b/>
                                <w:bCs/>
                                <w:color w:val="FFFFFF" w:themeColor="background1"/>
                                <w:kern w:val="24"/>
                                <w:szCs w:val="22"/>
                              </w:rPr>
                              <w:t>$17 million</w:t>
                            </w:r>
                            <w:r>
                              <w:rPr>
                                <w:rFonts w:hAnsi="Aptos"/>
                                <w:color w:val="FFFFFF" w:themeColor="background1"/>
                                <w:kern w:val="24"/>
                                <w:sz w:val="32"/>
                                <w:szCs w:val="32"/>
                              </w:rPr>
                              <w:br/>
                            </w:r>
                            <w:r w:rsidRPr="00050B6A">
                              <w:rPr>
                                <w:rFonts w:hAnsi="Aptos"/>
                                <w:color w:val="FFFFFF" w:themeColor="background1"/>
                                <w:kern w:val="24"/>
                                <w:sz w:val="20"/>
                                <w:szCs w:val="20"/>
                              </w:rPr>
                              <w:t>2025</w:t>
                            </w:r>
                            <w:r w:rsidRPr="00050B6A">
                              <w:rPr>
                                <w:color w:val="FFFFFF" w:themeColor="background1"/>
                                <w:kern w:val="24"/>
                                <w:sz w:val="20"/>
                                <w:szCs w:val="20"/>
                              </w:rPr>
                              <w:t>–</w:t>
                            </w:r>
                            <w:r w:rsidRPr="00050B6A">
                              <w:rPr>
                                <w:rFonts w:hAnsi="Aptos"/>
                                <w:color w:val="FFFFFF" w:themeColor="background1"/>
                                <w:kern w:val="24"/>
                                <w:sz w:val="20"/>
                                <w:szCs w:val="20"/>
                              </w:rPr>
                              <w:t>26 to 2028</w:t>
                            </w:r>
                            <w:r w:rsidRPr="00050B6A">
                              <w:rPr>
                                <w:color w:val="FFFFFF" w:themeColor="background1"/>
                                <w:kern w:val="24"/>
                                <w:sz w:val="20"/>
                                <w:szCs w:val="20"/>
                              </w:rPr>
                              <w:t>–</w:t>
                            </w:r>
                            <w:r w:rsidRPr="00050B6A">
                              <w:rPr>
                                <w:rFonts w:hAnsi="Aptos"/>
                                <w:color w:val="FFFFFF" w:themeColor="background1"/>
                                <w:kern w:val="24"/>
                                <w:sz w:val="20"/>
                                <w:szCs w:val="20"/>
                              </w:rPr>
                              <w:t>29</w:t>
                            </w:r>
                          </w:p>
                          <w:p w14:paraId="05D8BA08" w14:textId="77777777" w:rsidR="00785144" w:rsidRDefault="00785144" w:rsidP="00785144">
                            <w:pPr>
                              <w:ind w:left="720"/>
                              <w:rPr>
                                <w:rFonts w:hAnsi="Aptos"/>
                                <w:color w:val="FFFFFF" w:themeColor="background1"/>
                                <w:kern w:val="24"/>
                                <w:sz w:val="32"/>
                                <w:szCs w:val="32"/>
                              </w:rPr>
                            </w:pPr>
                            <w:r w:rsidRPr="00050B6A">
                              <w:rPr>
                                <w:rFonts w:hAnsi="Aptos"/>
                                <w:b/>
                                <w:bCs/>
                                <w:color w:val="FFFFFF" w:themeColor="background1"/>
                                <w:kern w:val="24"/>
                                <w:szCs w:val="22"/>
                              </w:rPr>
                              <w:t>16 staff</w:t>
                            </w:r>
                            <w:r>
                              <w:rPr>
                                <w:rFonts w:hAnsi="Aptos"/>
                                <w:color w:val="FFFFFF" w:themeColor="background1"/>
                                <w:kern w:val="24"/>
                                <w:sz w:val="32"/>
                                <w:szCs w:val="32"/>
                              </w:rPr>
                              <w:br/>
                            </w:r>
                            <w:r w:rsidRPr="00050B6A">
                              <w:rPr>
                                <w:rFonts w:hAnsi="Aptos"/>
                                <w:color w:val="FFFFFF" w:themeColor="background1"/>
                                <w:kern w:val="24"/>
                                <w:sz w:val="20"/>
                                <w:szCs w:val="20"/>
                              </w:rPr>
                              <w:t>Ongoing FTE</w:t>
                            </w:r>
                          </w:p>
                        </w:txbxContent>
                      </v:textbox>
                    </v:roundrect>
                  </w:pict>
                </mc:Fallback>
              </mc:AlternateContent>
            </w:r>
            <w:r w:rsidRPr="00A43B0D">
              <w:rPr>
                <w:noProof/>
                <w:sz w:val="18"/>
                <w:szCs w:val="18"/>
              </w:rPr>
              <w:drawing>
                <wp:anchor distT="0" distB="0" distL="114300" distR="114300" simplePos="0" relativeHeight="251658267" behindDoc="0" locked="0" layoutInCell="1" allowOverlap="1" wp14:anchorId="79CC26AC" wp14:editId="27F487CD">
                  <wp:simplePos x="0" y="0"/>
                  <wp:positionH relativeFrom="column">
                    <wp:posOffset>285750</wp:posOffset>
                  </wp:positionH>
                  <wp:positionV relativeFrom="paragraph">
                    <wp:posOffset>1203325</wp:posOffset>
                  </wp:positionV>
                  <wp:extent cx="287655" cy="287655"/>
                  <wp:effectExtent l="0" t="0" r="0" b="0"/>
                  <wp:wrapNone/>
                  <wp:docPr id="593451658" name="Picture 19" descr="A white logo with a black background&#10;&#10;AI-generated content may be incorrect.">
                    <a:extLst xmlns:a="http://schemas.openxmlformats.org/drawingml/2006/main">
                      <a:ext uri="{FF2B5EF4-FFF2-40B4-BE49-F238E27FC236}">
                        <a16:creationId xmlns:a16="http://schemas.microsoft.com/office/drawing/2014/main" id="{CFC0251D-C711-4D06-A2C1-500418CBC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9" descr="A white logo with a black background&#10;&#10;AI-generated content may be incorrect.">
                            <a:extLst>
                              <a:ext uri="{FF2B5EF4-FFF2-40B4-BE49-F238E27FC236}">
                                <a16:creationId xmlns:a16="http://schemas.microsoft.com/office/drawing/2014/main" id="{CFC0251D-C711-4D06-A2C1-500418CBCF3C}"/>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pic:spPr>
                      </pic:pic>
                    </a:graphicData>
                  </a:graphic>
                  <wp14:sizeRelH relativeFrom="page">
                    <wp14:pctWidth>0</wp14:pctWidth>
                  </wp14:sizeRelH>
                  <wp14:sizeRelV relativeFrom="page">
                    <wp14:pctHeight>0</wp14:pctHeight>
                  </wp14:sizeRelV>
                </wp:anchor>
              </w:drawing>
            </w:r>
            <w:r w:rsidRPr="00A43B0D">
              <w:rPr>
                <w:noProof/>
                <w:sz w:val="18"/>
                <w:szCs w:val="18"/>
              </w:rPr>
              <w:drawing>
                <wp:anchor distT="0" distB="0" distL="114300" distR="114300" simplePos="0" relativeHeight="251658268" behindDoc="0" locked="0" layoutInCell="1" allowOverlap="1" wp14:anchorId="6B0A8BED" wp14:editId="0EA6F5BE">
                  <wp:simplePos x="0" y="0"/>
                  <wp:positionH relativeFrom="column">
                    <wp:posOffset>269856</wp:posOffset>
                  </wp:positionH>
                  <wp:positionV relativeFrom="paragraph">
                    <wp:posOffset>714744</wp:posOffset>
                  </wp:positionV>
                  <wp:extent cx="287655" cy="287655"/>
                  <wp:effectExtent l="0" t="0" r="0" b="0"/>
                  <wp:wrapNone/>
                  <wp:docPr id="583428214" name="Picture 17" descr="A white dollar sign in a circle&#10;&#10;AI-generated content may be incorrect.">
                    <a:extLst xmlns:a="http://schemas.openxmlformats.org/drawingml/2006/main">
                      <a:ext uri="{FF2B5EF4-FFF2-40B4-BE49-F238E27FC236}">
                        <a16:creationId xmlns:a16="http://schemas.microsoft.com/office/drawing/2014/main" id="{5E95BA44-000E-5F82-4AD1-8DDFA53A9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7" descr="A white dollar sign in a circle&#10;&#10;AI-generated content may be incorrect.">
                            <a:extLst>
                              <a:ext uri="{FF2B5EF4-FFF2-40B4-BE49-F238E27FC236}">
                                <a16:creationId xmlns:a16="http://schemas.microsoft.com/office/drawing/2014/main" id="{5E95BA44-000E-5F82-4AD1-8DDFA53A9737}"/>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pic:spPr>
                      </pic:pic>
                    </a:graphicData>
                  </a:graphic>
                  <wp14:sizeRelH relativeFrom="page">
                    <wp14:pctWidth>0</wp14:pctWidth>
                  </wp14:sizeRelH>
                  <wp14:sizeRelV relativeFrom="page">
                    <wp14:pctHeight>0</wp14:pctHeight>
                  </wp14:sizeRelV>
                </wp:anchor>
              </w:drawing>
            </w:r>
          </w:p>
        </w:tc>
      </w:tr>
      <w:tr w:rsidR="00785144" w:rsidRPr="00A43B0D" w14:paraId="060E5596" w14:textId="77777777">
        <w:trPr>
          <w:trHeight w:val="521"/>
        </w:trPr>
        <w:tc>
          <w:tcPr>
            <w:tcW w:w="9016" w:type="dxa"/>
            <w:gridSpan w:val="2"/>
          </w:tcPr>
          <w:p w14:paraId="7338586D" w14:textId="77777777" w:rsidR="00785144" w:rsidRPr="000F1D86" w:rsidRDefault="00785144" w:rsidP="00785144">
            <w:pPr>
              <w:pStyle w:val="ListParagraph"/>
              <w:numPr>
                <w:ilvl w:val="0"/>
                <w:numId w:val="94"/>
              </w:numPr>
              <w:rPr>
                <w:i/>
                <w:iCs/>
                <w:sz w:val="12"/>
                <w:szCs w:val="12"/>
              </w:rPr>
            </w:pPr>
            <w:r>
              <w:rPr>
                <w:i/>
                <w:iCs/>
                <w:sz w:val="12"/>
                <w:szCs w:val="12"/>
              </w:rPr>
              <w:t>DPC,</w:t>
            </w:r>
            <w:r w:rsidRPr="000F1D86">
              <w:rPr>
                <w:i/>
                <w:iCs/>
                <w:sz w:val="12"/>
                <w:szCs w:val="12"/>
              </w:rPr>
              <w:t xml:space="preserve"> Corporate Plan 2023-27, 2023</w:t>
            </w:r>
          </w:p>
          <w:p w14:paraId="53A54329" w14:textId="77777777" w:rsidR="00785144" w:rsidRPr="00BA0DDD" w:rsidRDefault="00785144" w:rsidP="00785144">
            <w:pPr>
              <w:pStyle w:val="ListParagraph"/>
              <w:numPr>
                <w:ilvl w:val="0"/>
                <w:numId w:val="94"/>
              </w:numPr>
              <w:rPr>
                <w:i/>
                <w:iCs/>
                <w:sz w:val="12"/>
                <w:szCs w:val="12"/>
              </w:rPr>
            </w:pPr>
            <w:r>
              <w:rPr>
                <w:i/>
                <w:iCs/>
                <w:sz w:val="12"/>
                <w:szCs w:val="12"/>
              </w:rPr>
              <w:t xml:space="preserve">DTF, </w:t>
            </w:r>
            <w:r w:rsidRPr="00C608F5">
              <w:rPr>
                <w:i/>
                <w:iCs/>
                <w:sz w:val="12"/>
                <w:szCs w:val="12"/>
              </w:rPr>
              <w:t>2025/26 State Budget - Strategy and Outlook, 2025</w:t>
            </w:r>
            <w:r>
              <w:rPr>
                <w:i/>
                <w:iCs/>
                <w:sz w:val="12"/>
                <w:szCs w:val="12"/>
              </w:rPr>
              <w:t>.</w:t>
            </w:r>
          </w:p>
        </w:tc>
      </w:tr>
    </w:tbl>
    <w:p w14:paraId="6EF61F3A" w14:textId="77777777" w:rsidR="00785144" w:rsidRDefault="00785144" w:rsidP="00785144">
      <w:pPr>
        <w:rPr>
          <w:i/>
          <w:iCs/>
          <w:szCs w:val="22"/>
        </w:rPr>
      </w:pPr>
    </w:p>
    <w:p w14:paraId="7318D5B3" w14:textId="77777777" w:rsidR="00785144" w:rsidRDefault="00785144" w:rsidP="00785144">
      <w:pPr>
        <w:rPr>
          <w:i/>
          <w:iCs/>
          <w:szCs w:val="22"/>
        </w:rPr>
      </w:pP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03"/>
      </w:tblGrid>
      <w:tr w:rsidR="00785144" w:rsidRPr="00A43B0D" w14:paraId="7EC82263" w14:textId="77777777">
        <w:trPr>
          <w:trHeight w:val="449"/>
        </w:trPr>
        <w:tc>
          <w:tcPr>
            <w:tcW w:w="9016" w:type="dxa"/>
            <w:gridSpan w:val="2"/>
          </w:tcPr>
          <w:p w14:paraId="1ACB27F2" w14:textId="77777777" w:rsidR="00785144" w:rsidRPr="00303A8B" w:rsidRDefault="00785144" w:rsidP="00303A8B">
            <w:pPr>
              <w:pStyle w:val="Heading3"/>
              <w:rPr>
                <w:rFonts w:asciiTheme="majorHAnsi" w:hAnsiTheme="majorHAnsi"/>
                <w:sz w:val="32"/>
                <w:szCs w:val="32"/>
              </w:rPr>
            </w:pPr>
            <w:r>
              <w:rPr>
                <w:szCs w:val="22"/>
              </w:rPr>
              <w:lastRenderedPageBreak/>
              <w:br w:type="page"/>
            </w:r>
            <w:r w:rsidRPr="00303A8B">
              <w:rPr>
                <w:rFonts w:asciiTheme="majorHAnsi" w:hAnsiTheme="majorHAnsi"/>
                <w:sz w:val="32"/>
                <w:szCs w:val="32"/>
              </w:rPr>
              <w:t>Department of Treasury and Finance (DTF)</w:t>
            </w:r>
          </w:p>
        </w:tc>
      </w:tr>
      <w:tr w:rsidR="00785144" w:rsidRPr="00A43B0D" w14:paraId="3365C74C" w14:textId="77777777">
        <w:trPr>
          <w:trHeight w:val="276"/>
        </w:trPr>
        <w:tc>
          <w:tcPr>
            <w:tcW w:w="9016" w:type="dxa"/>
            <w:gridSpan w:val="2"/>
          </w:tcPr>
          <w:p w14:paraId="5EDC2800" w14:textId="77777777" w:rsidR="00785144" w:rsidRDefault="00785144">
            <w:pPr>
              <w:spacing w:line="278" w:lineRule="auto"/>
              <w:rPr>
                <w:sz w:val="18"/>
                <w:szCs w:val="18"/>
              </w:rPr>
            </w:pPr>
            <w:r w:rsidRPr="0023436C">
              <w:rPr>
                <w:sz w:val="18"/>
                <w:szCs w:val="18"/>
              </w:rPr>
              <w:t>Provide economic, commercial, financial, infrastructure, industrial relations and resource management advice to help the Victorian Government deliver its policies.</w:t>
            </w:r>
          </w:p>
          <w:p w14:paraId="3EF7618A" w14:textId="77777777" w:rsidR="00785144" w:rsidRPr="00A43B0D" w:rsidRDefault="00785144">
            <w:pPr>
              <w:spacing w:line="278" w:lineRule="auto"/>
              <w:rPr>
                <w:sz w:val="18"/>
                <w:szCs w:val="18"/>
              </w:rPr>
            </w:pPr>
          </w:p>
        </w:tc>
      </w:tr>
      <w:tr w:rsidR="00785144" w:rsidRPr="00A43B0D" w14:paraId="49C4616C" w14:textId="77777777">
        <w:trPr>
          <w:trHeight w:val="649"/>
        </w:trPr>
        <w:tc>
          <w:tcPr>
            <w:tcW w:w="4513" w:type="dxa"/>
          </w:tcPr>
          <w:p w14:paraId="629B721E" w14:textId="77777777" w:rsidR="00785144" w:rsidRPr="00A43B0D" w:rsidRDefault="00785144">
            <w:pPr>
              <w:spacing w:line="278" w:lineRule="auto"/>
              <w:rPr>
                <w:sz w:val="18"/>
                <w:szCs w:val="18"/>
              </w:rPr>
            </w:pPr>
            <w:r>
              <w:rPr>
                <w:noProof/>
              </w:rPr>
              <w:drawing>
                <wp:inline distT="0" distB="0" distL="0" distR="0" wp14:anchorId="362E2A34" wp14:editId="58726032">
                  <wp:extent cx="2497192" cy="400313"/>
                  <wp:effectExtent l="0" t="0" r="0" b="0"/>
                  <wp:docPr id="1075181062"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81062" name="Picture 1" descr="A close-up of a text&#10;&#10;AI-generated content may be incorrect."/>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497192" cy="400313"/>
                          </a:xfrm>
                          <a:prstGeom prst="rect">
                            <a:avLst/>
                          </a:prstGeom>
                        </pic:spPr>
                      </pic:pic>
                    </a:graphicData>
                  </a:graphic>
                </wp:inline>
              </w:drawing>
            </w:r>
          </w:p>
        </w:tc>
        <w:tc>
          <w:tcPr>
            <w:tcW w:w="4503" w:type="dxa"/>
          </w:tcPr>
          <w:p w14:paraId="0075DBFE" w14:textId="77777777" w:rsidR="00785144" w:rsidRDefault="00785144">
            <w:pPr>
              <w:spacing w:line="278" w:lineRule="auto"/>
              <w:rPr>
                <w:sz w:val="18"/>
                <w:szCs w:val="18"/>
              </w:rPr>
            </w:pPr>
            <w:r>
              <w:rPr>
                <w:noProof/>
              </w:rPr>
              <w:drawing>
                <wp:inline distT="0" distB="0" distL="0" distR="0" wp14:anchorId="7613932F" wp14:editId="36E144D1">
                  <wp:extent cx="2069719" cy="378607"/>
                  <wp:effectExtent l="0" t="0" r="6985" b="2540"/>
                  <wp:docPr id="1940486058"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86058" name="Picture 1" descr="A close-up of a logo&#10;&#10;AI-generated content may be incorrect."/>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084496" cy="381310"/>
                          </a:xfrm>
                          <a:prstGeom prst="rect">
                            <a:avLst/>
                          </a:prstGeom>
                        </pic:spPr>
                      </pic:pic>
                    </a:graphicData>
                  </a:graphic>
                </wp:inline>
              </w:drawing>
            </w:r>
          </w:p>
          <w:p w14:paraId="448552C0" w14:textId="77777777" w:rsidR="00785144" w:rsidRPr="00A43B0D" w:rsidRDefault="00785144">
            <w:pPr>
              <w:spacing w:line="278" w:lineRule="auto"/>
              <w:rPr>
                <w:sz w:val="18"/>
                <w:szCs w:val="18"/>
              </w:rPr>
            </w:pPr>
          </w:p>
        </w:tc>
      </w:tr>
      <w:tr w:rsidR="00785144" w:rsidRPr="00A43B0D" w14:paraId="21CDCD10" w14:textId="77777777">
        <w:trPr>
          <w:trHeight w:val="922"/>
        </w:trPr>
        <w:tc>
          <w:tcPr>
            <w:tcW w:w="4513" w:type="dxa"/>
          </w:tcPr>
          <w:p w14:paraId="0DDA5117" w14:textId="77777777" w:rsidR="00785144" w:rsidRPr="0056251A" w:rsidRDefault="00785144">
            <w:pPr>
              <w:rPr>
                <w:rFonts w:asciiTheme="majorHAnsi" w:hAnsiTheme="majorHAnsi"/>
                <w:b/>
                <w:bCs/>
                <w:color w:val="0F4761" w:themeColor="accent1" w:themeShade="BF"/>
                <w:szCs w:val="22"/>
              </w:rPr>
            </w:pPr>
            <w:r w:rsidRPr="0056251A">
              <w:rPr>
                <w:rFonts w:asciiTheme="majorHAnsi" w:hAnsiTheme="majorHAnsi"/>
                <w:b/>
                <w:bCs/>
                <w:color w:val="0F4761" w:themeColor="accent1" w:themeShade="BF"/>
                <w:szCs w:val="22"/>
              </w:rPr>
              <w:t>Objectives</w:t>
            </w:r>
            <w:r w:rsidRPr="0056251A">
              <w:rPr>
                <w:rFonts w:asciiTheme="majorHAnsi" w:hAnsiTheme="majorHAnsi"/>
                <w:b/>
                <w:bCs/>
                <w:color w:val="0F4761" w:themeColor="accent1" w:themeShade="BF"/>
                <w:szCs w:val="22"/>
                <w:vertAlign w:val="superscript"/>
              </w:rPr>
              <w:t>†</w:t>
            </w:r>
          </w:p>
          <w:p w14:paraId="0B65A591" w14:textId="77777777" w:rsidR="00785144" w:rsidRPr="00B627E8" w:rsidRDefault="00785144" w:rsidP="00785144">
            <w:pPr>
              <w:numPr>
                <w:ilvl w:val="0"/>
                <w:numId w:val="83"/>
              </w:numPr>
              <w:ind w:left="414" w:hanging="357"/>
              <w:rPr>
                <w:sz w:val="18"/>
                <w:szCs w:val="18"/>
              </w:rPr>
            </w:pPr>
            <w:proofErr w:type="spellStart"/>
            <w:r w:rsidRPr="00B627E8">
              <w:rPr>
                <w:sz w:val="18"/>
                <w:szCs w:val="18"/>
              </w:rPr>
              <w:t>Optimise</w:t>
            </w:r>
            <w:proofErr w:type="spellEnd"/>
            <w:r w:rsidRPr="00B627E8">
              <w:rPr>
                <w:sz w:val="18"/>
                <w:szCs w:val="18"/>
              </w:rPr>
              <w:t xml:space="preserve"> Victoria’s fiscal resources</w:t>
            </w:r>
          </w:p>
          <w:p w14:paraId="558D66B8" w14:textId="77777777" w:rsidR="00785144" w:rsidRPr="00B627E8" w:rsidRDefault="00785144" w:rsidP="00785144">
            <w:pPr>
              <w:numPr>
                <w:ilvl w:val="0"/>
                <w:numId w:val="83"/>
              </w:numPr>
              <w:ind w:left="414" w:hanging="357"/>
              <w:rPr>
                <w:sz w:val="18"/>
                <w:szCs w:val="18"/>
              </w:rPr>
            </w:pPr>
            <w:proofErr w:type="gramStart"/>
            <w:r w:rsidRPr="00B627E8">
              <w:rPr>
                <w:sz w:val="18"/>
                <w:szCs w:val="18"/>
              </w:rPr>
              <w:t>Strengthen</w:t>
            </w:r>
            <w:proofErr w:type="gramEnd"/>
            <w:r w:rsidRPr="00B627E8">
              <w:rPr>
                <w:sz w:val="18"/>
                <w:szCs w:val="18"/>
              </w:rPr>
              <w:t xml:space="preserve"> Victoria’s economic performance</w:t>
            </w:r>
          </w:p>
          <w:p w14:paraId="2CAA7FC8" w14:textId="77777777" w:rsidR="00785144" w:rsidRPr="00B627E8" w:rsidRDefault="00785144" w:rsidP="00785144">
            <w:pPr>
              <w:numPr>
                <w:ilvl w:val="0"/>
                <w:numId w:val="83"/>
              </w:numPr>
              <w:ind w:left="414" w:hanging="357"/>
              <w:rPr>
                <w:sz w:val="18"/>
                <w:szCs w:val="18"/>
              </w:rPr>
            </w:pPr>
            <w:r w:rsidRPr="00B627E8">
              <w:rPr>
                <w:sz w:val="18"/>
                <w:szCs w:val="18"/>
              </w:rPr>
              <w:t>Improve how Government manages its balance sheet, commercial activities and public sector infrastructure</w:t>
            </w:r>
          </w:p>
          <w:p w14:paraId="23F4D474" w14:textId="77777777" w:rsidR="00785144" w:rsidRPr="00B627E8" w:rsidRDefault="00785144" w:rsidP="00785144">
            <w:pPr>
              <w:numPr>
                <w:ilvl w:val="0"/>
                <w:numId w:val="83"/>
              </w:numPr>
              <w:ind w:left="414" w:hanging="357"/>
              <w:rPr>
                <w:sz w:val="18"/>
                <w:szCs w:val="18"/>
              </w:rPr>
            </w:pPr>
            <w:proofErr w:type="gramStart"/>
            <w:r w:rsidRPr="00B627E8">
              <w:rPr>
                <w:sz w:val="18"/>
                <w:szCs w:val="18"/>
              </w:rPr>
              <w:t>Strengthen</w:t>
            </w:r>
            <w:proofErr w:type="gramEnd"/>
            <w:r w:rsidRPr="00B627E8">
              <w:rPr>
                <w:sz w:val="18"/>
                <w:szCs w:val="18"/>
              </w:rPr>
              <w:t xml:space="preserve"> Victoria’s economic performance through fair, equitable and productive workplaces</w:t>
            </w:r>
          </w:p>
          <w:p w14:paraId="028733D8" w14:textId="77777777" w:rsidR="00785144" w:rsidRPr="00EE6EDC" w:rsidRDefault="00785144">
            <w:pPr>
              <w:pStyle w:val="Heading3"/>
              <w:rPr>
                <w:sz w:val="18"/>
                <w:szCs w:val="18"/>
              </w:rPr>
            </w:pPr>
          </w:p>
        </w:tc>
        <w:tc>
          <w:tcPr>
            <w:tcW w:w="4503" w:type="dxa"/>
          </w:tcPr>
          <w:p w14:paraId="17DCA6CF" w14:textId="77777777" w:rsidR="00785144" w:rsidRPr="0056251A" w:rsidRDefault="00785144">
            <w:pPr>
              <w:rPr>
                <w:rFonts w:asciiTheme="majorHAnsi" w:hAnsiTheme="majorHAnsi"/>
                <w:b/>
                <w:bCs/>
                <w:color w:val="0F4761" w:themeColor="accent1" w:themeShade="BF"/>
                <w:szCs w:val="22"/>
              </w:rPr>
            </w:pPr>
            <w:r w:rsidRPr="0056251A">
              <w:rPr>
                <w:rFonts w:asciiTheme="majorHAnsi" w:hAnsiTheme="majorHAnsi"/>
                <w:b/>
                <w:bCs/>
                <w:color w:val="0F4761" w:themeColor="accent1" w:themeShade="BF"/>
                <w:szCs w:val="22"/>
              </w:rPr>
              <w:t>Ministerial portfolios</w:t>
            </w:r>
          </w:p>
          <w:p w14:paraId="06F815AB" w14:textId="77777777" w:rsidR="00785144" w:rsidRPr="00EA3F83" w:rsidRDefault="00785144" w:rsidP="00785144">
            <w:pPr>
              <w:numPr>
                <w:ilvl w:val="0"/>
                <w:numId w:val="83"/>
              </w:numPr>
              <w:ind w:left="414" w:hanging="357"/>
              <w:rPr>
                <w:sz w:val="18"/>
                <w:szCs w:val="18"/>
              </w:rPr>
            </w:pPr>
            <w:r w:rsidRPr="00EA3F83">
              <w:rPr>
                <w:sz w:val="18"/>
                <w:szCs w:val="18"/>
              </w:rPr>
              <w:t>Treasurer</w:t>
            </w:r>
          </w:p>
          <w:p w14:paraId="7663E9A8" w14:textId="77777777" w:rsidR="00785144" w:rsidRPr="00EA3F83" w:rsidRDefault="00785144" w:rsidP="00785144">
            <w:pPr>
              <w:numPr>
                <w:ilvl w:val="0"/>
                <w:numId w:val="83"/>
              </w:numPr>
              <w:ind w:left="414" w:hanging="357"/>
              <w:rPr>
                <w:sz w:val="18"/>
                <w:szCs w:val="18"/>
              </w:rPr>
            </w:pPr>
            <w:r w:rsidRPr="00EA3F83">
              <w:rPr>
                <w:sz w:val="18"/>
                <w:szCs w:val="18"/>
              </w:rPr>
              <w:t>Finance</w:t>
            </w:r>
          </w:p>
          <w:p w14:paraId="7207B622" w14:textId="77777777" w:rsidR="00785144" w:rsidRPr="00EA3F83" w:rsidRDefault="00785144" w:rsidP="00785144">
            <w:pPr>
              <w:numPr>
                <w:ilvl w:val="0"/>
                <w:numId w:val="83"/>
              </w:numPr>
              <w:ind w:left="414" w:hanging="357"/>
              <w:rPr>
                <w:sz w:val="18"/>
                <w:szCs w:val="18"/>
              </w:rPr>
            </w:pPr>
            <w:r w:rsidRPr="00EA3F83">
              <w:rPr>
                <w:sz w:val="18"/>
                <w:szCs w:val="18"/>
              </w:rPr>
              <w:t>Industrial Relations</w:t>
            </w:r>
          </w:p>
          <w:p w14:paraId="2CE329F8" w14:textId="77777777" w:rsidR="00785144" w:rsidRPr="00E13CE7" w:rsidRDefault="00785144" w:rsidP="00785144">
            <w:pPr>
              <w:numPr>
                <w:ilvl w:val="0"/>
                <w:numId w:val="83"/>
              </w:numPr>
              <w:ind w:left="414" w:hanging="357"/>
              <w:rPr>
                <w:sz w:val="18"/>
                <w:szCs w:val="18"/>
              </w:rPr>
            </w:pPr>
            <w:r w:rsidRPr="00EA3F83">
              <w:rPr>
                <w:sz w:val="18"/>
                <w:szCs w:val="18"/>
              </w:rPr>
              <w:t>WorkSafe and the T</w:t>
            </w:r>
            <w:r>
              <w:rPr>
                <w:sz w:val="18"/>
                <w:szCs w:val="18"/>
              </w:rPr>
              <w:t>ransport Accident Commission (TAC)</w:t>
            </w:r>
          </w:p>
        </w:tc>
      </w:tr>
      <w:tr w:rsidR="00785144" w:rsidRPr="00A43B0D" w14:paraId="39FEB5E4" w14:textId="77777777">
        <w:trPr>
          <w:trHeight w:val="2984"/>
        </w:trPr>
        <w:tc>
          <w:tcPr>
            <w:tcW w:w="4513" w:type="dxa"/>
          </w:tcPr>
          <w:p w14:paraId="6F409A9A" w14:textId="77777777" w:rsidR="00785144" w:rsidRDefault="00785144" w:rsidP="00FD5990">
            <w:pPr>
              <w:pStyle w:val="Heading4"/>
            </w:pPr>
            <w:r w:rsidRPr="00FD5990">
              <w:rPr>
                <w:rStyle w:val="Heading3Char"/>
                <w:i w:val="0"/>
                <w:iCs w:val="0"/>
                <w:sz w:val="22"/>
                <w:szCs w:val="22"/>
              </w:rPr>
              <w:t>Share of VPS workforce</w:t>
            </w:r>
            <w:r w:rsidRPr="00FD5990">
              <w:rPr>
                <w:rStyle w:val="Heading3Char"/>
                <w:b w:val="0"/>
                <w:sz w:val="22"/>
                <w:szCs w:val="22"/>
                <w:vertAlign w:val="superscript"/>
              </w:rPr>
              <w:t>^</w:t>
            </w:r>
            <w:r w:rsidRPr="00A43B0D">
              <w:rPr>
                <w:bCs/>
              </w:rPr>
              <w:br/>
            </w:r>
            <w:r w:rsidRPr="00FD5990">
              <w:rPr>
                <w:rStyle w:val="Heading3Char"/>
                <w:sz w:val="18"/>
                <w:szCs w:val="18"/>
              </w:rPr>
              <w:t>VPS Classifications, June 2024</w:t>
            </w:r>
          </w:p>
          <w:p w14:paraId="1C780434" w14:textId="77777777" w:rsidR="00785144" w:rsidRDefault="00785144"/>
          <w:p w14:paraId="6DD18D6C" w14:textId="3BF99C0F" w:rsidR="00785144" w:rsidRPr="00923CDF" w:rsidRDefault="00785144" w:rsidP="00923CDF">
            <w:r>
              <w:rPr>
                <w:noProof/>
              </w:rPr>
              <w:drawing>
                <wp:inline distT="0" distB="0" distL="0" distR="0" wp14:anchorId="3CB0EFF6" wp14:editId="7B19D9EB">
                  <wp:extent cx="2095672" cy="1401665"/>
                  <wp:effectExtent l="0" t="0" r="0" b="8255"/>
                  <wp:docPr id="584646863" name="Picture 1" descr="A graph of blue bar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46863" name="Picture 1" descr="A graph of blue bars with black text&#10;&#10;AI-generated content may be incorrect."/>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095672" cy="1401665"/>
                          </a:xfrm>
                          <a:prstGeom prst="rect">
                            <a:avLst/>
                          </a:prstGeom>
                        </pic:spPr>
                      </pic:pic>
                    </a:graphicData>
                  </a:graphic>
                </wp:inline>
              </w:drawing>
            </w:r>
          </w:p>
          <w:p w14:paraId="1B708F9B" w14:textId="77777777" w:rsidR="00B575A7" w:rsidRDefault="00B575A7" w:rsidP="00B575A7">
            <w:pPr>
              <w:rPr>
                <w:b/>
                <w:bCs/>
                <w:color w:val="0F4761" w:themeColor="accent1" w:themeShade="BF"/>
              </w:rPr>
            </w:pPr>
          </w:p>
          <w:p w14:paraId="1B2B4EF7" w14:textId="77777777" w:rsidR="00785144" w:rsidRPr="00EE6EDC" w:rsidRDefault="00923CDF" w:rsidP="00B575A7">
            <w:pPr>
              <w:rPr>
                <w:sz w:val="18"/>
                <w:szCs w:val="18"/>
              </w:rPr>
            </w:pPr>
            <w:r w:rsidRPr="00B575A7">
              <w:rPr>
                <w:b/>
                <w:bCs/>
                <w:color w:val="0F4761" w:themeColor="accent1" w:themeShade="BF"/>
              </w:rPr>
              <w:t>Output expenditure</w:t>
            </w:r>
            <w:r w:rsidRPr="00B575A7">
              <w:rPr>
                <w:b/>
                <w:bCs/>
                <w:color w:val="0F4761" w:themeColor="accent1" w:themeShade="BF"/>
                <w:vertAlign w:val="superscript"/>
              </w:rPr>
              <w:t>†</w:t>
            </w:r>
            <w:r w:rsidRPr="0040758C">
              <w:br/>
            </w:r>
            <w:r w:rsidRPr="00B575A7">
              <w:rPr>
                <w:color w:val="0F4761" w:themeColor="accent1" w:themeShade="BF"/>
                <w:sz w:val="18"/>
                <w:szCs w:val="18"/>
              </w:rPr>
              <w:t xml:space="preserve">$ </w:t>
            </w:r>
            <w:proofErr w:type="gramStart"/>
            <w:r w:rsidRPr="00B575A7">
              <w:rPr>
                <w:color w:val="0F4761" w:themeColor="accent1" w:themeShade="BF"/>
                <w:sz w:val="18"/>
                <w:szCs w:val="18"/>
              </w:rPr>
              <w:t>millions</w:t>
            </w:r>
            <w:proofErr w:type="gramEnd"/>
            <w:r w:rsidRPr="00B575A7">
              <w:rPr>
                <w:color w:val="0F4761" w:themeColor="accent1" w:themeShade="BF"/>
                <w:sz w:val="18"/>
                <w:szCs w:val="18"/>
              </w:rPr>
              <w:t>, 2023/24</w:t>
            </w:r>
          </w:p>
        </w:tc>
        <w:tc>
          <w:tcPr>
            <w:tcW w:w="4503" w:type="dxa"/>
          </w:tcPr>
          <w:p w14:paraId="67810E67" w14:textId="77777777" w:rsidR="00785144" w:rsidRPr="00376C37" w:rsidRDefault="00785144">
            <w:pPr>
              <w:rPr>
                <w:rFonts w:asciiTheme="majorHAnsi" w:hAnsiTheme="majorHAnsi"/>
                <w:b/>
                <w:bCs/>
                <w:color w:val="0F4761" w:themeColor="accent1" w:themeShade="BF"/>
                <w:szCs w:val="22"/>
              </w:rPr>
            </w:pPr>
            <w:r w:rsidRPr="00376C37">
              <w:rPr>
                <w:rFonts w:asciiTheme="majorHAnsi" w:hAnsiTheme="majorHAnsi"/>
                <w:b/>
                <w:bCs/>
                <w:color w:val="0F4761" w:themeColor="accent1" w:themeShade="BF"/>
                <w:szCs w:val="22"/>
              </w:rPr>
              <w:t>VPS non-departmental entities</w:t>
            </w:r>
            <w:r w:rsidRPr="00376C37">
              <w:rPr>
                <w:rFonts w:asciiTheme="majorHAnsi" w:hAnsiTheme="majorHAnsi"/>
                <w:b/>
                <w:bCs/>
                <w:color w:val="0F4761" w:themeColor="accent1" w:themeShade="BF"/>
                <w:szCs w:val="22"/>
                <w:vertAlign w:val="superscript"/>
              </w:rPr>
              <w:t>^</w:t>
            </w:r>
            <w:r w:rsidRPr="00376C37">
              <w:rPr>
                <w:rFonts w:asciiTheme="majorHAnsi" w:hAnsiTheme="majorHAnsi"/>
                <w:b/>
                <w:bCs/>
                <w:color w:val="0F4761" w:themeColor="accent1" w:themeShade="BF"/>
                <w:szCs w:val="22"/>
              </w:rPr>
              <w:t xml:space="preserve"> </w:t>
            </w:r>
          </w:p>
          <w:p w14:paraId="5D1279DB" w14:textId="77777777" w:rsidR="00785144" w:rsidRPr="009F7CA5" w:rsidRDefault="00785144" w:rsidP="00785144">
            <w:pPr>
              <w:numPr>
                <w:ilvl w:val="0"/>
                <w:numId w:val="83"/>
              </w:numPr>
              <w:ind w:left="414" w:hanging="357"/>
              <w:rPr>
                <w:sz w:val="18"/>
                <w:szCs w:val="18"/>
              </w:rPr>
            </w:pPr>
            <w:r w:rsidRPr="009F7CA5">
              <w:rPr>
                <w:sz w:val="18"/>
                <w:szCs w:val="18"/>
              </w:rPr>
              <w:t xml:space="preserve">Emergency Services Superannuation Board </w:t>
            </w:r>
          </w:p>
          <w:p w14:paraId="28D9AABD" w14:textId="77777777" w:rsidR="00785144" w:rsidRPr="009F7CA5" w:rsidRDefault="00785144" w:rsidP="00785144">
            <w:pPr>
              <w:numPr>
                <w:ilvl w:val="0"/>
                <w:numId w:val="83"/>
              </w:numPr>
              <w:ind w:left="414" w:hanging="357"/>
              <w:rPr>
                <w:sz w:val="18"/>
                <w:szCs w:val="18"/>
              </w:rPr>
            </w:pPr>
            <w:r w:rsidRPr="009F7CA5">
              <w:rPr>
                <w:sz w:val="18"/>
                <w:szCs w:val="18"/>
              </w:rPr>
              <w:t>Essential Services Commission</w:t>
            </w:r>
          </w:p>
          <w:p w14:paraId="4177E8E1" w14:textId="77777777" w:rsidR="00785144" w:rsidRPr="009F7CA5" w:rsidRDefault="00785144" w:rsidP="00785144">
            <w:pPr>
              <w:numPr>
                <w:ilvl w:val="0"/>
                <w:numId w:val="83"/>
              </w:numPr>
              <w:ind w:left="414" w:hanging="357"/>
              <w:rPr>
                <w:sz w:val="18"/>
                <w:szCs w:val="18"/>
              </w:rPr>
            </w:pPr>
            <w:r w:rsidRPr="009F7CA5">
              <w:rPr>
                <w:sz w:val="18"/>
                <w:szCs w:val="18"/>
              </w:rPr>
              <w:t>Infrastructure Victoria</w:t>
            </w:r>
          </w:p>
          <w:p w14:paraId="302DDFDF" w14:textId="77777777" w:rsidR="00785144" w:rsidRPr="009F7CA5" w:rsidRDefault="00785144" w:rsidP="00785144">
            <w:pPr>
              <w:numPr>
                <w:ilvl w:val="0"/>
                <w:numId w:val="83"/>
              </w:numPr>
              <w:ind w:left="414" w:hanging="357"/>
              <w:rPr>
                <w:sz w:val="18"/>
                <w:szCs w:val="18"/>
              </w:rPr>
            </w:pPr>
            <w:proofErr w:type="spellStart"/>
            <w:r w:rsidRPr="009F7CA5">
              <w:rPr>
                <w:sz w:val="18"/>
                <w:szCs w:val="18"/>
              </w:rPr>
              <w:t>Labour</w:t>
            </w:r>
            <w:proofErr w:type="spellEnd"/>
            <w:r w:rsidRPr="009F7CA5">
              <w:rPr>
                <w:sz w:val="18"/>
                <w:szCs w:val="18"/>
              </w:rPr>
              <w:t xml:space="preserve"> Hire Licensing Authority</w:t>
            </w:r>
          </w:p>
          <w:p w14:paraId="6AF24992" w14:textId="77777777" w:rsidR="00785144" w:rsidRPr="009F7CA5" w:rsidRDefault="00785144" w:rsidP="00785144">
            <w:pPr>
              <w:numPr>
                <w:ilvl w:val="0"/>
                <w:numId w:val="83"/>
              </w:numPr>
              <w:ind w:left="414" w:hanging="357"/>
              <w:rPr>
                <w:sz w:val="18"/>
                <w:szCs w:val="18"/>
              </w:rPr>
            </w:pPr>
            <w:r w:rsidRPr="009F7CA5">
              <w:rPr>
                <w:sz w:val="18"/>
                <w:szCs w:val="18"/>
              </w:rPr>
              <w:t>Wage Inspectorate Victoria</w:t>
            </w:r>
          </w:p>
          <w:p w14:paraId="6BFD64E4" w14:textId="77777777" w:rsidR="00785144" w:rsidRDefault="00785144" w:rsidP="00785144">
            <w:pPr>
              <w:numPr>
                <w:ilvl w:val="0"/>
                <w:numId w:val="83"/>
              </w:numPr>
              <w:ind w:left="414" w:hanging="357"/>
              <w:rPr>
                <w:sz w:val="18"/>
                <w:szCs w:val="18"/>
              </w:rPr>
            </w:pPr>
            <w:r w:rsidRPr="009F7CA5">
              <w:rPr>
                <w:sz w:val="18"/>
                <w:szCs w:val="18"/>
              </w:rPr>
              <w:t>Portable Long Service Benefits Authority</w:t>
            </w:r>
          </w:p>
          <w:p w14:paraId="73146C98" w14:textId="77777777" w:rsidR="00785144" w:rsidRPr="009F7CA5" w:rsidRDefault="00785144">
            <w:pPr>
              <w:ind w:left="414"/>
              <w:rPr>
                <w:sz w:val="18"/>
                <w:szCs w:val="18"/>
              </w:rPr>
            </w:pPr>
          </w:p>
          <w:p w14:paraId="71970777" w14:textId="77777777" w:rsidR="00785144" w:rsidRPr="00376C37" w:rsidRDefault="00785144">
            <w:pPr>
              <w:rPr>
                <w:rFonts w:asciiTheme="majorHAnsi" w:hAnsiTheme="majorHAnsi"/>
                <w:b/>
                <w:bCs/>
                <w:color w:val="0F4761" w:themeColor="accent1" w:themeShade="BF"/>
                <w:szCs w:val="22"/>
              </w:rPr>
            </w:pPr>
            <w:r w:rsidRPr="00376C37">
              <w:rPr>
                <w:rFonts w:asciiTheme="majorHAnsi" w:hAnsiTheme="majorHAnsi"/>
                <w:b/>
                <w:bCs/>
                <w:color w:val="0F4761" w:themeColor="accent1" w:themeShade="BF"/>
                <w:szCs w:val="22"/>
              </w:rPr>
              <w:t>Demand pressures</w:t>
            </w:r>
          </w:p>
          <w:p w14:paraId="4A0650FF" w14:textId="247C5184" w:rsidR="00785144" w:rsidRPr="00461FD2" w:rsidRDefault="00785144" w:rsidP="00785144">
            <w:pPr>
              <w:numPr>
                <w:ilvl w:val="0"/>
                <w:numId w:val="85"/>
              </w:numPr>
              <w:ind w:left="414" w:hanging="357"/>
              <w:rPr>
                <w:sz w:val="18"/>
                <w:szCs w:val="18"/>
              </w:rPr>
            </w:pPr>
            <w:r w:rsidRPr="00461FD2">
              <w:rPr>
                <w:sz w:val="18"/>
                <w:szCs w:val="18"/>
              </w:rPr>
              <w:t>Weaker economic conditions and elevated interest rates are placing pressure on revenue and debt management.</w:t>
            </w:r>
            <w:r w:rsidRPr="00461FD2">
              <w:rPr>
                <w:sz w:val="18"/>
                <w:szCs w:val="18"/>
                <w:vertAlign w:val="superscript"/>
              </w:rPr>
              <w:t>2</w:t>
            </w:r>
          </w:p>
          <w:p w14:paraId="6F5E2EB6" w14:textId="056A4572" w:rsidR="00785144" w:rsidRPr="00461FD2" w:rsidRDefault="00785144" w:rsidP="00785144">
            <w:pPr>
              <w:numPr>
                <w:ilvl w:val="0"/>
                <w:numId w:val="85"/>
              </w:numPr>
              <w:ind w:left="414" w:hanging="357"/>
              <w:rPr>
                <w:sz w:val="18"/>
                <w:szCs w:val="18"/>
              </w:rPr>
            </w:pPr>
            <w:r w:rsidRPr="00461FD2">
              <w:rPr>
                <w:sz w:val="18"/>
                <w:szCs w:val="18"/>
              </w:rPr>
              <w:t>Rising infrastructure and service delivery costs are driving demand for tighter financial oversight.</w:t>
            </w:r>
            <w:r w:rsidRPr="00461FD2">
              <w:rPr>
                <w:sz w:val="18"/>
                <w:szCs w:val="18"/>
                <w:vertAlign w:val="superscript"/>
              </w:rPr>
              <w:t>2</w:t>
            </w:r>
          </w:p>
          <w:p w14:paraId="0B32E16C" w14:textId="05AAE8DB" w:rsidR="00785144" w:rsidRPr="000267A2" w:rsidRDefault="00785144" w:rsidP="00785144">
            <w:pPr>
              <w:numPr>
                <w:ilvl w:val="0"/>
                <w:numId w:val="85"/>
              </w:numPr>
              <w:ind w:left="414" w:hanging="357"/>
              <w:rPr>
                <w:sz w:val="18"/>
                <w:szCs w:val="18"/>
              </w:rPr>
            </w:pPr>
            <w:r w:rsidRPr="00461FD2">
              <w:rPr>
                <w:sz w:val="18"/>
                <w:szCs w:val="18"/>
              </w:rPr>
              <w:t>Demographic change is driving long-term growth in demand for government services.</w:t>
            </w:r>
            <w:r w:rsidRPr="00461FD2">
              <w:rPr>
                <w:sz w:val="18"/>
                <w:szCs w:val="18"/>
                <w:vertAlign w:val="superscript"/>
              </w:rPr>
              <w:t>2</w:t>
            </w:r>
          </w:p>
        </w:tc>
      </w:tr>
      <w:tr w:rsidR="00785144" w:rsidRPr="00A43B0D" w14:paraId="73973EB1" w14:textId="77777777">
        <w:trPr>
          <w:trHeight w:val="2388"/>
        </w:trPr>
        <w:tc>
          <w:tcPr>
            <w:tcW w:w="4513" w:type="dxa"/>
          </w:tcPr>
          <w:p w14:paraId="7B94B481" w14:textId="77777777" w:rsidR="00785144" w:rsidRPr="00A43B0D" w:rsidRDefault="00785144">
            <w:pPr>
              <w:spacing w:line="278" w:lineRule="auto"/>
              <w:rPr>
                <w:sz w:val="18"/>
                <w:szCs w:val="18"/>
              </w:rPr>
            </w:pPr>
            <w:r>
              <w:rPr>
                <w:noProof/>
              </w:rPr>
              <w:drawing>
                <wp:inline distT="0" distB="0" distL="0" distR="0" wp14:anchorId="773C72F2" wp14:editId="29C9FDF7">
                  <wp:extent cx="2617544" cy="2099748"/>
                  <wp:effectExtent l="0" t="0" r="0" b="0"/>
                  <wp:docPr id="577545243" name="Picture 1" descr="A graph with blu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545243" name="Picture 1" descr="A graph with blue and white text&#10;&#10;AI-generated content may be incorrect."/>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617544" cy="2099748"/>
                          </a:xfrm>
                          <a:prstGeom prst="rect">
                            <a:avLst/>
                          </a:prstGeom>
                        </pic:spPr>
                      </pic:pic>
                    </a:graphicData>
                  </a:graphic>
                </wp:inline>
              </w:drawing>
            </w:r>
          </w:p>
        </w:tc>
        <w:tc>
          <w:tcPr>
            <w:tcW w:w="4503" w:type="dxa"/>
          </w:tcPr>
          <w:p w14:paraId="12DDC069" w14:textId="761A587C" w:rsidR="00785144" w:rsidRDefault="00785144">
            <w:pPr>
              <w:spacing w:line="278" w:lineRule="auto"/>
              <w:rPr>
                <w:sz w:val="18"/>
                <w:szCs w:val="18"/>
              </w:rPr>
            </w:pPr>
          </w:p>
          <w:p w14:paraId="602B463F" w14:textId="12606558" w:rsidR="00785144" w:rsidRDefault="00785144">
            <w:pPr>
              <w:spacing w:line="278" w:lineRule="auto"/>
              <w:rPr>
                <w:sz w:val="18"/>
                <w:szCs w:val="18"/>
              </w:rPr>
            </w:pPr>
          </w:p>
          <w:p w14:paraId="74D806AA" w14:textId="77777777" w:rsidR="008E17FE" w:rsidRDefault="008E17FE">
            <w:pPr>
              <w:spacing w:line="278" w:lineRule="auto"/>
              <w:rPr>
                <w:sz w:val="18"/>
                <w:szCs w:val="18"/>
              </w:rPr>
            </w:pPr>
          </w:p>
          <w:p w14:paraId="582AA4F4" w14:textId="77777777" w:rsidR="002B5F25" w:rsidRDefault="002B5F25">
            <w:pPr>
              <w:spacing w:line="278" w:lineRule="auto"/>
              <w:rPr>
                <w:sz w:val="18"/>
                <w:szCs w:val="18"/>
              </w:rPr>
            </w:pPr>
          </w:p>
          <w:p w14:paraId="7732D160" w14:textId="77FD7FF5" w:rsidR="00785144" w:rsidRPr="00A43B0D" w:rsidRDefault="008E17FE">
            <w:pPr>
              <w:spacing w:line="278" w:lineRule="auto"/>
              <w:rPr>
                <w:sz w:val="18"/>
                <w:szCs w:val="18"/>
              </w:rPr>
            </w:pPr>
            <w:r>
              <w:rPr>
                <w:noProof/>
              </w:rPr>
              <w:drawing>
                <wp:anchor distT="0" distB="0" distL="114300" distR="114300" simplePos="0" relativeHeight="251658317" behindDoc="0" locked="0" layoutInCell="1" allowOverlap="1" wp14:anchorId="36CCF024" wp14:editId="007C37DF">
                  <wp:simplePos x="0" y="0"/>
                  <wp:positionH relativeFrom="column">
                    <wp:posOffset>158750</wp:posOffset>
                  </wp:positionH>
                  <wp:positionV relativeFrom="paragraph">
                    <wp:posOffset>877570</wp:posOffset>
                  </wp:positionV>
                  <wp:extent cx="287655" cy="287655"/>
                  <wp:effectExtent l="0" t="0" r="0" b="0"/>
                  <wp:wrapNone/>
                  <wp:docPr id="688908960" name="Picture 19" descr="A white logo with a black background&#10;&#10;AI-generated content may be incorrect.">
                    <a:extLst xmlns:a="http://schemas.openxmlformats.org/drawingml/2006/main">
                      <a:ext uri="{FF2B5EF4-FFF2-40B4-BE49-F238E27FC236}">
                        <a16:creationId xmlns:a16="http://schemas.microsoft.com/office/drawing/2014/main" id="{CFC0251D-C711-4D06-A2C1-500418CBC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98268" name="Picture 19" descr="A white logo with a black background&#10;&#10;AI-generated content may be incorrect.">
                            <a:extLst>
                              <a:ext uri="{FF2B5EF4-FFF2-40B4-BE49-F238E27FC236}">
                                <a16:creationId xmlns:a16="http://schemas.microsoft.com/office/drawing/2014/main" id="{CFC0251D-C711-4D06-A2C1-500418CBCF3C}"/>
                              </a:ext>
                            </a:extLst>
                          </pic:cNvPr>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pic:spPr>
                      </pic:pic>
                    </a:graphicData>
                  </a:graphic>
                </wp:anchor>
              </w:drawing>
            </w:r>
            <w:r>
              <w:rPr>
                <w:noProof/>
              </w:rPr>
              <w:drawing>
                <wp:anchor distT="0" distB="0" distL="114300" distR="114300" simplePos="0" relativeHeight="251658316" behindDoc="0" locked="0" layoutInCell="1" allowOverlap="1" wp14:anchorId="28193816" wp14:editId="509EABA2">
                  <wp:simplePos x="0" y="0"/>
                  <wp:positionH relativeFrom="column">
                    <wp:posOffset>147075</wp:posOffset>
                  </wp:positionH>
                  <wp:positionV relativeFrom="paragraph">
                    <wp:posOffset>388131</wp:posOffset>
                  </wp:positionV>
                  <wp:extent cx="287655" cy="287655"/>
                  <wp:effectExtent l="0" t="0" r="0" b="0"/>
                  <wp:wrapNone/>
                  <wp:docPr id="1576015558" name="Picture 17" descr="A white dollar sign in a circle&#10;&#10;AI-generated content may be incorrect.">
                    <a:extLst xmlns:a="http://schemas.openxmlformats.org/drawingml/2006/main">
                      <a:ext uri="{FF2B5EF4-FFF2-40B4-BE49-F238E27FC236}">
                        <a16:creationId xmlns:a16="http://schemas.microsoft.com/office/drawing/2014/main" id="{5E95BA44-000E-5F82-4AD1-8DDFA53A9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31738" name="Picture 17" descr="A white dollar sign in a circle&#10;&#10;AI-generated content may be incorrect.">
                            <a:extLst>
                              <a:ext uri="{FF2B5EF4-FFF2-40B4-BE49-F238E27FC236}">
                                <a16:creationId xmlns:a16="http://schemas.microsoft.com/office/drawing/2014/main" id="{5E95BA44-000E-5F82-4AD1-8DDFA53A9737}"/>
                              </a:ext>
                            </a:extLst>
                          </pic:cNvPr>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pic:spPr>
                      </pic:pic>
                    </a:graphicData>
                  </a:graphic>
                </wp:anchor>
              </w:drawing>
            </w:r>
            <w:r w:rsidR="00E15F08" w:rsidRPr="00A43B0D">
              <w:rPr>
                <w:noProof/>
                <w:sz w:val="18"/>
                <w:szCs w:val="18"/>
              </w:rPr>
              <mc:AlternateContent>
                <mc:Choice Requires="wps">
                  <w:drawing>
                    <wp:anchor distT="0" distB="0" distL="114300" distR="114300" simplePos="0" relativeHeight="251658315" behindDoc="0" locked="0" layoutInCell="1" allowOverlap="1" wp14:anchorId="58A7175D" wp14:editId="1D383C01">
                      <wp:simplePos x="0" y="0"/>
                      <wp:positionH relativeFrom="column">
                        <wp:posOffset>-3175</wp:posOffset>
                      </wp:positionH>
                      <wp:positionV relativeFrom="paragraph">
                        <wp:posOffset>1270</wp:posOffset>
                      </wp:positionV>
                      <wp:extent cx="2699385" cy="1475740"/>
                      <wp:effectExtent l="0" t="0" r="5715" b="0"/>
                      <wp:wrapNone/>
                      <wp:docPr id="300372317" name="TextBox 48"/>
                      <wp:cNvGraphicFramePr/>
                      <a:graphic xmlns:a="http://schemas.openxmlformats.org/drawingml/2006/main">
                        <a:graphicData uri="http://schemas.microsoft.com/office/word/2010/wordprocessingShape">
                          <wps:wsp>
                            <wps:cNvSpPr txBox="1"/>
                            <wps:spPr>
                              <a:xfrm>
                                <a:off x="0" y="0"/>
                                <a:ext cx="2699385" cy="1475740"/>
                              </a:xfrm>
                              <a:prstGeom prst="roundRect">
                                <a:avLst>
                                  <a:gd name="adj" fmla="val 4000"/>
                                </a:avLst>
                              </a:prstGeom>
                              <a:solidFill>
                                <a:schemeClr val="accent1"/>
                              </a:solidFill>
                            </wps:spPr>
                            <wps:txbx>
                              <w:txbxContent>
                                <w:p w14:paraId="0A6C5D65" w14:textId="77777777" w:rsidR="00E15F08" w:rsidRPr="00E017A8" w:rsidRDefault="00E15F08" w:rsidP="00E15F08">
                                  <w:pPr>
                                    <w:rPr>
                                      <w:rFonts w:hAnsi="Aptos"/>
                                      <w:b/>
                                      <w:bCs/>
                                      <w:color w:val="FFFFFF" w:themeColor="background1"/>
                                      <w:kern w:val="24"/>
                                      <w:szCs w:val="22"/>
                                      <w14:ligatures w14:val="none"/>
                                    </w:rPr>
                                  </w:pPr>
                                  <w:r w:rsidRPr="00E017A8">
                                    <w:rPr>
                                      <w:rFonts w:hAnsi="Aptos"/>
                                      <w:b/>
                                      <w:bCs/>
                                      <w:color w:val="FFFFFF" w:themeColor="background1"/>
                                      <w:kern w:val="24"/>
                                      <w:szCs w:val="22"/>
                                    </w:rPr>
                                    <w:t xml:space="preserve">Review’s recommended savings </w:t>
                                  </w:r>
                                </w:p>
                                <w:p w14:paraId="7A479067" w14:textId="7543A152" w:rsidR="00E15F08" w:rsidRDefault="00E15F08" w:rsidP="00E15F08">
                                  <w:pPr>
                                    <w:ind w:left="720"/>
                                    <w:rPr>
                                      <w:rFonts w:hAnsi="Aptos"/>
                                      <w:color w:val="FFFFFF" w:themeColor="background1"/>
                                      <w:kern w:val="24"/>
                                      <w:sz w:val="32"/>
                                      <w:szCs w:val="32"/>
                                    </w:rPr>
                                  </w:pPr>
                                  <w:r w:rsidRPr="00E017A8">
                                    <w:rPr>
                                      <w:rFonts w:hAnsi="Aptos"/>
                                      <w:b/>
                                      <w:bCs/>
                                      <w:color w:val="FFFFFF" w:themeColor="background1"/>
                                      <w:kern w:val="24"/>
                                      <w:szCs w:val="22"/>
                                    </w:rPr>
                                    <w:t>$</w:t>
                                  </w:r>
                                  <w:r w:rsidR="000C7321">
                                    <w:rPr>
                                      <w:rFonts w:hAnsi="Aptos"/>
                                      <w:b/>
                                      <w:bCs/>
                                      <w:color w:val="FFFFFF" w:themeColor="background1"/>
                                      <w:kern w:val="24"/>
                                      <w:szCs w:val="22"/>
                                    </w:rPr>
                                    <w:t>133</w:t>
                                  </w:r>
                                  <w:r w:rsidRPr="00E017A8">
                                    <w:rPr>
                                      <w:rFonts w:hAnsi="Aptos"/>
                                      <w:b/>
                                      <w:bCs/>
                                      <w:color w:val="FFFFFF" w:themeColor="background1"/>
                                      <w:kern w:val="24"/>
                                      <w:szCs w:val="22"/>
                                    </w:rPr>
                                    <w:t xml:space="preserve"> million</w:t>
                                  </w:r>
                                  <w:r>
                                    <w:rPr>
                                      <w:rFonts w:hAnsi="Aptos"/>
                                      <w:color w:val="FFFFFF" w:themeColor="background1"/>
                                      <w:kern w:val="24"/>
                                      <w:sz w:val="32"/>
                                      <w:szCs w:val="32"/>
                                    </w:rPr>
                                    <w:br/>
                                  </w:r>
                                  <w:r w:rsidRPr="00E017A8">
                                    <w:rPr>
                                      <w:rFonts w:hAnsi="Aptos"/>
                                      <w:color w:val="FFFFFF" w:themeColor="background1"/>
                                      <w:kern w:val="24"/>
                                      <w:sz w:val="20"/>
                                      <w:szCs w:val="20"/>
                                    </w:rPr>
                                    <w:t>2025-26 to 2028-29</w:t>
                                  </w:r>
                                </w:p>
                                <w:p w14:paraId="267BBFC6" w14:textId="77777777" w:rsidR="00E15F08" w:rsidRDefault="000C7321" w:rsidP="00E15F08">
                                  <w:pPr>
                                    <w:ind w:left="720"/>
                                    <w:rPr>
                                      <w:rFonts w:hAnsi="Aptos"/>
                                      <w:color w:val="FFFFFF" w:themeColor="background1"/>
                                      <w:kern w:val="24"/>
                                      <w:sz w:val="32"/>
                                      <w:szCs w:val="32"/>
                                    </w:rPr>
                                  </w:pPr>
                                  <w:r>
                                    <w:rPr>
                                      <w:rFonts w:hAnsi="Aptos"/>
                                      <w:b/>
                                      <w:bCs/>
                                      <w:color w:val="FFFFFF" w:themeColor="background1"/>
                                      <w:kern w:val="24"/>
                                      <w:szCs w:val="22"/>
                                    </w:rPr>
                                    <w:t xml:space="preserve"> </w:t>
                                  </w:r>
                                  <w:r w:rsidR="00E15F08">
                                    <w:rPr>
                                      <w:rFonts w:hAnsi="Aptos"/>
                                      <w:b/>
                                      <w:bCs/>
                                      <w:color w:val="FFFFFF" w:themeColor="background1"/>
                                      <w:kern w:val="24"/>
                                      <w:szCs w:val="22"/>
                                    </w:rPr>
                                    <w:t>86</w:t>
                                  </w:r>
                                  <w:r w:rsidR="00E15F08" w:rsidRPr="00E017A8">
                                    <w:rPr>
                                      <w:rFonts w:hAnsi="Aptos"/>
                                      <w:b/>
                                      <w:bCs/>
                                      <w:color w:val="FFFFFF" w:themeColor="background1"/>
                                      <w:kern w:val="24"/>
                                      <w:szCs w:val="22"/>
                                    </w:rPr>
                                    <w:t xml:space="preserve"> staff</w:t>
                                  </w:r>
                                  <w:r w:rsidR="00E15F08">
                                    <w:rPr>
                                      <w:rFonts w:hAnsi="Aptos"/>
                                      <w:color w:val="FFFFFF" w:themeColor="background1"/>
                                      <w:kern w:val="24"/>
                                      <w:sz w:val="32"/>
                                      <w:szCs w:val="32"/>
                                    </w:rPr>
                                    <w:br/>
                                  </w:r>
                                  <w:r w:rsidR="00E15F08" w:rsidRPr="00E017A8">
                                    <w:rPr>
                                      <w:rFonts w:hAnsi="Aptos"/>
                                      <w:color w:val="FFFFFF" w:themeColor="background1"/>
                                      <w:kern w:val="24"/>
                                      <w:sz w:val="20"/>
                                      <w:szCs w:val="20"/>
                                    </w:rPr>
                                    <w:t>Ongoing FTE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8A7175D" id="_x0000_s1106" style="position:absolute;margin-left:-.25pt;margin-top:.1pt;width:212.55pt;height:116.2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6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" fillcolor="#156082 [3204]" stroked="f">
                      <v:textbox>
                        <w:txbxContent>
                          <w:p w14:paraId="0A6C5D65" w14:textId="77777777" w:rsidR="00E15F08" w:rsidRPr="00E017A8" w:rsidRDefault="00E15F08" w:rsidP="00E15F08">
                            <w:pPr>
                              <w:rPr>
                                <w:rFonts w:hAnsi="Aptos"/>
                                <w:b/>
                                <w:bCs/>
                                <w:color w:val="FFFFFF" w:themeColor="background1"/>
                                <w:kern w:val="24"/>
                                <w:szCs w:val="22"/>
                                <w14:ligatures w14:val="none"/>
                              </w:rPr>
                            </w:pPr>
                            <w:r w:rsidRPr="00E017A8">
                              <w:rPr>
                                <w:rFonts w:hAnsi="Aptos"/>
                                <w:b/>
                                <w:bCs/>
                                <w:color w:val="FFFFFF" w:themeColor="background1"/>
                                <w:kern w:val="24"/>
                                <w:szCs w:val="22"/>
                              </w:rPr>
                              <w:t xml:space="preserve">Review’s recommended savings </w:t>
                            </w:r>
                          </w:p>
                          <w:p w14:paraId="7A479067" w14:textId="7543A152" w:rsidR="00E15F08" w:rsidRDefault="00E15F08" w:rsidP="00E15F08">
                            <w:pPr>
                              <w:ind w:left="720"/>
                              <w:rPr>
                                <w:rFonts w:hAnsi="Aptos"/>
                                <w:color w:val="FFFFFF" w:themeColor="background1"/>
                                <w:kern w:val="24"/>
                                <w:sz w:val="32"/>
                                <w:szCs w:val="32"/>
                              </w:rPr>
                            </w:pPr>
                            <w:r w:rsidRPr="00E017A8">
                              <w:rPr>
                                <w:rFonts w:hAnsi="Aptos"/>
                                <w:b/>
                                <w:bCs/>
                                <w:color w:val="FFFFFF" w:themeColor="background1"/>
                                <w:kern w:val="24"/>
                                <w:szCs w:val="22"/>
                              </w:rPr>
                              <w:t>$</w:t>
                            </w:r>
                            <w:r w:rsidR="000C7321">
                              <w:rPr>
                                <w:rFonts w:hAnsi="Aptos"/>
                                <w:b/>
                                <w:bCs/>
                                <w:color w:val="FFFFFF" w:themeColor="background1"/>
                                <w:kern w:val="24"/>
                                <w:szCs w:val="22"/>
                              </w:rPr>
                              <w:t>133</w:t>
                            </w:r>
                            <w:r w:rsidRPr="00E017A8">
                              <w:rPr>
                                <w:rFonts w:hAnsi="Aptos"/>
                                <w:b/>
                                <w:bCs/>
                                <w:color w:val="FFFFFF" w:themeColor="background1"/>
                                <w:kern w:val="24"/>
                                <w:szCs w:val="22"/>
                              </w:rPr>
                              <w:t xml:space="preserve"> million</w:t>
                            </w:r>
                            <w:r>
                              <w:rPr>
                                <w:rFonts w:hAnsi="Aptos"/>
                                <w:color w:val="FFFFFF" w:themeColor="background1"/>
                                <w:kern w:val="24"/>
                                <w:sz w:val="32"/>
                                <w:szCs w:val="32"/>
                              </w:rPr>
                              <w:br/>
                            </w:r>
                            <w:r w:rsidRPr="00E017A8">
                              <w:rPr>
                                <w:rFonts w:hAnsi="Aptos"/>
                                <w:color w:val="FFFFFF" w:themeColor="background1"/>
                                <w:kern w:val="24"/>
                                <w:sz w:val="20"/>
                                <w:szCs w:val="20"/>
                              </w:rPr>
                              <w:t>2025-26 to 2028-29</w:t>
                            </w:r>
                          </w:p>
                          <w:p w14:paraId="267BBFC6" w14:textId="77777777" w:rsidR="00E15F08" w:rsidRDefault="000C7321" w:rsidP="00E15F08">
                            <w:pPr>
                              <w:ind w:left="720"/>
                              <w:rPr>
                                <w:rFonts w:hAnsi="Aptos"/>
                                <w:color w:val="FFFFFF" w:themeColor="background1"/>
                                <w:kern w:val="24"/>
                                <w:sz w:val="32"/>
                                <w:szCs w:val="32"/>
                              </w:rPr>
                            </w:pPr>
                            <w:r>
                              <w:rPr>
                                <w:rFonts w:hAnsi="Aptos"/>
                                <w:b/>
                                <w:bCs/>
                                <w:color w:val="FFFFFF" w:themeColor="background1"/>
                                <w:kern w:val="24"/>
                                <w:szCs w:val="22"/>
                              </w:rPr>
                              <w:t xml:space="preserve"> </w:t>
                            </w:r>
                            <w:r w:rsidR="00E15F08">
                              <w:rPr>
                                <w:rFonts w:hAnsi="Aptos"/>
                                <w:b/>
                                <w:bCs/>
                                <w:color w:val="FFFFFF" w:themeColor="background1"/>
                                <w:kern w:val="24"/>
                                <w:szCs w:val="22"/>
                              </w:rPr>
                              <w:t>86</w:t>
                            </w:r>
                            <w:r w:rsidR="00E15F08" w:rsidRPr="00E017A8">
                              <w:rPr>
                                <w:rFonts w:hAnsi="Aptos"/>
                                <w:b/>
                                <w:bCs/>
                                <w:color w:val="FFFFFF" w:themeColor="background1"/>
                                <w:kern w:val="24"/>
                                <w:szCs w:val="22"/>
                              </w:rPr>
                              <w:t xml:space="preserve"> staff</w:t>
                            </w:r>
                            <w:r w:rsidR="00E15F08">
                              <w:rPr>
                                <w:rFonts w:hAnsi="Aptos"/>
                                <w:color w:val="FFFFFF" w:themeColor="background1"/>
                                <w:kern w:val="24"/>
                                <w:sz w:val="32"/>
                                <w:szCs w:val="32"/>
                              </w:rPr>
                              <w:br/>
                            </w:r>
                            <w:r w:rsidR="00E15F08" w:rsidRPr="00E017A8">
                              <w:rPr>
                                <w:rFonts w:hAnsi="Aptos"/>
                                <w:color w:val="FFFFFF" w:themeColor="background1"/>
                                <w:kern w:val="24"/>
                                <w:sz w:val="20"/>
                                <w:szCs w:val="20"/>
                              </w:rPr>
                              <w:t>Ongoing FTE</w:t>
                            </w:r>
                          </w:p>
                        </w:txbxContent>
                      </v:textbox>
                    </v:roundrect>
                  </w:pict>
                </mc:Fallback>
              </mc:AlternateContent>
            </w:r>
            <w:r w:rsidR="00785144" w:rsidRPr="00A43B0D">
              <w:rPr>
                <w:noProof/>
                <w:sz w:val="18"/>
                <w:szCs w:val="18"/>
              </w:rPr>
              <w:drawing>
                <wp:anchor distT="0" distB="0" distL="114300" distR="114300" simplePos="0" relativeHeight="251658242" behindDoc="0" locked="0" layoutInCell="1" allowOverlap="1" wp14:anchorId="2383E229" wp14:editId="4A7BCCCB">
                  <wp:simplePos x="0" y="0"/>
                  <wp:positionH relativeFrom="column">
                    <wp:posOffset>279400</wp:posOffset>
                  </wp:positionH>
                  <wp:positionV relativeFrom="paragraph">
                    <wp:posOffset>749300</wp:posOffset>
                  </wp:positionV>
                  <wp:extent cx="287655" cy="287655"/>
                  <wp:effectExtent l="0" t="0" r="0" b="0"/>
                  <wp:wrapNone/>
                  <wp:docPr id="2094231738" name="Picture 17" descr="A white dollar sign in a circle&#10;&#10;AI-generated content may be incorrect.">
                    <a:extLst xmlns:a="http://schemas.openxmlformats.org/drawingml/2006/main">
                      <a:ext uri="{FF2B5EF4-FFF2-40B4-BE49-F238E27FC236}">
                        <a16:creationId xmlns:a16="http://schemas.microsoft.com/office/drawing/2014/main" id="{5E95BA44-000E-5F82-4AD1-8DDFA53A9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7" descr="A white dollar sign in a circle&#10;&#10;AI-generated content may be incorrect.">
                            <a:extLst>
                              <a:ext uri="{FF2B5EF4-FFF2-40B4-BE49-F238E27FC236}">
                                <a16:creationId xmlns:a16="http://schemas.microsoft.com/office/drawing/2014/main" id="{5E95BA44-000E-5F82-4AD1-8DDFA53A9737}"/>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pic:spPr>
                      </pic:pic>
                    </a:graphicData>
                  </a:graphic>
                  <wp14:sizeRelH relativeFrom="page">
                    <wp14:pctWidth>0</wp14:pctWidth>
                  </wp14:sizeRelH>
                  <wp14:sizeRelV relativeFrom="page">
                    <wp14:pctHeight>0</wp14:pctHeight>
                  </wp14:sizeRelV>
                </wp:anchor>
              </w:drawing>
            </w:r>
            <w:r w:rsidR="00785144" w:rsidRPr="00A43B0D">
              <w:rPr>
                <w:noProof/>
                <w:sz w:val="18"/>
                <w:szCs w:val="18"/>
              </w:rPr>
              <w:drawing>
                <wp:anchor distT="0" distB="0" distL="114300" distR="114300" simplePos="0" relativeHeight="251658269" behindDoc="0" locked="0" layoutInCell="1" allowOverlap="1" wp14:anchorId="2085DD58" wp14:editId="4A8930B7">
                  <wp:simplePos x="0" y="0"/>
                  <wp:positionH relativeFrom="column">
                    <wp:posOffset>292455</wp:posOffset>
                  </wp:positionH>
                  <wp:positionV relativeFrom="paragraph">
                    <wp:posOffset>1239239</wp:posOffset>
                  </wp:positionV>
                  <wp:extent cx="287655" cy="287655"/>
                  <wp:effectExtent l="0" t="0" r="0" b="0"/>
                  <wp:wrapNone/>
                  <wp:docPr id="625398268" name="Picture 19" descr="A white logo with a black background&#10;&#10;AI-generated content may be incorrect.">
                    <a:extLst xmlns:a="http://schemas.openxmlformats.org/drawingml/2006/main">
                      <a:ext uri="{FF2B5EF4-FFF2-40B4-BE49-F238E27FC236}">
                        <a16:creationId xmlns:a16="http://schemas.microsoft.com/office/drawing/2014/main" id="{CFC0251D-C711-4D06-A2C1-500418CBC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9" descr="A white logo with a black background&#10;&#10;AI-generated content may be incorrect.">
                            <a:extLst>
                              <a:ext uri="{FF2B5EF4-FFF2-40B4-BE49-F238E27FC236}">
                                <a16:creationId xmlns:a16="http://schemas.microsoft.com/office/drawing/2014/main" id="{CFC0251D-C711-4D06-A2C1-500418CBCF3C}"/>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pic:spPr>
                      </pic:pic>
                    </a:graphicData>
                  </a:graphic>
                  <wp14:sizeRelH relativeFrom="page">
                    <wp14:pctWidth>0</wp14:pctWidth>
                  </wp14:sizeRelH>
                  <wp14:sizeRelV relativeFrom="page">
                    <wp14:pctHeight>0</wp14:pctHeight>
                  </wp14:sizeRelV>
                </wp:anchor>
              </w:drawing>
            </w:r>
            <w:r w:rsidR="00785144" w:rsidRPr="00A43B0D">
              <w:rPr>
                <w:noProof/>
                <w:sz w:val="18"/>
                <w:szCs w:val="18"/>
              </w:rPr>
              <w:drawing>
                <wp:anchor distT="0" distB="0" distL="114300" distR="114300" simplePos="0" relativeHeight="251658241" behindDoc="0" locked="0" layoutInCell="1" allowOverlap="1" wp14:anchorId="0C1EBBB8" wp14:editId="216C2B00">
                  <wp:simplePos x="0" y="0"/>
                  <wp:positionH relativeFrom="column">
                    <wp:posOffset>119380</wp:posOffset>
                  </wp:positionH>
                  <wp:positionV relativeFrom="paragraph">
                    <wp:posOffset>1234440</wp:posOffset>
                  </wp:positionV>
                  <wp:extent cx="369570" cy="369570"/>
                  <wp:effectExtent l="0" t="0" r="0" b="0"/>
                  <wp:wrapNone/>
                  <wp:docPr id="828334269" name="Picture 19" descr="A white logo with a black background&#10;&#10;AI-generated content may be incorrect.">
                    <a:extLst xmlns:a="http://schemas.openxmlformats.org/drawingml/2006/main">
                      <a:ext uri="{FF2B5EF4-FFF2-40B4-BE49-F238E27FC236}">
                        <a16:creationId xmlns:a16="http://schemas.microsoft.com/office/drawing/2014/main" id="{CFC0251D-C711-4D06-A2C1-500418CBC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9" descr="A white logo with a black background&#10;&#10;AI-generated content may be incorrect.">
                            <a:extLst>
                              <a:ext uri="{FF2B5EF4-FFF2-40B4-BE49-F238E27FC236}">
                                <a16:creationId xmlns:a16="http://schemas.microsoft.com/office/drawing/2014/main" id="{CFC0251D-C711-4D06-A2C1-500418CBCF3C}"/>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9570" cy="369570"/>
                          </a:xfrm>
                          <a:prstGeom prst="rect">
                            <a:avLst/>
                          </a:prstGeom>
                          <a:noFill/>
                        </pic:spPr>
                      </pic:pic>
                    </a:graphicData>
                  </a:graphic>
                  <wp14:sizeRelH relativeFrom="page">
                    <wp14:pctWidth>0</wp14:pctWidth>
                  </wp14:sizeRelH>
                  <wp14:sizeRelV relativeFrom="page">
                    <wp14:pctHeight>0</wp14:pctHeight>
                  </wp14:sizeRelV>
                </wp:anchor>
              </w:drawing>
            </w:r>
          </w:p>
        </w:tc>
      </w:tr>
      <w:tr w:rsidR="00785144" w:rsidRPr="00A43B0D" w14:paraId="304E06B6" w14:textId="77777777">
        <w:trPr>
          <w:trHeight w:val="521"/>
        </w:trPr>
        <w:tc>
          <w:tcPr>
            <w:tcW w:w="9016" w:type="dxa"/>
            <w:gridSpan w:val="2"/>
          </w:tcPr>
          <w:p w14:paraId="26C5DDBD" w14:textId="77777777" w:rsidR="00B575A7" w:rsidRDefault="00B575A7" w:rsidP="00B575A7">
            <w:pPr>
              <w:pStyle w:val="ListParagraph"/>
              <w:ind w:left="360"/>
              <w:rPr>
                <w:i/>
                <w:iCs/>
                <w:sz w:val="12"/>
                <w:szCs w:val="12"/>
              </w:rPr>
            </w:pPr>
          </w:p>
          <w:p w14:paraId="0C4CFF05" w14:textId="77777777" w:rsidR="00785144" w:rsidRPr="00C608F5" w:rsidRDefault="00785144" w:rsidP="00785144">
            <w:pPr>
              <w:pStyle w:val="ListParagraph"/>
              <w:numPr>
                <w:ilvl w:val="0"/>
                <w:numId w:val="95"/>
              </w:numPr>
              <w:rPr>
                <w:i/>
                <w:iCs/>
                <w:sz w:val="12"/>
                <w:szCs w:val="12"/>
              </w:rPr>
            </w:pPr>
            <w:r w:rsidRPr="00C608F5">
              <w:rPr>
                <w:i/>
                <w:iCs/>
                <w:sz w:val="12"/>
                <w:szCs w:val="12"/>
              </w:rPr>
              <w:t>FTE figure includes State Revenue Office Victoria</w:t>
            </w:r>
            <w:r>
              <w:rPr>
                <w:i/>
                <w:iCs/>
                <w:sz w:val="12"/>
                <w:szCs w:val="12"/>
              </w:rPr>
              <w:t>.</w:t>
            </w:r>
          </w:p>
          <w:p w14:paraId="00E019E5" w14:textId="77777777" w:rsidR="00785144" w:rsidRPr="00BA0DDD" w:rsidRDefault="00785144" w:rsidP="00785144">
            <w:pPr>
              <w:pStyle w:val="ListParagraph"/>
              <w:numPr>
                <w:ilvl w:val="0"/>
                <w:numId w:val="95"/>
              </w:numPr>
              <w:rPr>
                <w:i/>
                <w:iCs/>
                <w:sz w:val="12"/>
                <w:szCs w:val="12"/>
              </w:rPr>
            </w:pPr>
            <w:r>
              <w:rPr>
                <w:i/>
                <w:iCs/>
                <w:sz w:val="12"/>
                <w:szCs w:val="12"/>
              </w:rPr>
              <w:t xml:space="preserve">DTF, </w:t>
            </w:r>
            <w:r w:rsidRPr="00C608F5">
              <w:rPr>
                <w:i/>
                <w:iCs/>
                <w:sz w:val="12"/>
                <w:szCs w:val="12"/>
              </w:rPr>
              <w:t>2025/26 State Budget - Strategy and Outlook, 2025</w:t>
            </w:r>
            <w:r>
              <w:rPr>
                <w:i/>
                <w:iCs/>
                <w:sz w:val="12"/>
                <w:szCs w:val="12"/>
              </w:rPr>
              <w:t>.</w:t>
            </w:r>
          </w:p>
        </w:tc>
      </w:tr>
    </w:tbl>
    <w:p w14:paraId="3C644784" w14:textId="77777777" w:rsidR="00516A11" w:rsidRDefault="00516A11" w:rsidP="00785144">
      <w:pPr>
        <w:rPr>
          <w:i/>
          <w:iCs/>
          <w:szCs w:val="22"/>
        </w:rPr>
      </w:pPr>
    </w:p>
    <w:p w14:paraId="1AE48F12" w14:textId="77777777" w:rsidR="00BF2B34" w:rsidRDefault="00BF2B34" w:rsidP="006A0772">
      <w:pPr>
        <w:pStyle w:val="Heading1"/>
      </w:pPr>
      <w:bookmarkStart w:id="130" w:name="_Toc202524015"/>
      <w:r>
        <w:br w:type="page"/>
      </w:r>
    </w:p>
    <w:p w14:paraId="05123D60" w14:textId="77777777" w:rsidR="00BF2B34" w:rsidRDefault="00BF2B34" w:rsidP="006A0772">
      <w:pPr>
        <w:pStyle w:val="Heading1"/>
      </w:pPr>
      <w:r>
        <w:lastRenderedPageBreak/>
        <w:br w:type="page"/>
      </w:r>
    </w:p>
    <w:p w14:paraId="3210565F" w14:textId="4879D5F7" w:rsidR="006A0772" w:rsidRPr="00C368C1" w:rsidRDefault="006A0772" w:rsidP="006A0772">
      <w:pPr>
        <w:pStyle w:val="Heading1"/>
      </w:pPr>
      <w:bookmarkStart w:id="131" w:name="_Toc214912034"/>
      <w:r>
        <w:lastRenderedPageBreak/>
        <w:t xml:space="preserve">Appendix C: </w:t>
      </w:r>
      <w:r w:rsidR="00104D14">
        <w:t xml:space="preserve"> </w:t>
      </w:r>
      <w:r w:rsidRPr="00C368C1">
        <w:t>Public entity reform</w:t>
      </w:r>
      <w:bookmarkEnd w:id="130"/>
      <w:bookmarkEnd w:id="131"/>
    </w:p>
    <w:p w14:paraId="37CE5B18" w14:textId="3BD32355" w:rsidR="006A0772" w:rsidRPr="003316AA" w:rsidRDefault="006A0772" w:rsidP="003316AA">
      <w:pPr>
        <w:spacing w:before="160" w:after="80"/>
        <w:rPr>
          <w:rFonts w:asciiTheme="majorHAnsi" w:hAnsiTheme="majorHAnsi"/>
          <w:b/>
          <w:bCs/>
          <w:color w:val="0F4761" w:themeColor="accent1" w:themeShade="BF"/>
          <w:sz w:val="32"/>
          <w:szCs w:val="32"/>
        </w:rPr>
      </w:pPr>
      <w:r w:rsidRPr="003316AA">
        <w:rPr>
          <w:rFonts w:asciiTheme="majorHAnsi" w:hAnsiTheme="majorHAnsi"/>
          <w:b/>
          <w:bCs/>
          <w:color w:val="0F4761" w:themeColor="accent1" w:themeShade="BF"/>
          <w:sz w:val="32"/>
          <w:szCs w:val="32"/>
        </w:rPr>
        <w:t>C.1</w:t>
      </w:r>
      <w:r w:rsidR="007F317B" w:rsidRPr="003316AA">
        <w:rPr>
          <w:rFonts w:asciiTheme="majorHAnsi" w:hAnsiTheme="majorHAnsi"/>
          <w:b/>
          <w:bCs/>
          <w:color w:val="0F4761" w:themeColor="accent1" w:themeShade="BF"/>
          <w:sz w:val="32"/>
          <w:szCs w:val="32"/>
        </w:rPr>
        <w:t xml:space="preserve">  </w:t>
      </w:r>
      <w:r w:rsidR="00D64C10" w:rsidRPr="003316AA">
        <w:rPr>
          <w:rFonts w:asciiTheme="majorHAnsi" w:hAnsiTheme="majorHAnsi"/>
          <w:b/>
          <w:bCs/>
          <w:color w:val="0F4761" w:themeColor="accent1" w:themeShade="BF"/>
          <w:sz w:val="32"/>
          <w:szCs w:val="32"/>
        </w:rPr>
        <w:t xml:space="preserve"> </w:t>
      </w:r>
      <w:r w:rsidRPr="003316AA">
        <w:rPr>
          <w:rFonts w:asciiTheme="majorHAnsi" w:hAnsiTheme="majorHAnsi"/>
          <w:b/>
          <w:bCs/>
          <w:color w:val="0F4761" w:themeColor="accent1" w:themeShade="BF"/>
          <w:sz w:val="32"/>
          <w:szCs w:val="32"/>
        </w:rPr>
        <w:t xml:space="preserve">Assessment framework for public entities </w:t>
      </w:r>
    </w:p>
    <w:p w14:paraId="028986BB" w14:textId="1B598D88" w:rsidR="006A0772" w:rsidRPr="00152962" w:rsidRDefault="006A0772" w:rsidP="008515CE">
      <w:pPr>
        <w:rPr>
          <w:szCs w:val="22"/>
          <w:lang w:val="en-US"/>
        </w:rPr>
      </w:pPr>
      <w:r w:rsidRPr="00152962">
        <w:rPr>
          <w:b/>
          <w:bCs/>
          <w:szCs w:val="22"/>
        </w:rPr>
        <w:t>The Review identified and refined a list of public sector</w:t>
      </w:r>
      <w:r>
        <w:rPr>
          <w:b/>
          <w:bCs/>
          <w:szCs w:val="22"/>
        </w:rPr>
        <w:t xml:space="preserve"> </w:t>
      </w:r>
      <w:r w:rsidRPr="00152962">
        <w:rPr>
          <w:b/>
          <w:bCs/>
          <w:szCs w:val="22"/>
        </w:rPr>
        <w:t>structures and entities</w:t>
      </w:r>
      <w:r>
        <w:rPr>
          <w:rFonts w:ascii="Arial" w:hAnsi="Arial" w:cs="Arial"/>
          <w:szCs w:val="22"/>
          <w:lang w:val="en-US"/>
        </w:rPr>
        <w:t>.</w:t>
      </w:r>
    </w:p>
    <w:p w14:paraId="710273B2" w14:textId="55974890" w:rsidR="006A0772" w:rsidRPr="00152962" w:rsidRDefault="006A0772" w:rsidP="00D207B3">
      <w:pPr>
        <w:numPr>
          <w:ilvl w:val="0"/>
          <w:numId w:val="69"/>
        </w:numPr>
        <w:rPr>
          <w:szCs w:val="22"/>
          <w:lang w:val="en-US"/>
        </w:rPr>
      </w:pPr>
      <w:r w:rsidRPr="00152962">
        <w:rPr>
          <w:szCs w:val="22"/>
        </w:rPr>
        <w:t>The Review identified a long list of Victorian public sector structures and</w:t>
      </w:r>
      <w:r>
        <w:rPr>
          <w:szCs w:val="22"/>
        </w:rPr>
        <w:t xml:space="preserve"> </w:t>
      </w:r>
      <w:r w:rsidRPr="00152962">
        <w:rPr>
          <w:szCs w:val="22"/>
        </w:rPr>
        <w:t>entities through a range of sources, including</w:t>
      </w:r>
      <w:r>
        <w:rPr>
          <w:szCs w:val="22"/>
        </w:rPr>
        <w:t xml:space="preserve"> </w:t>
      </w:r>
      <w:r w:rsidRPr="00152962">
        <w:rPr>
          <w:szCs w:val="22"/>
        </w:rPr>
        <w:t>VPSC data and departmental websites</w:t>
      </w:r>
      <w:r>
        <w:rPr>
          <w:szCs w:val="22"/>
        </w:rPr>
        <w:t xml:space="preserve"> (Figure C.1)</w:t>
      </w:r>
      <w:r w:rsidRPr="00152962">
        <w:rPr>
          <w:szCs w:val="22"/>
        </w:rPr>
        <w:t>. </w:t>
      </w:r>
    </w:p>
    <w:p w14:paraId="061D639D" w14:textId="365316EE" w:rsidR="006A0772" w:rsidRPr="00152962" w:rsidRDefault="006A0772" w:rsidP="00D207B3">
      <w:pPr>
        <w:numPr>
          <w:ilvl w:val="0"/>
          <w:numId w:val="69"/>
        </w:numPr>
        <w:rPr>
          <w:szCs w:val="22"/>
        </w:rPr>
      </w:pPr>
      <w:r w:rsidRPr="00152962">
        <w:rPr>
          <w:szCs w:val="22"/>
        </w:rPr>
        <w:t>This process identified 500+ public sector entities which included</w:t>
      </w:r>
      <w:r>
        <w:rPr>
          <w:szCs w:val="22"/>
        </w:rPr>
        <w:t xml:space="preserve"> </w:t>
      </w:r>
      <w:r w:rsidRPr="00152962">
        <w:rPr>
          <w:szCs w:val="22"/>
        </w:rPr>
        <w:t>statutory roles, special bodies and administrative offices in the VPS;</w:t>
      </w:r>
      <w:r>
        <w:rPr>
          <w:szCs w:val="22"/>
        </w:rPr>
        <w:t xml:space="preserve"> </w:t>
      </w:r>
      <w:r w:rsidRPr="00152962">
        <w:rPr>
          <w:szCs w:val="22"/>
        </w:rPr>
        <w:t>statutory authorities; non-statutory advisory committees; public non-financial corporations and public financial corporations. An additional</w:t>
      </w:r>
      <w:r>
        <w:rPr>
          <w:szCs w:val="22"/>
        </w:rPr>
        <w:t xml:space="preserve"> </w:t>
      </w:r>
      <w:r w:rsidRPr="00152962">
        <w:rPr>
          <w:szCs w:val="22"/>
        </w:rPr>
        <w:t>90 </w:t>
      </w:r>
      <w:r w:rsidRPr="00152962">
        <w:rPr>
          <w:szCs w:val="22"/>
          <w:lang w:val="en-US"/>
        </w:rPr>
        <w:t>advisory committees w</w:t>
      </w:r>
      <w:r>
        <w:rPr>
          <w:szCs w:val="22"/>
          <w:lang w:val="en-US"/>
        </w:rPr>
        <w:t>ere</w:t>
      </w:r>
      <w:r w:rsidRPr="00152962">
        <w:rPr>
          <w:szCs w:val="22"/>
          <w:lang w:val="en-US"/>
        </w:rPr>
        <w:t xml:space="preserve"> also identified.</w:t>
      </w:r>
    </w:p>
    <w:p w14:paraId="30833077" w14:textId="27C791F5" w:rsidR="006A0772" w:rsidRPr="00152962" w:rsidRDefault="006A0772" w:rsidP="00D64C10">
      <w:pPr>
        <w:rPr>
          <w:szCs w:val="22"/>
          <w:lang w:val="en-US"/>
        </w:rPr>
      </w:pPr>
      <w:proofErr w:type="gramStart"/>
      <w:r>
        <w:rPr>
          <w:b/>
          <w:bCs/>
          <w:szCs w:val="22"/>
        </w:rPr>
        <w:t>A number of</w:t>
      </w:r>
      <w:proofErr w:type="gramEnd"/>
      <w:r w:rsidRPr="00152962">
        <w:rPr>
          <w:b/>
          <w:bCs/>
          <w:szCs w:val="22"/>
        </w:rPr>
        <w:t xml:space="preserve"> entities were not</w:t>
      </w:r>
      <w:r>
        <w:rPr>
          <w:b/>
          <w:bCs/>
          <w:szCs w:val="22"/>
        </w:rPr>
        <w:t xml:space="preserve"> </w:t>
      </w:r>
      <w:r w:rsidRPr="00152962">
        <w:rPr>
          <w:b/>
          <w:bCs/>
          <w:szCs w:val="22"/>
        </w:rPr>
        <w:t>included in the scope of the Review’s analysis</w:t>
      </w:r>
      <w:r>
        <w:rPr>
          <w:b/>
          <w:bCs/>
          <w:szCs w:val="22"/>
        </w:rPr>
        <w:t>.</w:t>
      </w:r>
    </w:p>
    <w:p w14:paraId="33E70213" w14:textId="15C7289C" w:rsidR="006A0772" w:rsidRPr="00152962" w:rsidRDefault="006A0772" w:rsidP="00D207B3">
      <w:pPr>
        <w:numPr>
          <w:ilvl w:val="0"/>
          <w:numId w:val="70"/>
        </w:numPr>
        <w:rPr>
          <w:szCs w:val="22"/>
          <w:lang w:val="en-US"/>
        </w:rPr>
      </w:pPr>
      <w:r w:rsidRPr="00152962">
        <w:rPr>
          <w:szCs w:val="22"/>
        </w:rPr>
        <w:t xml:space="preserve">The Review’s </w:t>
      </w:r>
      <w:r>
        <w:rPr>
          <w:szCs w:val="22"/>
        </w:rPr>
        <w:t>T</w:t>
      </w:r>
      <w:r w:rsidRPr="00152962">
        <w:rPr>
          <w:szCs w:val="22"/>
        </w:rPr>
        <w:t xml:space="preserve">erms of </w:t>
      </w:r>
      <w:r>
        <w:rPr>
          <w:szCs w:val="22"/>
        </w:rPr>
        <w:t>R</w:t>
      </w:r>
      <w:r w:rsidRPr="00152962">
        <w:rPr>
          <w:szCs w:val="22"/>
        </w:rPr>
        <w:t>eference state that integrity bodies and</w:t>
      </w:r>
      <w:r>
        <w:rPr>
          <w:szCs w:val="22"/>
        </w:rPr>
        <w:t xml:space="preserve"> </w:t>
      </w:r>
      <w:r w:rsidRPr="00152962">
        <w:rPr>
          <w:szCs w:val="22"/>
        </w:rPr>
        <w:t xml:space="preserve">Parliament </w:t>
      </w:r>
      <w:r w:rsidR="0034604F">
        <w:rPr>
          <w:szCs w:val="22"/>
        </w:rPr>
        <w:t>are</w:t>
      </w:r>
      <w:r w:rsidRPr="00152962">
        <w:rPr>
          <w:szCs w:val="22"/>
        </w:rPr>
        <w:t xml:space="preserve"> not in scope due to their independent functions.</w:t>
      </w:r>
      <w:r>
        <w:rPr>
          <w:szCs w:val="22"/>
        </w:rPr>
        <w:t xml:space="preserve"> </w:t>
      </w:r>
      <w:r w:rsidRPr="00152962">
        <w:rPr>
          <w:szCs w:val="22"/>
        </w:rPr>
        <w:t xml:space="preserve">These entities were excluded from the </w:t>
      </w:r>
      <w:r w:rsidR="002646DE">
        <w:rPr>
          <w:szCs w:val="22"/>
        </w:rPr>
        <w:t>analysis</w:t>
      </w:r>
      <w:r w:rsidRPr="00152962">
        <w:rPr>
          <w:szCs w:val="22"/>
        </w:rPr>
        <w:t>. </w:t>
      </w:r>
    </w:p>
    <w:p w14:paraId="40475943" w14:textId="1616129F" w:rsidR="006A0772" w:rsidRDefault="006A0772" w:rsidP="00D207B3">
      <w:pPr>
        <w:numPr>
          <w:ilvl w:val="0"/>
          <w:numId w:val="70"/>
        </w:numPr>
        <w:rPr>
          <w:szCs w:val="22"/>
          <w:lang w:val="en-US"/>
        </w:rPr>
      </w:pPr>
      <w:r w:rsidRPr="00152962">
        <w:rPr>
          <w:szCs w:val="22"/>
        </w:rPr>
        <w:t>Other entity groups were also not considered in the analysis. Frontline</w:t>
      </w:r>
      <w:r>
        <w:rPr>
          <w:szCs w:val="22"/>
        </w:rPr>
        <w:t xml:space="preserve"> </w:t>
      </w:r>
      <w:r w:rsidRPr="00152962">
        <w:rPr>
          <w:szCs w:val="22"/>
        </w:rPr>
        <w:t>workers were considered outside the scope of the Review. </w:t>
      </w:r>
      <w:r>
        <w:rPr>
          <w:szCs w:val="22"/>
        </w:rPr>
        <w:t>T</w:t>
      </w:r>
      <w:r w:rsidRPr="00152962">
        <w:rPr>
          <w:szCs w:val="22"/>
        </w:rPr>
        <w:t>he</w:t>
      </w:r>
      <w:r>
        <w:rPr>
          <w:szCs w:val="22"/>
        </w:rPr>
        <w:t>refore, the</w:t>
      </w:r>
      <w:r w:rsidRPr="00152962">
        <w:rPr>
          <w:szCs w:val="22"/>
        </w:rPr>
        <w:t xml:space="preserve"> Review </w:t>
      </w:r>
      <w:r>
        <w:rPr>
          <w:szCs w:val="22"/>
        </w:rPr>
        <w:t>did</w:t>
      </w:r>
      <w:r w:rsidRPr="00152962">
        <w:rPr>
          <w:szCs w:val="22"/>
        </w:rPr>
        <w:t xml:space="preserve"> not consider schools,</w:t>
      </w:r>
      <w:r>
        <w:rPr>
          <w:szCs w:val="22"/>
        </w:rPr>
        <w:t xml:space="preserve"> </w:t>
      </w:r>
      <w:r w:rsidRPr="00152962">
        <w:rPr>
          <w:szCs w:val="22"/>
        </w:rPr>
        <w:t>hospitals, health services and the police.</w:t>
      </w:r>
      <w:r>
        <w:rPr>
          <w:szCs w:val="22"/>
          <w:lang w:val="en-US"/>
        </w:rPr>
        <w:t xml:space="preserve"> </w:t>
      </w:r>
    </w:p>
    <w:p w14:paraId="0C382853" w14:textId="2E372F15" w:rsidR="006A0772" w:rsidRPr="00152962" w:rsidRDefault="006A0772" w:rsidP="00D207B3">
      <w:pPr>
        <w:numPr>
          <w:ilvl w:val="0"/>
          <w:numId w:val="70"/>
        </w:numPr>
        <w:rPr>
          <w:szCs w:val="22"/>
          <w:lang w:val="en-US"/>
        </w:rPr>
      </w:pPr>
      <w:r w:rsidRPr="00152962">
        <w:rPr>
          <w:szCs w:val="22"/>
          <w:lang w:val="en-US"/>
        </w:rPr>
        <w:t>Individual courts, local government and departments were also</w:t>
      </w:r>
      <w:r>
        <w:rPr>
          <w:szCs w:val="22"/>
          <w:lang w:val="en-US"/>
        </w:rPr>
        <w:t xml:space="preserve"> </w:t>
      </w:r>
      <w:r w:rsidRPr="00152962">
        <w:rPr>
          <w:szCs w:val="22"/>
          <w:lang w:val="en-US"/>
        </w:rPr>
        <w:t>excluded from the analysis.</w:t>
      </w:r>
    </w:p>
    <w:p w14:paraId="616FA87B" w14:textId="02D83BCE" w:rsidR="006A0772" w:rsidRPr="00790A7D" w:rsidRDefault="006A0772" w:rsidP="00FA2EA3">
      <w:pPr>
        <w:pStyle w:val="Figureheading"/>
      </w:pPr>
      <w:r w:rsidRPr="00790A7D">
        <w:t xml:space="preserve">Figure </w:t>
      </w:r>
      <w:r>
        <w:t>C</w:t>
      </w:r>
      <w:r w:rsidRPr="00790A7D">
        <w:t>.</w:t>
      </w:r>
      <w:r w:rsidRPr="00790A7D">
        <w:fldChar w:fldCharType="begin"/>
      </w:r>
      <w:r w:rsidRPr="00790A7D">
        <w:instrText xml:space="preserve"> SEQ Figure \* ARABIC \s 1 </w:instrText>
      </w:r>
      <w:r w:rsidRPr="00790A7D">
        <w:fldChar w:fldCharType="separate"/>
      </w:r>
      <w:r w:rsidR="009D1283">
        <w:rPr>
          <w:noProof/>
        </w:rPr>
        <w:t>1</w:t>
      </w:r>
      <w:r w:rsidRPr="00790A7D">
        <w:fldChar w:fldCharType="end"/>
      </w:r>
      <w:r w:rsidRPr="00790A7D">
        <w:t>: Entity identification framework</w:t>
      </w:r>
    </w:p>
    <w:p w14:paraId="139F5698" w14:textId="4C28FEBB" w:rsidR="006A0772" w:rsidRDefault="00057A75" w:rsidP="006A0772">
      <w:pPr>
        <w:rPr>
          <w:szCs w:val="22"/>
        </w:rPr>
      </w:pPr>
      <w:r>
        <w:rPr>
          <w:noProof/>
        </w:rPr>
        <w:drawing>
          <wp:inline distT="0" distB="0" distL="0" distR="0" wp14:anchorId="5BC120E7" wp14:editId="692D1888">
            <wp:extent cx="5247952" cy="3603099"/>
            <wp:effectExtent l="0" t="0" r="0" b="0"/>
            <wp:docPr id="433071521" name="Picture 1" descr="A diagram that outlines the process for the identification of public sector structures and entities, the removal of entities not in scope of the review's analysis and the assessment of in-scope ent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71521" name="Picture 1" descr="A diagram that outlines the process for the identification of public sector structures and entities, the removal of entities not in scope of the review's analysis and the assessment of in-scope entities. "/>
                    <pic:cNvPicPr/>
                  </pic:nvPicPr>
                  <pic:blipFill>
                    <a:blip r:embed="rId89"/>
                    <a:stretch>
                      <a:fillRect/>
                    </a:stretch>
                  </pic:blipFill>
                  <pic:spPr>
                    <a:xfrm>
                      <a:off x="0" y="0"/>
                      <a:ext cx="5271208" cy="3619066"/>
                    </a:xfrm>
                    <a:prstGeom prst="rect">
                      <a:avLst/>
                    </a:prstGeom>
                  </pic:spPr>
                </pic:pic>
              </a:graphicData>
            </a:graphic>
          </wp:inline>
        </w:drawing>
      </w:r>
    </w:p>
    <w:p w14:paraId="3BD93F0D" w14:textId="2BB16952" w:rsidR="002E0554" w:rsidRPr="002E0554" w:rsidRDefault="002E0554" w:rsidP="00D056A1">
      <w:pPr>
        <w:pStyle w:val="Caption"/>
        <w:spacing w:before="240"/>
      </w:pPr>
      <w:r w:rsidRPr="002E0554">
        <w:t>Source: Independent Review of the VPS, 2025</w:t>
      </w:r>
    </w:p>
    <w:p w14:paraId="729F353A" w14:textId="5A380E4C" w:rsidR="006A0772" w:rsidRPr="00C651B9" w:rsidRDefault="006A0772" w:rsidP="006A0772">
      <w:pPr>
        <w:rPr>
          <w:szCs w:val="22"/>
          <w:lang w:val="en-US"/>
        </w:rPr>
      </w:pPr>
      <w:r w:rsidRPr="00C651B9">
        <w:rPr>
          <w:b/>
          <w:bCs/>
          <w:szCs w:val="22"/>
          <w:lang w:val="en-US"/>
        </w:rPr>
        <w:lastRenderedPageBreak/>
        <w:t xml:space="preserve">A structured assessment framework </w:t>
      </w:r>
      <w:r>
        <w:rPr>
          <w:b/>
          <w:bCs/>
          <w:szCs w:val="22"/>
          <w:lang w:val="en-US"/>
        </w:rPr>
        <w:t xml:space="preserve">has </w:t>
      </w:r>
      <w:r w:rsidRPr="00C651B9">
        <w:rPr>
          <w:b/>
          <w:bCs/>
          <w:szCs w:val="22"/>
          <w:lang w:val="en-US"/>
        </w:rPr>
        <w:t>guide</w:t>
      </w:r>
      <w:r>
        <w:rPr>
          <w:b/>
          <w:bCs/>
          <w:szCs w:val="22"/>
          <w:lang w:val="en-US"/>
        </w:rPr>
        <w:t>d</w:t>
      </w:r>
      <w:r w:rsidRPr="00C651B9">
        <w:rPr>
          <w:b/>
          <w:bCs/>
          <w:szCs w:val="22"/>
          <w:lang w:val="en-US"/>
        </w:rPr>
        <w:t xml:space="preserve"> entity recommendations</w:t>
      </w:r>
      <w:r>
        <w:rPr>
          <w:rFonts w:ascii="Arial" w:hAnsi="Arial" w:cs="Arial"/>
          <w:szCs w:val="22"/>
          <w:lang w:val="en-US"/>
        </w:rPr>
        <w:t>.</w:t>
      </w:r>
    </w:p>
    <w:p w14:paraId="60C9DEA4" w14:textId="219B3474" w:rsidR="006A0772" w:rsidRPr="00C651B9" w:rsidRDefault="006A0772" w:rsidP="00D207B3">
      <w:pPr>
        <w:numPr>
          <w:ilvl w:val="0"/>
          <w:numId w:val="71"/>
        </w:numPr>
        <w:rPr>
          <w:szCs w:val="22"/>
          <w:lang w:val="en-US"/>
        </w:rPr>
      </w:pPr>
      <w:r w:rsidRPr="00C651B9">
        <w:rPr>
          <w:szCs w:val="22"/>
        </w:rPr>
        <w:t>The Review developed a structured assessment framework, using sequential lines of</w:t>
      </w:r>
      <w:r>
        <w:rPr>
          <w:szCs w:val="22"/>
        </w:rPr>
        <w:t xml:space="preserve"> </w:t>
      </w:r>
      <w:r w:rsidRPr="00C651B9">
        <w:rPr>
          <w:szCs w:val="22"/>
        </w:rPr>
        <w:t>enquiry to identify specific reform opportunities across Victorian public sector entities.</w:t>
      </w:r>
      <w:r>
        <w:rPr>
          <w:szCs w:val="22"/>
        </w:rPr>
        <w:t xml:space="preserve"> </w:t>
      </w:r>
      <w:r w:rsidRPr="00C651B9">
        <w:rPr>
          <w:szCs w:val="22"/>
          <w:lang w:val="en-US"/>
        </w:rPr>
        <w:t>This aligns with Victorian Government guidelines for entities and previous approaches to</w:t>
      </w:r>
      <w:r>
        <w:rPr>
          <w:szCs w:val="22"/>
          <w:lang w:val="en-US"/>
        </w:rPr>
        <w:t xml:space="preserve"> </w:t>
      </w:r>
      <w:r w:rsidRPr="00C651B9">
        <w:rPr>
          <w:szCs w:val="22"/>
          <w:lang w:val="en-US"/>
        </w:rPr>
        <w:t>assess entities. It has been adapted to align with th</w:t>
      </w:r>
      <w:r w:rsidRPr="00031122">
        <w:rPr>
          <w:szCs w:val="22"/>
          <w:lang w:val="en-US"/>
        </w:rPr>
        <w:t>e criteria</w:t>
      </w:r>
      <w:r w:rsidRPr="00C651B9">
        <w:rPr>
          <w:szCs w:val="22"/>
          <w:lang w:val="en-US"/>
        </w:rPr>
        <w:t xml:space="preserve"> used across the Review.</w:t>
      </w:r>
      <w:r w:rsidRPr="00031122">
        <w:rPr>
          <w:rFonts w:cs="Arial"/>
          <w:szCs w:val="22"/>
          <w:lang w:val="en-US"/>
        </w:rPr>
        <w:t xml:space="preserve"> The framework is </w:t>
      </w:r>
      <w:r>
        <w:rPr>
          <w:rFonts w:cs="Arial"/>
          <w:szCs w:val="22"/>
          <w:lang w:val="en-US"/>
        </w:rPr>
        <w:t>shown</w:t>
      </w:r>
      <w:r w:rsidRPr="00031122">
        <w:rPr>
          <w:rFonts w:cs="Arial"/>
          <w:szCs w:val="22"/>
          <w:lang w:val="en-US"/>
        </w:rPr>
        <w:t xml:space="preserve"> in Chapter 6.</w:t>
      </w:r>
    </w:p>
    <w:p w14:paraId="3B6F1B0F" w14:textId="660087B3" w:rsidR="006A0772" w:rsidRPr="00C651B9" w:rsidRDefault="006A0772" w:rsidP="00D207B3">
      <w:pPr>
        <w:numPr>
          <w:ilvl w:val="0"/>
          <w:numId w:val="71"/>
        </w:numPr>
        <w:rPr>
          <w:szCs w:val="22"/>
          <w:lang w:val="en-US"/>
        </w:rPr>
      </w:pPr>
      <w:r w:rsidRPr="00C651B9">
        <w:rPr>
          <w:szCs w:val="22"/>
          <w:lang w:val="en-US"/>
        </w:rPr>
        <w:t>Each entity has an assessed opportunity for reform</w:t>
      </w:r>
      <w:r w:rsidR="00E07C68">
        <w:rPr>
          <w:szCs w:val="22"/>
          <w:lang w:val="en-US"/>
        </w:rPr>
        <w:t>,</w:t>
      </w:r>
      <w:r w:rsidRPr="00C651B9">
        <w:rPr>
          <w:szCs w:val="22"/>
          <w:lang w:val="en-US"/>
        </w:rPr>
        <w:t xml:space="preserve"> aligned to defined criteria. The</w:t>
      </w:r>
      <w:r>
        <w:rPr>
          <w:szCs w:val="22"/>
          <w:lang w:val="en-US"/>
        </w:rPr>
        <w:t xml:space="preserve"> </w:t>
      </w:r>
      <w:r w:rsidRPr="00C651B9">
        <w:rPr>
          <w:szCs w:val="22"/>
          <w:lang w:val="en-US"/>
        </w:rPr>
        <w:t>assessment framework was used to both identify individual opportunities from first</w:t>
      </w:r>
      <w:r>
        <w:rPr>
          <w:szCs w:val="22"/>
          <w:lang w:val="en-US"/>
        </w:rPr>
        <w:t xml:space="preserve"> </w:t>
      </w:r>
      <w:r w:rsidRPr="00C651B9">
        <w:rPr>
          <w:szCs w:val="22"/>
          <w:lang w:val="en-US"/>
        </w:rPr>
        <w:t>principles for each public entity; and to identify cluster opportunities led by hypotheses</w:t>
      </w:r>
      <w:r>
        <w:rPr>
          <w:szCs w:val="22"/>
          <w:lang w:val="en-US"/>
        </w:rPr>
        <w:t xml:space="preserve"> </w:t>
      </w:r>
      <w:r w:rsidRPr="00C651B9">
        <w:rPr>
          <w:szCs w:val="22"/>
          <w:lang w:val="en-US"/>
        </w:rPr>
        <w:t>across entities. This assessed opportunity was further refined to consider feasibility and</w:t>
      </w:r>
      <w:r>
        <w:rPr>
          <w:szCs w:val="22"/>
          <w:lang w:val="en-US"/>
        </w:rPr>
        <w:t xml:space="preserve"> </w:t>
      </w:r>
      <w:r w:rsidRPr="00C651B9">
        <w:rPr>
          <w:szCs w:val="22"/>
          <w:lang w:val="en-US"/>
        </w:rPr>
        <w:t>viability of reform.</w:t>
      </w:r>
    </w:p>
    <w:p w14:paraId="2A07B322" w14:textId="3D62CE6C" w:rsidR="00BB3962" w:rsidRPr="006C4E62" w:rsidRDefault="006A0772" w:rsidP="00C968B4">
      <w:pPr>
        <w:numPr>
          <w:ilvl w:val="0"/>
          <w:numId w:val="71"/>
        </w:numPr>
        <w:rPr>
          <w:szCs w:val="22"/>
          <w:lang w:val="en-US"/>
        </w:rPr>
      </w:pPr>
      <w:r w:rsidRPr="00C651B9">
        <w:rPr>
          <w:szCs w:val="22"/>
          <w:lang w:val="en-US"/>
        </w:rPr>
        <w:t xml:space="preserve">Entities that </w:t>
      </w:r>
      <w:r>
        <w:rPr>
          <w:szCs w:val="22"/>
          <w:lang w:val="en-US"/>
        </w:rPr>
        <w:t>passed</w:t>
      </w:r>
      <w:r w:rsidRPr="00C651B9">
        <w:rPr>
          <w:szCs w:val="22"/>
          <w:lang w:val="en-US"/>
        </w:rPr>
        <w:t xml:space="preserve"> all criteria are recommended for retention. The</w:t>
      </w:r>
      <w:r>
        <w:rPr>
          <w:szCs w:val="22"/>
          <w:lang w:val="en-US"/>
        </w:rPr>
        <w:t>y</w:t>
      </w:r>
      <w:r w:rsidRPr="00C651B9">
        <w:rPr>
          <w:szCs w:val="22"/>
          <w:lang w:val="en-US"/>
        </w:rPr>
        <w:t xml:space="preserve"> are not presented</w:t>
      </w:r>
      <w:r>
        <w:rPr>
          <w:szCs w:val="22"/>
          <w:lang w:val="en-US"/>
        </w:rPr>
        <w:t xml:space="preserve"> </w:t>
      </w:r>
      <w:r w:rsidRPr="00C651B9">
        <w:rPr>
          <w:szCs w:val="22"/>
          <w:lang w:val="en-US"/>
        </w:rPr>
        <w:t>through the Review.</w:t>
      </w:r>
    </w:p>
    <w:p w14:paraId="0543FBBD" w14:textId="32F3FE80" w:rsidR="006A0772" w:rsidRPr="003316AA" w:rsidRDefault="006A0772" w:rsidP="003316AA">
      <w:pPr>
        <w:spacing w:before="160" w:after="80"/>
        <w:rPr>
          <w:rFonts w:asciiTheme="majorHAnsi" w:hAnsiTheme="majorHAnsi"/>
          <w:b/>
          <w:bCs/>
          <w:color w:val="0F4761" w:themeColor="accent1" w:themeShade="BF"/>
          <w:sz w:val="32"/>
          <w:szCs w:val="32"/>
        </w:rPr>
      </w:pPr>
      <w:r w:rsidRPr="003316AA">
        <w:rPr>
          <w:rFonts w:asciiTheme="majorHAnsi" w:hAnsiTheme="majorHAnsi"/>
          <w:b/>
          <w:bCs/>
          <w:color w:val="0F4761" w:themeColor="accent1" w:themeShade="BF"/>
          <w:sz w:val="32"/>
          <w:szCs w:val="32"/>
        </w:rPr>
        <w:t>C.2</w:t>
      </w:r>
      <w:r w:rsidR="007F317B" w:rsidRPr="003316AA">
        <w:rPr>
          <w:rFonts w:asciiTheme="majorHAnsi" w:hAnsiTheme="majorHAnsi"/>
          <w:b/>
          <w:bCs/>
          <w:color w:val="0F4761" w:themeColor="accent1" w:themeShade="BF"/>
          <w:sz w:val="32"/>
          <w:szCs w:val="32"/>
        </w:rPr>
        <w:t xml:space="preserve">  </w:t>
      </w:r>
      <w:r w:rsidRPr="003316AA">
        <w:rPr>
          <w:rFonts w:asciiTheme="majorHAnsi" w:hAnsiTheme="majorHAnsi"/>
          <w:b/>
          <w:bCs/>
          <w:color w:val="0F4761" w:themeColor="accent1" w:themeShade="BF"/>
          <w:sz w:val="32"/>
          <w:szCs w:val="32"/>
        </w:rPr>
        <w:t xml:space="preserve"> Recommended entity changes – interim recommendations</w:t>
      </w:r>
    </w:p>
    <w:p w14:paraId="5F91F268" w14:textId="1295CA65" w:rsidR="002B457A" w:rsidRPr="00A91FB0" w:rsidRDefault="006A0772" w:rsidP="006A0772">
      <w:pPr>
        <w:rPr>
          <w:rFonts w:ascii="Arial" w:hAnsi="Arial" w:cs="Arial"/>
          <w:szCs w:val="22"/>
          <w:lang w:val="en-US"/>
        </w:rPr>
      </w:pPr>
      <w:r>
        <w:rPr>
          <w:szCs w:val="22"/>
          <w:lang w:val="en-US"/>
        </w:rPr>
        <w:t>This list provides a summary of entity changes supported by the Review and included in the 2025/26 Victorian Budget</w:t>
      </w:r>
      <w:r w:rsidRPr="00D01A51">
        <w:rPr>
          <w:rFonts w:cs="Arial"/>
          <w:szCs w:val="22"/>
          <w:lang w:val="en-US"/>
        </w:rPr>
        <w:t>.</w:t>
      </w:r>
      <w:r w:rsidR="00D01A51" w:rsidRPr="00D01A51">
        <w:rPr>
          <w:rFonts w:cs="Arial"/>
          <w:szCs w:val="22"/>
          <w:lang w:val="en-US"/>
        </w:rPr>
        <w:t xml:space="preserve"> </w:t>
      </w:r>
      <w:r w:rsidR="00D01A51" w:rsidRPr="007A535D">
        <w:rPr>
          <w:rFonts w:cs="Arial"/>
          <w:szCs w:val="22"/>
          <w:lang w:val="en-US"/>
        </w:rPr>
        <w:t>These were based on proposals developed by departments for the 2025</w:t>
      </w:r>
      <w:r w:rsidR="00E96932">
        <w:t>–</w:t>
      </w:r>
      <w:r w:rsidR="00D01A51" w:rsidRPr="007A535D">
        <w:rPr>
          <w:rFonts w:cs="Arial"/>
          <w:szCs w:val="22"/>
          <w:lang w:val="en-US"/>
        </w:rPr>
        <w:t>26 budget process.</w:t>
      </w:r>
    </w:p>
    <w:tbl>
      <w:tblPr>
        <w:tblStyle w:val="TableGrid"/>
        <w:tblW w:w="9227" w:type="dxa"/>
        <w:tblBorders>
          <w:left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227"/>
      </w:tblGrid>
      <w:tr w:rsidR="00297A91" w14:paraId="1E4E6D74" w14:textId="77777777" w:rsidTr="001D2C0A">
        <w:trPr>
          <w:trHeight w:val="392"/>
          <w:tblHeader/>
        </w:trPr>
        <w:tc>
          <w:tcPr>
            <w:tcW w:w="9227" w:type="dxa"/>
            <w:shd w:val="clear" w:color="auto" w:fill="0E2841" w:themeFill="text2"/>
            <w:vAlign w:val="center"/>
          </w:tcPr>
          <w:p w14:paraId="2BEC2B86" w14:textId="0815EC29" w:rsidR="00297A91" w:rsidRDefault="00297A91" w:rsidP="00B46D06">
            <w:pPr>
              <w:spacing w:before="80" w:after="80"/>
              <w:rPr>
                <w:b/>
                <w:bCs/>
              </w:rPr>
            </w:pPr>
            <w:r w:rsidRPr="00F40D63">
              <w:rPr>
                <w:b/>
                <w:szCs w:val="22"/>
              </w:rPr>
              <w:t xml:space="preserve">Initiative </w:t>
            </w:r>
            <w:r>
              <w:rPr>
                <w:b/>
                <w:szCs w:val="22"/>
              </w:rPr>
              <w:t>s</w:t>
            </w:r>
            <w:r w:rsidRPr="00F40D63">
              <w:rPr>
                <w:b/>
                <w:szCs w:val="22"/>
              </w:rPr>
              <w:t>ummary</w:t>
            </w:r>
            <w:r>
              <w:rPr>
                <w:b/>
                <w:szCs w:val="22"/>
              </w:rPr>
              <w:t xml:space="preserve"> and benefit</w:t>
            </w:r>
          </w:p>
        </w:tc>
      </w:tr>
      <w:tr w:rsidR="006A0772" w:rsidRPr="00F40D63" w14:paraId="294ED06A" w14:textId="77777777" w:rsidTr="001D2C0A">
        <w:trPr>
          <w:trHeight w:val="364"/>
        </w:trPr>
        <w:tc>
          <w:tcPr>
            <w:tcW w:w="9227" w:type="dxa"/>
          </w:tcPr>
          <w:p w14:paraId="41C9B057" w14:textId="77777777" w:rsidR="006A0772" w:rsidRDefault="006A0772" w:rsidP="00B46D06">
            <w:pPr>
              <w:spacing w:before="80" w:after="80"/>
              <w:rPr>
                <w:b/>
                <w:bCs/>
                <w:szCs w:val="22"/>
              </w:rPr>
            </w:pPr>
            <w:r w:rsidRPr="00107EFD">
              <w:rPr>
                <w:b/>
                <w:szCs w:val="22"/>
              </w:rPr>
              <w:t>Abolish the Motor Car Traders Claims Committee</w:t>
            </w:r>
          </w:p>
          <w:p w14:paraId="717ED218" w14:textId="77777777" w:rsidR="006A0772" w:rsidRPr="0041293B" w:rsidRDefault="006A0772" w:rsidP="00B46D06">
            <w:pPr>
              <w:spacing w:before="80" w:after="80"/>
              <w:rPr>
                <w:szCs w:val="22"/>
              </w:rPr>
            </w:pPr>
            <w:r>
              <w:rPr>
                <w:szCs w:val="22"/>
              </w:rPr>
              <w:t>Creates operational efficiencies by transferring functions to DGS to deliver similar outcomes.</w:t>
            </w:r>
          </w:p>
        </w:tc>
      </w:tr>
      <w:tr w:rsidR="006A0772" w:rsidRPr="00F40D63" w14:paraId="2FE2A821" w14:textId="77777777" w:rsidTr="001D2C0A">
        <w:trPr>
          <w:trHeight w:val="364"/>
        </w:trPr>
        <w:tc>
          <w:tcPr>
            <w:tcW w:w="9227" w:type="dxa"/>
          </w:tcPr>
          <w:p w14:paraId="4F9E4959" w14:textId="77777777" w:rsidR="006A0772" w:rsidRDefault="006A0772" w:rsidP="00B46D06">
            <w:pPr>
              <w:spacing w:before="80" w:after="80"/>
              <w:rPr>
                <w:b/>
                <w:bCs/>
                <w:szCs w:val="22"/>
              </w:rPr>
            </w:pPr>
            <w:r w:rsidRPr="00107EFD">
              <w:rPr>
                <w:b/>
                <w:szCs w:val="22"/>
              </w:rPr>
              <w:t>Abolish the Victorian Government Purchasing Board and transfer functions to DGS</w:t>
            </w:r>
          </w:p>
          <w:p w14:paraId="0670C92E" w14:textId="77777777" w:rsidR="006A0772" w:rsidRPr="0041293B" w:rsidRDefault="006A0772" w:rsidP="00B46D06">
            <w:pPr>
              <w:spacing w:before="80" w:after="80"/>
              <w:rPr>
                <w:b/>
                <w:szCs w:val="22"/>
              </w:rPr>
            </w:pPr>
            <w:r>
              <w:rPr>
                <w:szCs w:val="22"/>
              </w:rPr>
              <w:t>Creates operational efficiencies by transferring functions to DGS to deliver similar outcomes.</w:t>
            </w:r>
          </w:p>
        </w:tc>
      </w:tr>
      <w:tr w:rsidR="006A0772" w:rsidRPr="00F40D63" w14:paraId="007D8B25" w14:textId="77777777" w:rsidTr="001D2C0A">
        <w:trPr>
          <w:trHeight w:val="350"/>
        </w:trPr>
        <w:tc>
          <w:tcPr>
            <w:tcW w:w="9227" w:type="dxa"/>
          </w:tcPr>
          <w:p w14:paraId="2558B93B" w14:textId="77777777" w:rsidR="006A0772" w:rsidRDefault="006A0772" w:rsidP="00B46D06">
            <w:pPr>
              <w:spacing w:before="80" w:after="80"/>
              <w:rPr>
                <w:b/>
                <w:bCs/>
                <w:szCs w:val="22"/>
              </w:rPr>
            </w:pPr>
            <w:r w:rsidRPr="00107EFD">
              <w:rPr>
                <w:b/>
                <w:szCs w:val="22"/>
              </w:rPr>
              <w:t>Abolish the Victorian Marine and Coastal Council</w:t>
            </w:r>
          </w:p>
          <w:p w14:paraId="57C6CB99" w14:textId="77777777" w:rsidR="006A0772" w:rsidRPr="0041293B" w:rsidRDefault="006A0772" w:rsidP="00B46D06">
            <w:pPr>
              <w:spacing w:before="80" w:after="80"/>
              <w:rPr>
                <w:b/>
                <w:szCs w:val="22"/>
              </w:rPr>
            </w:pPr>
            <w:r>
              <w:rPr>
                <w:szCs w:val="22"/>
              </w:rPr>
              <w:t>Reduces duplicative functions and costs to government.</w:t>
            </w:r>
          </w:p>
        </w:tc>
      </w:tr>
      <w:tr w:rsidR="006A0772" w:rsidRPr="00F40D63" w14:paraId="14710407" w14:textId="77777777" w:rsidTr="001D2C0A">
        <w:trPr>
          <w:trHeight w:val="364"/>
        </w:trPr>
        <w:tc>
          <w:tcPr>
            <w:tcW w:w="9227" w:type="dxa"/>
          </w:tcPr>
          <w:p w14:paraId="6B4FC6C2" w14:textId="77777777" w:rsidR="006A0772" w:rsidRDefault="006A0772" w:rsidP="00B46D06">
            <w:pPr>
              <w:spacing w:before="80" w:after="80"/>
              <w:rPr>
                <w:b/>
                <w:bCs/>
                <w:szCs w:val="22"/>
              </w:rPr>
            </w:pPr>
            <w:r w:rsidRPr="00107EFD">
              <w:rPr>
                <w:b/>
                <w:szCs w:val="22"/>
              </w:rPr>
              <w:t>Absorb the Mine Land Rehabilitation Authority (MLRA) into the Resources Victoria Group</w:t>
            </w:r>
            <w:r>
              <w:rPr>
                <w:b/>
                <w:szCs w:val="22"/>
              </w:rPr>
              <w:t xml:space="preserve"> (DEECA)</w:t>
            </w:r>
            <w:r w:rsidRPr="00107EFD">
              <w:rPr>
                <w:b/>
                <w:szCs w:val="22"/>
              </w:rPr>
              <w:t xml:space="preserve"> and scale back MLRA functional activities</w:t>
            </w:r>
          </w:p>
          <w:p w14:paraId="6E88E2C8" w14:textId="77777777" w:rsidR="006A0772" w:rsidRPr="007009DC" w:rsidRDefault="006A0772" w:rsidP="00B46D06">
            <w:pPr>
              <w:spacing w:before="80" w:after="80"/>
              <w:rPr>
                <w:szCs w:val="22"/>
              </w:rPr>
            </w:pPr>
            <w:r w:rsidRPr="007009DC">
              <w:rPr>
                <w:szCs w:val="22"/>
              </w:rPr>
              <w:t>Reduce</w:t>
            </w:r>
            <w:r>
              <w:rPr>
                <w:szCs w:val="22"/>
              </w:rPr>
              <w:t>s</w:t>
            </w:r>
            <w:r w:rsidRPr="007009DC">
              <w:rPr>
                <w:szCs w:val="22"/>
              </w:rPr>
              <w:t xml:space="preserve"> duplicati</w:t>
            </w:r>
            <w:r>
              <w:rPr>
                <w:szCs w:val="22"/>
              </w:rPr>
              <w:t>ve functions and</w:t>
            </w:r>
            <w:r w:rsidRPr="007009DC">
              <w:rPr>
                <w:szCs w:val="22"/>
              </w:rPr>
              <w:t xml:space="preserve"> costs to government.</w:t>
            </w:r>
          </w:p>
        </w:tc>
      </w:tr>
      <w:tr w:rsidR="006A0772" w:rsidRPr="00F40D63" w14:paraId="4FB2DBA4" w14:textId="77777777" w:rsidTr="001D2C0A">
        <w:trPr>
          <w:trHeight w:val="364"/>
        </w:trPr>
        <w:tc>
          <w:tcPr>
            <w:tcW w:w="9227" w:type="dxa"/>
          </w:tcPr>
          <w:p w14:paraId="4EB42D46" w14:textId="77777777" w:rsidR="006A0772" w:rsidRDefault="006A0772" w:rsidP="00B46D06">
            <w:pPr>
              <w:spacing w:before="80" w:after="80"/>
              <w:rPr>
                <w:b/>
                <w:bCs/>
                <w:szCs w:val="22"/>
              </w:rPr>
            </w:pPr>
            <w:r w:rsidRPr="00107EFD">
              <w:rPr>
                <w:b/>
                <w:szCs w:val="22"/>
              </w:rPr>
              <w:t>Abolish the Victorian Public Sector Commission Advisory Board</w:t>
            </w:r>
          </w:p>
          <w:p w14:paraId="7139C120" w14:textId="77777777" w:rsidR="006A0772" w:rsidRPr="005B29FE" w:rsidRDefault="006A0772" w:rsidP="00B46D06">
            <w:pPr>
              <w:spacing w:before="80" w:after="80"/>
              <w:rPr>
                <w:szCs w:val="22"/>
              </w:rPr>
            </w:pPr>
            <w:r>
              <w:rPr>
                <w:szCs w:val="22"/>
              </w:rPr>
              <w:t>Streamlines governance and reduce administrative burden in government.</w:t>
            </w:r>
          </w:p>
        </w:tc>
      </w:tr>
      <w:tr w:rsidR="006A0772" w:rsidRPr="00F40D63" w14:paraId="2B1CADF2" w14:textId="77777777" w:rsidTr="001D2C0A">
        <w:trPr>
          <w:trHeight w:val="364"/>
        </w:trPr>
        <w:tc>
          <w:tcPr>
            <w:tcW w:w="9227" w:type="dxa"/>
          </w:tcPr>
          <w:p w14:paraId="1BA0F587" w14:textId="39D86183" w:rsidR="006A0772" w:rsidRDefault="006A0772" w:rsidP="00B46D06">
            <w:pPr>
              <w:spacing w:before="80" w:after="80"/>
              <w:rPr>
                <w:b/>
                <w:bCs/>
                <w:szCs w:val="22"/>
              </w:rPr>
            </w:pPr>
            <w:r w:rsidRPr="00107EFD">
              <w:rPr>
                <w:b/>
                <w:szCs w:val="22"/>
              </w:rPr>
              <w:t>Abolish Cladding Safety Victoria</w:t>
            </w:r>
            <w:r w:rsidR="00D01A51">
              <w:rPr>
                <w:b/>
                <w:szCs w:val="22"/>
              </w:rPr>
              <w:t xml:space="preserve"> </w:t>
            </w:r>
            <w:r w:rsidR="00D01A51" w:rsidRPr="003E659D">
              <w:rPr>
                <w:b/>
                <w:szCs w:val="22"/>
              </w:rPr>
              <w:t>(at the end of its remit)</w:t>
            </w:r>
          </w:p>
          <w:p w14:paraId="08F7F272" w14:textId="77777777" w:rsidR="006A0772" w:rsidRPr="00FA15BD" w:rsidRDefault="006A0772" w:rsidP="00B46D06">
            <w:pPr>
              <w:spacing w:before="80" w:after="80"/>
              <w:rPr>
                <w:szCs w:val="22"/>
              </w:rPr>
            </w:pPr>
            <w:r>
              <w:rPr>
                <w:szCs w:val="22"/>
              </w:rPr>
              <w:t>Reduces costs and administrative burden associated with legacy structures.</w:t>
            </w:r>
          </w:p>
        </w:tc>
      </w:tr>
    </w:tbl>
    <w:p w14:paraId="0D43FBBF" w14:textId="77777777" w:rsidR="00764B61" w:rsidRDefault="00764B61"/>
    <w:p w14:paraId="060A9F34" w14:textId="77777777" w:rsidR="00E04BFB" w:rsidRDefault="00E04BFB"/>
    <w:p w14:paraId="293528BE" w14:textId="77777777" w:rsidR="00D23E58" w:rsidRDefault="00D23E58"/>
    <w:tbl>
      <w:tblPr>
        <w:tblStyle w:val="TableGrid"/>
        <w:tblW w:w="9227" w:type="dxa"/>
        <w:tblBorders>
          <w:left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227"/>
      </w:tblGrid>
      <w:tr w:rsidR="006E6635" w:rsidRPr="00F40D63" w14:paraId="366F0989" w14:textId="77777777" w:rsidTr="006E6635">
        <w:trPr>
          <w:trHeight w:val="364"/>
        </w:trPr>
        <w:tc>
          <w:tcPr>
            <w:tcW w:w="9227" w:type="dxa"/>
            <w:tcBorders>
              <w:top w:val="nil"/>
              <w:bottom w:val="nil"/>
            </w:tcBorders>
            <w:shd w:val="clear" w:color="auto" w:fill="0A2F41" w:themeFill="accent1" w:themeFillShade="80"/>
          </w:tcPr>
          <w:p w14:paraId="1412F5DE" w14:textId="55FF5D0E" w:rsidR="006E6635" w:rsidRPr="00107EFD" w:rsidRDefault="006E6635" w:rsidP="00B46D06">
            <w:pPr>
              <w:spacing w:before="80" w:after="80"/>
              <w:rPr>
                <w:b/>
                <w:szCs w:val="22"/>
              </w:rPr>
            </w:pPr>
            <w:r w:rsidRPr="00F40D63">
              <w:rPr>
                <w:b/>
                <w:szCs w:val="22"/>
              </w:rPr>
              <w:lastRenderedPageBreak/>
              <w:t xml:space="preserve">Initiative </w:t>
            </w:r>
            <w:r>
              <w:rPr>
                <w:b/>
                <w:szCs w:val="22"/>
              </w:rPr>
              <w:t>s</w:t>
            </w:r>
            <w:r w:rsidRPr="00F40D63">
              <w:rPr>
                <w:b/>
                <w:szCs w:val="22"/>
              </w:rPr>
              <w:t>ummary</w:t>
            </w:r>
            <w:r>
              <w:rPr>
                <w:b/>
                <w:szCs w:val="22"/>
              </w:rPr>
              <w:t xml:space="preserve"> and benefit</w:t>
            </w:r>
          </w:p>
        </w:tc>
      </w:tr>
      <w:tr w:rsidR="006A0772" w:rsidRPr="00F40D63" w14:paraId="18143652" w14:textId="77777777" w:rsidTr="006E6635">
        <w:trPr>
          <w:trHeight w:val="364"/>
        </w:trPr>
        <w:tc>
          <w:tcPr>
            <w:tcW w:w="9227" w:type="dxa"/>
            <w:tcBorders>
              <w:top w:val="nil"/>
            </w:tcBorders>
          </w:tcPr>
          <w:p w14:paraId="57C4907C" w14:textId="77777777" w:rsidR="006A0772" w:rsidRDefault="006A0772" w:rsidP="00B46D06">
            <w:pPr>
              <w:spacing w:before="80" w:after="80"/>
              <w:rPr>
                <w:b/>
                <w:bCs/>
                <w:szCs w:val="22"/>
              </w:rPr>
            </w:pPr>
            <w:r w:rsidRPr="00107EFD">
              <w:rPr>
                <w:b/>
                <w:szCs w:val="22"/>
              </w:rPr>
              <w:t xml:space="preserve">Consolidate mRNA Vic and Medical Research, Innovation and Technology functions </w:t>
            </w:r>
            <w:r>
              <w:rPr>
                <w:b/>
                <w:szCs w:val="22"/>
              </w:rPr>
              <w:t>with</w:t>
            </w:r>
            <w:r w:rsidRPr="00107EFD">
              <w:rPr>
                <w:b/>
                <w:szCs w:val="22"/>
              </w:rPr>
              <w:t>in DJSIR</w:t>
            </w:r>
          </w:p>
          <w:p w14:paraId="2AE7C242" w14:textId="77777777" w:rsidR="006A0772" w:rsidRPr="006F5F2D" w:rsidRDefault="006A0772" w:rsidP="00B46D06">
            <w:pPr>
              <w:spacing w:before="80" w:after="80"/>
              <w:rPr>
                <w:szCs w:val="22"/>
              </w:rPr>
            </w:pPr>
            <w:r>
              <w:rPr>
                <w:szCs w:val="22"/>
              </w:rPr>
              <w:t>Creates operational efficiencies and r</w:t>
            </w:r>
            <w:r w:rsidRPr="006F5F2D">
              <w:rPr>
                <w:szCs w:val="22"/>
              </w:rPr>
              <w:t>educe</w:t>
            </w:r>
            <w:r>
              <w:rPr>
                <w:szCs w:val="22"/>
              </w:rPr>
              <w:t>s</w:t>
            </w:r>
            <w:r w:rsidRPr="006F5F2D">
              <w:rPr>
                <w:szCs w:val="22"/>
              </w:rPr>
              <w:t xml:space="preserve"> administrative costs to government.</w:t>
            </w:r>
          </w:p>
        </w:tc>
      </w:tr>
      <w:tr w:rsidR="006A0772" w:rsidRPr="00F40D63" w14:paraId="257A56A1" w14:textId="77777777" w:rsidTr="001D2C0A">
        <w:trPr>
          <w:trHeight w:val="364"/>
        </w:trPr>
        <w:tc>
          <w:tcPr>
            <w:tcW w:w="9227" w:type="dxa"/>
          </w:tcPr>
          <w:p w14:paraId="5A74A12F" w14:textId="77777777" w:rsidR="006A0772" w:rsidRDefault="006A0772" w:rsidP="00B46D06">
            <w:pPr>
              <w:spacing w:before="80" w:after="80"/>
              <w:rPr>
                <w:b/>
                <w:bCs/>
                <w:szCs w:val="22"/>
              </w:rPr>
            </w:pPr>
            <w:r w:rsidRPr="00107EFD">
              <w:rPr>
                <w:b/>
                <w:szCs w:val="22"/>
              </w:rPr>
              <w:t>Abolish the Trade and Investment advisory board</w:t>
            </w:r>
          </w:p>
          <w:p w14:paraId="47586728" w14:textId="77777777" w:rsidR="006A0772" w:rsidRPr="0041293B" w:rsidRDefault="006A0772" w:rsidP="00B46D06">
            <w:pPr>
              <w:spacing w:before="80" w:after="80"/>
              <w:rPr>
                <w:b/>
                <w:szCs w:val="22"/>
              </w:rPr>
            </w:pPr>
            <w:r>
              <w:rPr>
                <w:szCs w:val="22"/>
              </w:rPr>
              <w:t>Streamlines governance and reduces administrative burden in government.</w:t>
            </w:r>
          </w:p>
        </w:tc>
      </w:tr>
      <w:tr w:rsidR="006A0772" w:rsidRPr="00F40D63" w14:paraId="611C4891" w14:textId="77777777" w:rsidTr="001D2C0A">
        <w:trPr>
          <w:trHeight w:val="364"/>
        </w:trPr>
        <w:tc>
          <w:tcPr>
            <w:tcW w:w="9227" w:type="dxa"/>
          </w:tcPr>
          <w:p w14:paraId="615A23F2" w14:textId="77777777" w:rsidR="006A0772" w:rsidRPr="00A45659" w:rsidRDefault="006A0772" w:rsidP="00B46D06">
            <w:pPr>
              <w:spacing w:before="80" w:after="80"/>
              <w:rPr>
                <w:b/>
                <w:szCs w:val="22"/>
              </w:rPr>
            </w:pPr>
            <w:r w:rsidRPr="00A45659">
              <w:rPr>
                <w:b/>
                <w:szCs w:val="22"/>
              </w:rPr>
              <w:t>Merge the Community Safety Building Authority into VIDA</w:t>
            </w:r>
          </w:p>
          <w:p w14:paraId="5A21E35D" w14:textId="588D59E1" w:rsidR="006A0772" w:rsidRPr="00B11ACF" w:rsidRDefault="006A0772" w:rsidP="00B46D06">
            <w:pPr>
              <w:spacing w:before="80" w:after="80"/>
              <w:rPr>
                <w:szCs w:val="22"/>
              </w:rPr>
            </w:pPr>
            <w:r w:rsidRPr="00A45659">
              <w:rPr>
                <w:szCs w:val="22"/>
              </w:rPr>
              <w:t>Creates efficiencies and economies of scale in delivering justice</w:t>
            </w:r>
            <w:r>
              <w:rPr>
                <w:szCs w:val="22"/>
              </w:rPr>
              <w:t>-related</w:t>
            </w:r>
            <w:r w:rsidRPr="00A45659">
              <w:rPr>
                <w:szCs w:val="22"/>
              </w:rPr>
              <w:t xml:space="preserve"> infrastructure.</w:t>
            </w:r>
          </w:p>
        </w:tc>
      </w:tr>
      <w:tr w:rsidR="006A0772" w:rsidRPr="00F40D63" w14:paraId="6FB0B437" w14:textId="77777777" w:rsidTr="001D2C0A">
        <w:trPr>
          <w:trHeight w:val="364"/>
        </w:trPr>
        <w:tc>
          <w:tcPr>
            <w:tcW w:w="9227" w:type="dxa"/>
          </w:tcPr>
          <w:p w14:paraId="1518BE17" w14:textId="77777777" w:rsidR="006A0772" w:rsidRDefault="006A0772" w:rsidP="00B46D06">
            <w:pPr>
              <w:spacing w:before="80" w:after="80"/>
              <w:rPr>
                <w:b/>
                <w:bCs/>
                <w:szCs w:val="22"/>
              </w:rPr>
            </w:pPr>
            <w:r w:rsidRPr="00107EFD">
              <w:rPr>
                <w:b/>
                <w:szCs w:val="22"/>
              </w:rPr>
              <w:t xml:space="preserve">Abolish and transfer Firearms Appeal Committee functions to the Victorian Civil and Administrative Tribunal </w:t>
            </w:r>
          </w:p>
          <w:p w14:paraId="714142E8" w14:textId="77777777" w:rsidR="006A0772" w:rsidRPr="00FA1A5F" w:rsidRDefault="006A0772" w:rsidP="00B46D06">
            <w:pPr>
              <w:spacing w:before="80" w:after="80"/>
              <w:rPr>
                <w:szCs w:val="22"/>
              </w:rPr>
            </w:pPr>
            <w:r>
              <w:rPr>
                <w:szCs w:val="22"/>
              </w:rPr>
              <w:t>Streamlines governance and reduce administrative burden by consolidating the public process appeals into a single body.</w:t>
            </w:r>
          </w:p>
        </w:tc>
      </w:tr>
      <w:tr w:rsidR="006A0772" w:rsidRPr="00F40D63" w14:paraId="025E9BE6" w14:textId="77777777" w:rsidTr="001D2C0A">
        <w:trPr>
          <w:trHeight w:val="364"/>
        </w:trPr>
        <w:tc>
          <w:tcPr>
            <w:tcW w:w="9227" w:type="dxa"/>
          </w:tcPr>
          <w:p w14:paraId="68FE9E96" w14:textId="77777777" w:rsidR="006A0772" w:rsidRDefault="006A0772" w:rsidP="00B46D06">
            <w:pPr>
              <w:spacing w:before="80" w:after="80"/>
              <w:rPr>
                <w:b/>
                <w:bCs/>
                <w:szCs w:val="22"/>
              </w:rPr>
            </w:pPr>
            <w:r w:rsidRPr="00107EFD">
              <w:rPr>
                <w:b/>
                <w:szCs w:val="22"/>
              </w:rPr>
              <w:t>Abolish the Road Safety Camera Commissioner and Reference Group</w:t>
            </w:r>
          </w:p>
          <w:p w14:paraId="0B16BD08" w14:textId="77777777" w:rsidR="006A0772" w:rsidRPr="00273162" w:rsidRDefault="006A0772" w:rsidP="00B46D06">
            <w:pPr>
              <w:spacing w:before="80" w:after="80"/>
              <w:rPr>
                <w:szCs w:val="22"/>
              </w:rPr>
            </w:pPr>
            <w:r>
              <w:rPr>
                <w:szCs w:val="22"/>
              </w:rPr>
              <w:t>Streamlines governance and reduce administrative burden in government.</w:t>
            </w:r>
          </w:p>
        </w:tc>
      </w:tr>
      <w:tr w:rsidR="006A0772" w:rsidRPr="00F40D63" w14:paraId="2E990160" w14:textId="77777777" w:rsidTr="001D2C0A">
        <w:trPr>
          <w:trHeight w:val="364"/>
        </w:trPr>
        <w:tc>
          <w:tcPr>
            <w:tcW w:w="9227" w:type="dxa"/>
          </w:tcPr>
          <w:p w14:paraId="028F7EAE" w14:textId="77777777" w:rsidR="006A0772" w:rsidRPr="008C58F5" w:rsidRDefault="006A0772" w:rsidP="00B46D06">
            <w:pPr>
              <w:spacing w:before="80" w:after="80"/>
              <w:rPr>
                <w:b/>
                <w:szCs w:val="22"/>
              </w:rPr>
            </w:pPr>
            <w:r w:rsidRPr="008C58F5">
              <w:rPr>
                <w:b/>
                <w:szCs w:val="22"/>
              </w:rPr>
              <w:t>Absorb the Victims of Crime Commissioner into DJCS</w:t>
            </w:r>
            <w:r w:rsidRPr="008C58F5">
              <w:rPr>
                <w:b/>
                <w:bCs/>
                <w:szCs w:val="22"/>
              </w:rPr>
              <w:t xml:space="preserve"> </w:t>
            </w:r>
          </w:p>
          <w:p w14:paraId="55FB8E90" w14:textId="77777777" w:rsidR="006A0772" w:rsidRPr="0041293B" w:rsidRDefault="006A0772" w:rsidP="00B46D06">
            <w:pPr>
              <w:spacing w:before="80" w:after="80"/>
              <w:rPr>
                <w:b/>
                <w:szCs w:val="22"/>
              </w:rPr>
            </w:pPr>
            <w:r>
              <w:rPr>
                <w:szCs w:val="22"/>
              </w:rPr>
              <w:t>Retains functions and commissioner but c</w:t>
            </w:r>
            <w:r w:rsidRPr="008C58F5">
              <w:rPr>
                <w:szCs w:val="22"/>
              </w:rPr>
              <w:t>reates operational efficiencies.</w:t>
            </w:r>
          </w:p>
        </w:tc>
      </w:tr>
      <w:tr w:rsidR="006A0772" w:rsidRPr="00F40D63" w14:paraId="13A437FF" w14:textId="77777777" w:rsidTr="001D2C0A">
        <w:trPr>
          <w:trHeight w:val="364"/>
        </w:trPr>
        <w:tc>
          <w:tcPr>
            <w:tcW w:w="9227" w:type="dxa"/>
          </w:tcPr>
          <w:p w14:paraId="3ED6949F" w14:textId="77777777" w:rsidR="006A0772" w:rsidRDefault="006A0772" w:rsidP="00B46D06">
            <w:pPr>
              <w:spacing w:before="80" w:after="80"/>
              <w:rPr>
                <w:b/>
                <w:bCs/>
                <w:szCs w:val="22"/>
              </w:rPr>
            </w:pPr>
            <w:proofErr w:type="gramStart"/>
            <w:r w:rsidRPr="00107EFD">
              <w:rPr>
                <w:b/>
                <w:szCs w:val="22"/>
              </w:rPr>
              <w:t>Abolish</w:t>
            </w:r>
            <w:proofErr w:type="gramEnd"/>
            <w:r w:rsidRPr="00107EFD">
              <w:rPr>
                <w:b/>
                <w:szCs w:val="22"/>
              </w:rPr>
              <w:t xml:space="preserve"> the Police Informants Royal Commission Implementation Monitor</w:t>
            </w:r>
          </w:p>
          <w:p w14:paraId="49105BF2" w14:textId="739A1F56" w:rsidR="006A0772" w:rsidRPr="00586CBF" w:rsidRDefault="006A0772" w:rsidP="00B46D06">
            <w:pPr>
              <w:spacing w:before="80" w:after="80"/>
              <w:rPr>
                <w:szCs w:val="22"/>
              </w:rPr>
            </w:pPr>
            <w:r>
              <w:rPr>
                <w:szCs w:val="22"/>
              </w:rPr>
              <w:t>Reduces costs and administrative burden associated with legacy structures.</w:t>
            </w:r>
          </w:p>
        </w:tc>
      </w:tr>
      <w:tr w:rsidR="006A0772" w:rsidRPr="00F40D63" w14:paraId="5922E1C9" w14:textId="77777777" w:rsidTr="001D2C0A">
        <w:trPr>
          <w:trHeight w:val="364"/>
        </w:trPr>
        <w:tc>
          <w:tcPr>
            <w:tcW w:w="9227" w:type="dxa"/>
          </w:tcPr>
          <w:p w14:paraId="1E04E663" w14:textId="142EA922" w:rsidR="006A0772" w:rsidRDefault="006A0772" w:rsidP="00B46D06">
            <w:pPr>
              <w:spacing w:before="80" w:after="80"/>
              <w:rPr>
                <w:b/>
                <w:bCs/>
                <w:szCs w:val="22"/>
              </w:rPr>
            </w:pPr>
            <w:r w:rsidRPr="00107EFD">
              <w:rPr>
                <w:b/>
                <w:szCs w:val="22"/>
              </w:rPr>
              <w:t xml:space="preserve">Reduce </w:t>
            </w:r>
            <w:r>
              <w:rPr>
                <w:b/>
                <w:szCs w:val="22"/>
              </w:rPr>
              <w:t xml:space="preserve">the </w:t>
            </w:r>
            <w:r w:rsidRPr="00107EFD">
              <w:rPr>
                <w:b/>
                <w:szCs w:val="22"/>
              </w:rPr>
              <w:t>number of Victorian Mental Health and Wellbeing Commission commissioner</w:t>
            </w:r>
            <w:r w:rsidR="000F1E10">
              <w:rPr>
                <w:b/>
                <w:szCs w:val="22"/>
              </w:rPr>
              <w:t>s</w:t>
            </w:r>
            <w:r w:rsidRPr="00107EFD">
              <w:rPr>
                <w:b/>
                <w:szCs w:val="22"/>
              </w:rPr>
              <w:t xml:space="preserve"> </w:t>
            </w:r>
          </w:p>
          <w:p w14:paraId="3D073902" w14:textId="77777777" w:rsidR="006A0772" w:rsidRPr="0041293B" w:rsidRDefault="006A0772" w:rsidP="00B46D06">
            <w:pPr>
              <w:spacing w:before="80" w:after="80"/>
              <w:rPr>
                <w:b/>
                <w:szCs w:val="22"/>
              </w:rPr>
            </w:pPr>
            <w:proofErr w:type="gramStart"/>
            <w:r>
              <w:rPr>
                <w:szCs w:val="22"/>
              </w:rPr>
              <w:t>Creates</w:t>
            </w:r>
            <w:proofErr w:type="gramEnd"/>
            <w:r>
              <w:rPr>
                <w:szCs w:val="22"/>
              </w:rPr>
              <w:t xml:space="preserve"> operational efficiencies by delivering similar outcomes with fewer resources.</w:t>
            </w:r>
          </w:p>
        </w:tc>
      </w:tr>
      <w:tr w:rsidR="006A0772" w:rsidRPr="00F40D63" w14:paraId="25A5CE44" w14:textId="77777777" w:rsidTr="001D2C0A">
        <w:trPr>
          <w:trHeight w:val="364"/>
        </w:trPr>
        <w:tc>
          <w:tcPr>
            <w:tcW w:w="9227" w:type="dxa"/>
          </w:tcPr>
          <w:p w14:paraId="2A3CB09D" w14:textId="77777777" w:rsidR="006A0772" w:rsidRDefault="006A0772" w:rsidP="00B46D06">
            <w:pPr>
              <w:spacing w:before="80" w:after="80"/>
              <w:rPr>
                <w:b/>
                <w:bCs/>
                <w:szCs w:val="22"/>
              </w:rPr>
            </w:pPr>
            <w:r w:rsidRPr="00107EFD">
              <w:rPr>
                <w:b/>
                <w:szCs w:val="22"/>
              </w:rPr>
              <w:t>Cease Latrobe Health Assembly</w:t>
            </w:r>
          </w:p>
          <w:p w14:paraId="755053A5" w14:textId="2B6488FF" w:rsidR="006A0772" w:rsidRPr="0041293B" w:rsidRDefault="006A0772" w:rsidP="00B46D06">
            <w:pPr>
              <w:spacing w:before="80" w:after="80"/>
              <w:rPr>
                <w:b/>
                <w:szCs w:val="22"/>
              </w:rPr>
            </w:pPr>
            <w:r>
              <w:rPr>
                <w:szCs w:val="22"/>
              </w:rPr>
              <w:t>Reduces duplication and reduces costs and administrative burden associated with legacy</w:t>
            </w:r>
            <w:r w:rsidR="00792C4A">
              <w:rPr>
                <w:szCs w:val="22"/>
              </w:rPr>
              <w:t> </w:t>
            </w:r>
            <w:r>
              <w:rPr>
                <w:szCs w:val="22"/>
              </w:rPr>
              <w:t>structures.</w:t>
            </w:r>
          </w:p>
        </w:tc>
      </w:tr>
      <w:tr w:rsidR="006A0772" w:rsidRPr="00F40D63" w14:paraId="26F6001E" w14:textId="77777777" w:rsidTr="001D2C0A">
        <w:trPr>
          <w:trHeight w:val="364"/>
        </w:trPr>
        <w:tc>
          <w:tcPr>
            <w:tcW w:w="9227" w:type="dxa"/>
          </w:tcPr>
          <w:p w14:paraId="64E6BAC7" w14:textId="77777777" w:rsidR="006A0772" w:rsidRDefault="006A0772" w:rsidP="00B46D06">
            <w:pPr>
              <w:spacing w:before="80" w:after="80"/>
              <w:rPr>
                <w:b/>
                <w:bCs/>
                <w:szCs w:val="22"/>
              </w:rPr>
            </w:pPr>
            <w:r w:rsidRPr="00107EFD">
              <w:rPr>
                <w:b/>
                <w:szCs w:val="22"/>
              </w:rPr>
              <w:t>Absorb the Health Complaints Commissioner into Safer Care Victoria</w:t>
            </w:r>
          </w:p>
          <w:p w14:paraId="0298475A" w14:textId="77777777" w:rsidR="006A0772" w:rsidRPr="0041293B" w:rsidRDefault="006A0772" w:rsidP="00B46D06">
            <w:pPr>
              <w:spacing w:before="80" w:after="80"/>
              <w:rPr>
                <w:b/>
                <w:szCs w:val="22"/>
              </w:rPr>
            </w:pPr>
            <w:r>
              <w:rPr>
                <w:szCs w:val="22"/>
              </w:rPr>
              <w:t>Creates operational efficiencies and r</w:t>
            </w:r>
            <w:r w:rsidRPr="006F5F2D">
              <w:rPr>
                <w:szCs w:val="22"/>
              </w:rPr>
              <w:t>educe</w:t>
            </w:r>
            <w:r>
              <w:rPr>
                <w:szCs w:val="22"/>
              </w:rPr>
              <w:t>s</w:t>
            </w:r>
            <w:r w:rsidRPr="006F5F2D">
              <w:rPr>
                <w:szCs w:val="22"/>
              </w:rPr>
              <w:t xml:space="preserve"> administrative costs to government</w:t>
            </w:r>
            <w:r>
              <w:rPr>
                <w:szCs w:val="22"/>
              </w:rPr>
              <w:t>.</w:t>
            </w:r>
          </w:p>
        </w:tc>
      </w:tr>
    </w:tbl>
    <w:p w14:paraId="676810F3" w14:textId="77777777" w:rsidR="008A63B7" w:rsidRDefault="008A63B7" w:rsidP="00CB4F16"/>
    <w:p w14:paraId="79A7AE11" w14:textId="77777777" w:rsidR="00CB4F16" w:rsidRDefault="00CB4F16" w:rsidP="003316AA">
      <w:pPr>
        <w:spacing w:before="160" w:after="80"/>
        <w:rPr>
          <w:b/>
          <w:bCs/>
          <w:color w:val="0F4761" w:themeColor="accent1" w:themeShade="BF"/>
          <w:sz w:val="32"/>
          <w:szCs w:val="32"/>
        </w:rPr>
      </w:pPr>
      <w:r>
        <w:rPr>
          <w:b/>
          <w:bCs/>
          <w:color w:val="0F4761" w:themeColor="accent1" w:themeShade="BF"/>
          <w:sz w:val="32"/>
          <w:szCs w:val="32"/>
        </w:rPr>
        <w:br w:type="page"/>
      </w:r>
    </w:p>
    <w:p w14:paraId="3761A235" w14:textId="107F2B2A" w:rsidR="006A0772" w:rsidRPr="003316AA" w:rsidRDefault="006A0772" w:rsidP="003316AA">
      <w:pPr>
        <w:spacing w:before="160" w:after="80"/>
        <w:rPr>
          <w:b/>
          <w:bCs/>
          <w:color w:val="0F4761" w:themeColor="accent1" w:themeShade="BF"/>
          <w:sz w:val="32"/>
          <w:szCs w:val="32"/>
        </w:rPr>
      </w:pPr>
      <w:r w:rsidRPr="003316AA">
        <w:rPr>
          <w:b/>
          <w:bCs/>
          <w:color w:val="0F4761" w:themeColor="accent1" w:themeShade="BF"/>
          <w:sz w:val="32"/>
          <w:szCs w:val="32"/>
        </w:rPr>
        <w:lastRenderedPageBreak/>
        <w:t>C.3</w:t>
      </w:r>
      <w:r w:rsidR="007F317B" w:rsidRPr="003316AA">
        <w:rPr>
          <w:b/>
          <w:bCs/>
          <w:color w:val="0F4761" w:themeColor="accent1" w:themeShade="BF"/>
          <w:sz w:val="32"/>
          <w:szCs w:val="32"/>
        </w:rPr>
        <w:t xml:space="preserve">  </w:t>
      </w:r>
      <w:r w:rsidRPr="003316AA">
        <w:rPr>
          <w:b/>
          <w:bCs/>
          <w:color w:val="0F4761" w:themeColor="accent1" w:themeShade="BF"/>
          <w:sz w:val="32"/>
          <w:szCs w:val="32"/>
        </w:rPr>
        <w:t xml:space="preserve"> Recommended entity changes – </w:t>
      </w:r>
      <w:r w:rsidR="00CA7D65">
        <w:rPr>
          <w:b/>
          <w:color w:val="0F4761" w:themeColor="accent1" w:themeShade="BF"/>
          <w:sz w:val="32"/>
          <w:szCs w:val="32"/>
        </w:rPr>
        <w:t>F</w:t>
      </w:r>
      <w:r w:rsidRPr="003316AA">
        <w:rPr>
          <w:b/>
          <w:color w:val="0F4761" w:themeColor="accent1" w:themeShade="BF"/>
          <w:sz w:val="32"/>
          <w:szCs w:val="32"/>
        </w:rPr>
        <w:t xml:space="preserve">inal </w:t>
      </w:r>
      <w:r w:rsidR="00CA7D65">
        <w:rPr>
          <w:b/>
          <w:color w:val="0F4761" w:themeColor="accent1" w:themeShade="BF"/>
          <w:sz w:val="32"/>
          <w:szCs w:val="32"/>
        </w:rPr>
        <w:t>R</w:t>
      </w:r>
      <w:r w:rsidRPr="003316AA">
        <w:rPr>
          <w:b/>
          <w:color w:val="0F4761" w:themeColor="accent1" w:themeShade="BF"/>
          <w:sz w:val="32"/>
          <w:szCs w:val="32"/>
        </w:rPr>
        <w:t>eport</w:t>
      </w:r>
    </w:p>
    <w:p w14:paraId="3798A924" w14:textId="17825145" w:rsidR="006A0772" w:rsidRPr="00AC756A" w:rsidRDefault="006A0772" w:rsidP="006A0772">
      <w:pPr>
        <w:rPr>
          <w:szCs w:val="22"/>
          <w:lang w:val="en-US"/>
        </w:rPr>
      </w:pPr>
      <w:r>
        <w:rPr>
          <w:szCs w:val="22"/>
          <w:lang w:val="en-US"/>
        </w:rPr>
        <w:t>This list provides a summary of all entity changes recommended by the Review and presented in Chapter 6</w:t>
      </w:r>
      <w:r w:rsidRPr="00C651B9">
        <w:rPr>
          <w:szCs w:val="22"/>
          <w:lang w:val="en-US"/>
        </w:rPr>
        <w:t>.</w:t>
      </w:r>
    </w:p>
    <w:tbl>
      <w:tblPr>
        <w:tblStyle w:val="TableGrid"/>
        <w:tblW w:w="9209" w:type="dxa"/>
        <w:tblBorders>
          <w:left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209"/>
      </w:tblGrid>
      <w:tr w:rsidR="006A0772" w14:paraId="16533AD1" w14:textId="77777777" w:rsidTr="00177394">
        <w:trPr>
          <w:tblHeader/>
        </w:trPr>
        <w:tc>
          <w:tcPr>
            <w:tcW w:w="9209" w:type="dxa"/>
            <w:shd w:val="clear" w:color="auto" w:fill="0E2841" w:themeFill="text2"/>
            <w:vAlign w:val="center"/>
          </w:tcPr>
          <w:p w14:paraId="769D9467" w14:textId="77777777" w:rsidR="006A0772" w:rsidRPr="0078598C" w:rsidRDefault="006A0772" w:rsidP="00B46D06">
            <w:pPr>
              <w:spacing w:before="80" w:after="80"/>
              <w:rPr>
                <w:b/>
                <w:bCs/>
                <w:szCs w:val="22"/>
              </w:rPr>
            </w:pPr>
            <w:r w:rsidRPr="0078598C">
              <w:rPr>
                <w:b/>
                <w:szCs w:val="22"/>
              </w:rPr>
              <w:t>Initiative summary and benefit</w:t>
            </w:r>
          </w:p>
        </w:tc>
      </w:tr>
      <w:tr w:rsidR="006A0772" w14:paraId="43500D17" w14:textId="77777777" w:rsidTr="00780C45">
        <w:tc>
          <w:tcPr>
            <w:tcW w:w="9209" w:type="dxa"/>
            <w:shd w:val="clear" w:color="auto" w:fill="595959" w:themeFill="text1" w:themeFillTint="A6"/>
          </w:tcPr>
          <w:p w14:paraId="12042019" w14:textId="77777777" w:rsidR="006A0772" w:rsidRPr="0078598C" w:rsidRDefault="006A0772" w:rsidP="00B46D06">
            <w:pPr>
              <w:spacing w:before="80" w:after="80"/>
              <w:rPr>
                <w:b/>
                <w:szCs w:val="22"/>
              </w:rPr>
            </w:pPr>
            <w:r w:rsidRPr="0078598C">
              <w:rPr>
                <w:b/>
                <w:color w:val="FFFFFF" w:themeColor="background1"/>
                <w:szCs w:val="22"/>
              </w:rPr>
              <w:t>Regulatory system reforms</w:t>
            </w:r>
          </w:p>
        </w:tc>
      </w:tr>
      <w:tr w:rsidR="006A0772" w14:paraId="69AD9494" w14:textId="77777777" w:rsidTr="00177394">
        <w:tc>
          <w:tcPr>
            <w:tcW w:w="9209" w:type="dxa"/>
          </w:tcPr>
          <w:p w14:paraId="7112F30F" w14:textId="77777777" w:rsidR="006A0772" w:rsidRPr="0078598C" w:rsidRDefault="006A0772" w:rsidP="00B46D06">
            <w:pPr>
              <w:spacing w:before="80" w:after="80"/>
              <w:rPr>
                <w:b/>
                <w:szCs w:val="22"/>
              </w:rPr>
            </w:pPr>
            <w:proofErr w:type="gramStart"/>
            <w:r w:rsidRPr="0078598C">
              <w:rPr>
                <w:rFonts w:eastAsia="Aptos" w:cs="Aptos"/>
                <w:b/>
                <w:bCs/>
                <w:color w:val="000000" w:themeColor="text1"/>
                <w:szCs w:val="22"/>
              </w:rPr>
              <w:t>Create</w:t>
            </w:r>
            <w:proofErr w:type="gramEnd"/>
            <w:r w:rsidRPr="0078598C">
              <w:rPr>
                <w:rFonts w:eastAsia="Aptos" w:cs="Aptos"/>
                <w:b/>
                <w:bCs/>
                <w:color w:val="000000" w:themeColor="text1"/>
                <w:szCs w:val="22"/>
              </w:rPr>
              <w:t xml:space="preserve"> a Consumer Protection Regulator</w:t>
            </w:r>
          </w:p>
          <w:p w14:paraId="7F038021" w14:textId="77777777" w:rsidR="006A0772" w:rsidRPr="0078598C" w:rsidRDefault="006A0772" w:rsidP="00B46D06">
            <w:pPr>
              <w:spacing w:before="80" w:after="80"/>
              <w:rPr>
                <w:bCs/>
                <w:szCs w:val="22"/>
              </w:rPr>
            </w:pPr>
            <w:r w:rsidRPr="0078598C">
              <w:rPr>
                <w:bCs/>
                <w:szCs w:val="22"/>
              </w:rPr>
              <w:t>Brings together Consumer Affairs Victoria, Business Licensing Authority, Commissioner for Residential Tenancies, Veterinary Practitioners Registration Board and Working with Children Check into a new regulatory entity.</w:t>
            </w:r>
          </w:p>
          <w:p w14:paraId="44577197" w14:textId="77777777" w:rsidR="006A0772" w:rsidRPr="0078598C" w:rsidRDefault="006A0772" w:rsidP="00B46D06">
            <w:pPr>
              <w:spacing w:before="80" w:after="80"/>
              <w:rPr>
                <w:szCs w:val="22"/>
              </w:rPr>
            </w:pPr>
            <w:r w:rsidRPr="0078598C">
              <w:rPr>
                <w:rFonts w:eastAsia="Times New Roman" w:cs="Arial"/>
                <w:color w:val="000000"/>
                <w:position w:val="1"/>
                <w:szCs w:val="22"/>
                <w:lang w:eastAsia="en-AU"/>
              </w:rPr>
              <w:t>Lead regulator for consumer protection and a significant proportion of occupational and business licensing activities.</w:t>
            </w:r>
            <w:r w:rsidRPr="0078598C">
              <w:rPr>
                <w:szCs w:val="22"/>
              </w:rPr>
              <w:t xml:space="preserve"> </w:t>
            </w:r>
            <w:proofErr w:type="gramStart"/>
            <w:r w:rsidRPr="0078598C">
              <w:rPr>
                <w:szCs w:val="22"/>
              </w:rPr>
              <w:t>Streamlines</w:t>
            </w:r>
            <w:proofErr w:type="gramEnd"/>
            <w:r w:rsidRPr="0078598C">
              <w:rPr>
                <w:szCs w:val="22"/>
              </w:rPr>
              <w:t xml:space="preserve"> the process for businesses by providing a single</w:t>
            </w:r>
            <w:r>
              <w:rPr>
                <w:szCs w:val="22"/>
              </w:rPr>
              <w:t xml:space="preserve"> </w:t>
            </w:r>
            <w:r w:rsidRPr="0078598C">
              <w:rPr>
                <w:szCs w:val="22"/>
              </w:rPr>
              <w:t xml:space="preserve">regulator for </w:t>
            </w:r>
            <w:proofErr w:type="gramStart"/>
            <w:r w:rsidRPr="0078598C">
              <w:rPr>
                <w:szCs w:val="22"/>
              </w:rPr>
              <w:t>a number of</w:t>
            </w:r>
            <w:proofErr w:type="gramEnd"/>
            <w:r w:rsidRPr="0078598C">
              <w:rPr>
                <w:szCs w:val="22"/>
              </w:rPr>
              <w:t xml:space="preserve"> </w:t>
            </w:r>
            <w:proofErr w:type="spellStart"/>
            <w:r w:rsidRPr="0078598C">
              <w:rPr>
                <w:szCs w:val="22"/>
              </w:rPr>
              <w:t>licences</w:t>
            </w:r>
            <w:proofErr w:type="spellEnd"/>
            <w:r w:rsidRPr="0078598C">
              <w:rPr>
                <w:szCs w:val="22"/>
              </w:rPr>
              <w:t xml:space="preserve"> and renewals.</w:t>
            </w:r>
          </w:p>
        </w:tc>
      </w:tr>
      <w:tr w:rsidR="006A0772" w14:paraId="2BE9687D" w14:textId="77777777" w:rsidTr="00177394">
        <w:tc>
          <w:tcPr>
            <w:tcW w:w="9209" w:type="dxa"/>
          </w:tcPr>
          <w:p w14:paraId="4329F318" w14:textId="77777777" w:rsidR="006A0772" w:rsidRPr="0078598C" w:rsidRDefault="006A0772" w:rsidP="00B46D06">
            <w:pPr>
              <w:spacing w:before="80" w:after="80"/>
              <w:rPr>
                <w:b/>
                <w:szCs w:val="22"/>
              </w:rPr>
            </w:pPr>
            <w:r w:rsidRPr="0078598C">
              <w:rPr>
                <w:b/>
                <w:szCs w:val="22"/>
              </w:rPr>
              <w:t xml:space="preserve">Merge recycling Victoria functions into </w:t>
            </w:r>
            <w:r>
              <w:rPr>
                <w:b/>
                <w:szCs w:val="22"/>
              </w:rPr>
              <w:t xml:space="preserve">the </w:t>
            </w:r>
            <w:r w:rsidRPr="0078598C">
              <w:rPr>
                <w:b/>
                <w:szCs w:val="22"/>
              </w:rPr>
              <w:t>Environment Protection Authority</w:t>
            </w:r>
            <w:r>
              <w:rPr>
                <w:b/>
                <w:szCs w:val="22"/>
              </w:rPr>
              <w:t xml:space="preserve"> (EPA)</w:t>
            </w:r>
          </w:p>
          <w:p w14:paraId="3B5FA6D4" w14:textId="77777777" w:rsidR="006A0772" w:rsidRDefault="006A0772" w:rsidP="00B46D06">
            <w:pPr>
              <w:spacing w:before="80" w:after="80"/>
              <w:rPr>
                <w:rFonts w:eastAsia="Aptos" w:cs="Aptos"/>
                <w:color w:val="000000" w:themeColor="text1"/>
                <w:szCs w:val="22"/>
              </w:rPr>
            </w:pPr>
            <w:r w:rsidRPr="0078598C">
              <w:rPr>
                <w:rFonts w:eastAsia="Aptos" w:cs="Aptos"/>
                <w:color w:val="000000" w:themeColor="text1"/>
                <w:szCs w:val="22"/>
              </w:rPr>
              <w:t>Expand</w:t>
            </w:r>
            <w:r>
              <w:rPr>
                <w:rFonts w:eastAsia="Aptos" w:cs="Aptos"/>
                <w:color w:val="000000" w:themeColor="text1"/>
                <w:szCs w:val="22"/>
              </w:rPr>
              <w:t>s EPA’s functions</w:t>
            </w:r>
            <w:r w:rsidRPr="0078598C">
              <w:rPr>
                <w:rFonts w:eastAsia="Aptos" w:cs="Aptos"/>
                <w:color w:val="000000" w:themeColor="text1"/>
                <w:szCs w:val="22"/>
              </w:rPr>
              <w:t xml:space="preserve"> to cover environment protection</w:t>
            </w:r>
            <w:r>
              <w:rPr>
                <w:rFonts w:eastAsia="Aptos" w:cs="Aptos"/>
                <w:color w:val="000000" w:themeColor="text1"/>
                <w:szCs w:val="22"/>
              </w:rPr>
              <w:t>,</w:t>
            </w:r>
            <w:r w:rsidRPr="0078598C">
              <w:rPr>
                <w:rFonts w:eastAsia="Aptos" w:cs="Aptos"/>
                <w:color w:val="000000" w:themeColor="text1"/>
                <w:szCs w:val="22"/>
              </w:rPr>
              <w:t xml:space="preserve"> waste and recycling. </w:t>
            </w:r>
          </w:p>
          <w:p w14:paraId="5F8FD4F3" w14:textId="54DD8149" w:rsidR="006A0772" w:rsidRPr="0078598C" w:rsidRDefault="006A0772" w:rsidP="00B46D06">
            <w:pPr>
              <w:spacing w:before="80" w:after="80"/>
              <w:rPr>
                <w:szCs w:val="22"/>
              </w:rPr>
            </w:pPr>
            <w:r w:rsidRPr="0078598C">
              <w:rPr>
                <w:szCs w:val="22"/>
              </w:rPr>
              <w:t>Simplifies approval processes for businesses and reduce</w:t>
            </w:r>
            <w:r w:rsidR="00262F4A">
              <w:rPr>
                <w:szCs w:val="22"/>
              </w:rPr>
              <w:t>s</w:t>
            </w:r>
            <w:r w:rsidRPr="0078598C">
              <w:rPr>
                <w:szCs w:val="22"/>
              </w:rPr>
              <w:t xml:space="preserve"> the time spent interacting with multiple entities. Integrated oversight may also </w:t>
            </w:r>
            <w:r>
              <w:rPr>
                <w:szCs w:val="22"/>
              </w:rPr>
              <w:t xml:space="preserve">support </w:t>
            </w:r>
            <w:r w:rsidRPr="0078598C">
              <w:rPr>
                <w:szCs w:val="22"/>
              </w:rPr>
              <w:t>improved environmental outcomes.</w:t>
            </w:r>
          </w:p>
        </w:tc>
      </w:tr>
      <w:tr w:rsidR="006A0772" w14:paraId="67F7B098" w14:textId="77777777" w:rsidTr="00177394">
        <w:tc>
          <w:tcPr>
            <w:tcW w:w="9209" w:type="dxa"/>
          </w:tcPr>
          <w:p w14:paraId="345A40B4" w14:textId="77777777" w:rsidR="006A0772" w:rsidRPr="005E72C0" w:rsidRDefault="006A0772" w:rsidP="00B46D06">
            <w:pPr>
              <w:spacing w:before="80" w:after="80"/>
              <w:rPr>
                <w:b/>
                <w:bCs/>
                <w:szCs w:val="22"/>
              </w:rPr>
            </w:pPr>
            <w:r w:rsidRPr="005E72C0">
              <w:rPr>
                <w:rFonts w:eastAsia="Aptos" w:cs="Aptos"/>
                <w:b/>
                <w:bCs/>
                <w:color w:val="000000" w:themeColor="text1"/>
                <w:szCs w:val="22"/>
              </w:rPr>
              <w:t>Create a new Built Environment Regulator</w:t>
            </w:r>
          </w:p>
          <w:p w14:paraId="05710333" w14:textId="5687B00B" w:rsidR="006A0772" w:rsidRPr="00794CD7" w:rsidRDefault="006A0772" w:rsidP="00B46D06">
            <w:pPr>
              <w:spacing w:before="80" w:after="80"/>
              <w:rPr>
                <w:szCs w:val="22"/>
              </w:rPr>
            </w:pPr>
            <w:proofErr w:type="gramStart"/>
            <w:r w:rsidRPr="00794CD7">
              <w:rPr>
                <w:szCs w:val="22"/>
              </w:rPr>
              <w:t>Merges</w:t>
            </w:r>
            <w:proofErr w:type="gramEnd"/>
            <w:r w:rsidRPr="00794CD7">
              <w:rPr>
                <w:rFonts w:eastAsia="Aptos" w:cs="Aptos"/>
                <w:color w:val="000000" w:themeColor="text1"/>
                <w:szCs w:val="22"/>
              </w:rPr>
              <w:t xml:space="preserve"> the new Building and Plumbing Commission (that is bringing together the Victorian Building Authority, Domestic Building Disputes Resolution Victoria and the Domestic Building Insurance function of the Victorian Managed Insurance Authority) with </w:t>
            </w:r>
            <w:r>
              <w:rPr>
                <w:rFonts w:eastAsia="Aptos" w:cs="Aptos"/>
                <w:color w:val="000000" w:themeColor="text1"/>
                <w:szCs w:val="22"/>
              </w:rPr>
              <w:t xml:space="preserve">the </w:t>
            </w:r>
            <w:r w:rsidRPr="00794CD7">
              <w:rPr>
                <w:szCs w:val="22"/>
              </w:rPr>
              <w:t>Surveyors Registration Board and Architects Registration Board</w:t>
            </w:r>
            <w:r>
              <w:rPr>
                <w:szCs w:val="22"/>
              </w:rPr>
              <w:t xml:space="preserve"> and </w:t>
            </w:r>
            <w:r w:rsidRPr="00794CD7">
              <w:rPr>
                <w:rFonts w:eastAsia="Aptos" w:cs="Aptos"/>
                <w:color w:val="000000" w:themeColor="text1"/>
                <w:szCs w:val="22"/>
              </w:rPr>
              <w:t>Energy Safety Victoria.</w:t>
            </w:r>
          </w:p>
          <w:p w14:paraId="5B946BC8" w14:textId="77777777" w:rsidR="006A0772" w:rsidRPr="0078598C" w:rsidRDefault="006A0772" w:rsidP="00B46D06">
            <w:pPr>
              <w:spacing w:before="80" w:after="80"/>
              <w:rPr>
                <w:szCs w:val="22"/>
              </w:rPr>
            </w:pPr>
            <w:r>
              <w:rPr>
                <w:szCs w:val="22"/>
              </w:rPr>
              <w:t>Brings c</w:t>
            </w:r>
            <w:r w:rsidRPr="0078598C">
              <w:rPr>
                <w:szCs w:val="22"/>
              </w:rPr>
              <w:t xml:space="preserve">oherent oversight of construction and building activity </w:t>
            </w:r>
            <w:r>
              <w:rPr>
                <w:szCs w:val="22"/>
              </w:rPr>
              <w:t>and</w:t>
            </w:r>
            <w:r w:rsidRPr="0078598C">
              <w:rPr>
                <w:szCs w:val="22"/>
              </w:rPr>
              <w:t xml:space="preserve"> associated occupational or business licensing. </w:t>
            </w:r>
            <w:proofErr w:type="gramStart"/>
            <w:r w:rsidRPr="0078598C">
              <w:rPr>
                <w:szCs w:val="22"/>
              </w:rPr>
              <w:t>Streamline</w:t>
            </w:r>
            <w:r>
              <w:rPr>
                <w:szCs w:val="22"/>
              </w:rPr>
              <w:t>s</w:t>
            </w:r>
            <w:proofErr w:type="gramEnd"/>
            <w:r w:rsidRPr="0078598C">
              <w:rPr>
                <w:szCs w:val="22"/>
              </w:rPr>
              <w:t xml:space="preserve"> </w:t>
            </w:r>
            <w:r>
              <w:rPr>
                <w:szCs w:val="22"/>
              </w:rPr>
              <w:t>processes</w:t>
            </w:r>
            <w:r w:rsidRPr="0078598C">
              <w:rPr>
                <w:szCs w:val="22"/>
              </w:rPr>
              <w:t xml:space="preserve"> for businesses and reduce inefficiencies from duplicative back-office costs.</w:t>
            </w:r>
            <w:r>
              <w:rPr>
                <w:szCs w:val="22"/>
              </w:rPr>
              <w:t xml:space="preserve"> Creates a one-stop shop for a key section of Victoria’s economy.</w:t>
            </w:r>
          </w:p>
        </w:tc>
      </w:tr>
      <w:tr w:rsidR="006A0772" w14:paraId="31CC37F4" w14:textId="77777777" w:rsidTr="00177394">
        <w:tc>
          <w:tcPr>
            <w:tcW w:w="9209" w:type="dxa"/>
          </w:tcPr>
          <w:p w14:paraId="243EA85D" w14:textId="77777777" w:rsidR="006A0772" w:rsidRPr="0078598C" w:rsidRDefault="006A0772" w:rsidP="00B46D06">
            <w:pPr>
              <w:spacing w:before="80" w:after="80"/>
              <w:rPr>
                <w:b/>
                <w:bCs/>
                <w:szCs w:val="22"/>
              </w:rPr>
            </w:pPr>
            <w:r w:rsidRPr="0078598C">
              <w:rPr>
                <w:b/>
                <w:bCs/>
                <w:szCs w:val="22"/>
              </w:rPr>
              <w:t>Absorb the Victorian Pharmacy Authority into the</w:t>
            </w:r>
            <w:r>
              <w:rPr>
                <w:b/>
                <w:bCs/>
                <w:szCs w:val="22"/>
              </w:rPr>
              <w:t xml:space="preserve"> Health Regulator</w:t>
            </w:r>
          </w:p>
          <w:p w14:paraId="12CDB5E7" w14:textId="77777777" w:rsidR="006A0772" w:rsidRDefault="006A0772" w:rsidP="00B46D06">
            <w:pPr>
              <w:spacing w:before="80" w:after="80"/>
              <w:rPr>
                <w:szCs w:val="22"/>
              </w:rPr>
            </w:pPr>
            <w:r>
              <w:rPr>
                <w:szCs w:val="22"/>
              </w:rPr>
              <w:t>Integrates pharmacy and non-pharmacy business licensing activities into a broader health regulatory framework.</w:t>
            </w:r>
          </w:p>
          <w:p w14:paraId="78C828A5" w14:textId="77777777" w:rsidR="006A0772" w:rsidRPr="0078598C" w:rsidRDefault="006A0772" w:rsidP="00B46D06">
            <w:pPr>
              <w:spacing w:before="80" w:after="80"/>
              <w:rPr>
                <w:szCs w:val="22"/>
              </w:rPr>
            </w:pPr>
            <w:r w:rsidRPr="0078598C">
              <w:rPr>
                <w:szCs w:val="22"/>
              </w:rPr>
              <w:t>Simplifies business interactions, streamline</w:t>
            </w:r>
            <w:r>
              <w:rPr>
                <w:szCs w:val="22"/>
              </w:rPr>
              <w:t>s</w:t>
            </w:r>
            <w:r w:rsidRPr="0078598C">
              <w:rPr>
                <w:szCs w:val="22"/>
              </w:rPr>
              <w:t xml:space="preserve"> compliance, and strengthen</w:t>
            </w:r>
            <w:r>
              <w:rPr>
                <w:szCs w:val="22"/>
              </w:rPr>
              <w:t>s</w:t>
            </w:r>
            <w:r w:rsidRPr="0078598C">
              <w:rPr>
                <w:szCs w:val="22"/>
              </w:rPr>
              <w:t xml:space="preserve"> manage</w:t>
            </w:r>
            <w:r>
              <w:rPr>
                <w:szCs w:val="22"/>
              </w:rPr>
              <w:t>ment of</w:t>
            </w:r>
            <w:r w:rsidRPr="0078598C">
              <w:rPr>
                <w:szCs w:val="22"/>
              </w:rPr>
              <w:t xml:space="preserve"> health safety risks.</w:t>
            </w:r>
          </w:p>
        </w:tc>
      </w:tr>
      <w:tr w:rsidR="006A0772" w14:paraId="43AD2EED" w14:textId="77777777" w:rsidTr="00177394">
        <w:tc>
          <w:tcPr>
            <w:tcW w:w="9209" w:type="dxa"/>
          </w:tcPr>
          <w:p w14:paraId="028B68C8" w14:textId="77777777" w:rsidR="006A0772" w:rsidRPr="00717B8C" w:rsidRDefault="006A0772" w:rsidP="00B46D06">
            <w:pPr>
              <w:spacing w:before="80" w:after="80"/>
              <w:rPr>
                <w:b/>
                <w:bCs/>
                <w:szCs w:val="22"/>
              </w:rPr>
            </w:pPr>
            <w:r w:rsidRPr="00717B8C">
              <w:rPr>
                <w:rFonts w:eastAsia="Aptos" w:cs="Aptos"/>
                <w:b/>
                <w:bCs/>
                <w:color w:val="000000" w:themeColor="text1"/>
                <w:szCs w:val="22"/>
              </w:rPr>
              <w:t>Create a Racing Integrity and Welfare Regulator</w:t>
            </w:r>
          </w:p>
          <w:p w14:paraId="393F6BAA" w14:textId="77777777" w:rsidR="006A0772" w:rsidRPr="00717B8C" w:rsidRDefault="006A0772" w:rsidP="00B46D06">
            <w:pPr>
              <w:spacing w:before="80" w:after="80"/>
              <w:rPr>
                <w:szCs w:val="22"/>
              </w:rPr>
            </w:pPr>
            <w:proofErr w:type="gramStart"/>
            <w:r w:rsidRPr="00717B8C">
              <w:rPr>
                <w:szCs w:val="22"/>
              </w:rPr>
              <w:t>Merge</w:t>
            </w:r>
            <w:r>
              <w:rPr>
                <w:szCs w:val="22"/>
              </w:rPr>
              <w:t>s</w:t>
            </w:r>
            <w:proofErr w:type="gramEnd"/>
            <w:r w:rsidRPr="00717B8C">
              <w:rPr>
                <w:szCs w:val="22"/>
              </w:rPr>
              <w:t xml:space="preserve"> the regulatory and integrity responsibilities of Racing Victoria, Greyhound Racing Victoria, Harness Racing Victoria, the Office of the Racing Integrity Commissioner and Board to create a new </w:t>
            </w:r>
            <w:r w:rsidRPr="0078598C">
              <w:rPr>
                <w:bCs/>
                <w:szCs w:val="22"/>
              </w:rPr>
              <w:t xml:space="preserve">regulatory </w:t>
            </w:r>
            <w:r>
              <w:rPr>
                <w:szCs w:val="22"/>
              </w:rPr>
              <w:t>entity</w:t>
            </w:r>
            <w:r w:rsidRPr="00717B8C">
              <w:rPr>
                <w:szCs w:val="22"/>
              </w:rPr>
              <w:t>.</w:t>
            </w:r>
            <w:r>
              <w:rPr>
                <w:szCs w:val="22"/>
              </w:rPr>
              <w:t xml:space="preserve"> (Also separates out commercial racing functions – see below.)</w:t>
            </w:r>
          </w:p>
          <w:p w14:paraId="51123CA4" w14:textId="77777777" w:rsidR="006A0772" w:rsidRPr="0078598C" w:rsidRDefault="006A0772" w:rsidP="00B46D06">
            <w:pPr>
              <w:spacing w:before="80" w:after="80"/>
              <w:rPr>
                <w:szCs w:val="22"/>
              </w:rPr>
            </w:pPr>
            <w:r w:rsidRPr="0078598C">
              <w:rPr>
                <w:szCs w:val="22"/>
              </w:rPr>
              <w:t xml:space="preserve">Better practice governance </w:t>
            </w:r>
            <w:r>
              <w:rPr>
                <w:szCs w:val="22"/>
              </w:rPr>
              <w:t>with</w:t>
            </w:r>
            <w:r w:rsidRPr="0078598C">
              <w:rPr>
                <w:szCs w:val="22"/>
              </w:rPr>
              <w:t xml:space="preserve"> oversight of the racing sector</w:t>
            </w:r>
            <w:r>
              <w:rPr>
                <w:szCs w:val="22"/>
              </w:rPr>
              <w:t xml:space="preserve"> integrity and animal welfare</w:t>
            </w:r>
            <w:r w:rsidRPr="0078598C">
              <w:rPr>
                <w:szCs w:val="22"/>
              </w:rPr>
              <w:t xml:space="preserve"> consolidated into one place.</w:t>
            </w:r>
          </w:p>
        </w:tc>
      </w:tr>
    </w:tbl>
    <w:p w14:paraId="3554C46A" w14:textId="77777777" w:rsidR="005018C0" w:rsidRDefault="005018C0"/>
    <w:p w14:paraId="69E50A4B" w14:textId="77777777" w:rsidR="005018C0" w:rsidRDefault="005018C0"/>
    <w:p w14:paraId="3CE6AAD5" w14:textId="77777777" w:rsidR="005018C0" w:rsidRDefault="005018C0"/>
    <w:tbl>
      <w:tblPr>
        <w:tblStyle w:val="TableGrid"/>
        <w:tblW w:w="9209" w:type="dxa"/>
        <w:tblBorders>
          <w:left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209"/>
      </w:tblGrid>
      <w:tr w:rsidR="007827BB" w14:paraId="331EFA8C" w14:textId="77777777" w:rsidTr="007827BB">
        <w:tc>
          <w:tcPr>
            <w:tcW w:w="9209" w:type="dxa"/>
            <w:shd w:val="clear" w:color="auto" w:fill="0A2F41" w:themeFill="accent1" w:themeFillShade="80"/>
          </w:tcPr>
          <w:p w14:paraId="680F6EEA" w14:textId="5F8B9D63" w:rsidR="007827BB" w:rsidRPr="0078598C" w:rsidRDefault="007827BB" w:rsidP="00B46D06">
            <w:pPr>
              <w:spacing w:before="80" w:after="80"/>
              <w:rPr>
                <w:b/>
                <w:bCs/>
                <w:szCs w:val="22"/>
              </w:rPr>
            </w:pPr>
            <w:r w:rsidRPr="0078598C">
              <w:rPr>
                <w:b/>
                <w:szCs w:val="22"/>
              </w:rPr>
              <w:lastRenderedPageBreak/>
              <w:t>Initiative summary and benefit</w:t>
            </w:r>
          </w:p>
        </w:tc>
      </w:tr>
      <w:tr w:rsidR="007827BB" w14:paraId="02DC418C" w14:textId="77777777" w:rsidTr="00780C45">
        <w:tc>
          <w:tcPr>
            <w:tcW w:w="9209" w:type="dxa"/>
            <w:shd w:val="clear" w:color="auto" w:fill="595959" w:themeFill="text1" w:themeFillTint="A6"/>
          </w:tcPr>
          <w:p w14:paraId="04DF3AB7" w14:textId="38154425" w:rsidR="007827BB" w:rsidRPr="007827BB" w:rsidRDefault="007827BB" w:rsidP="007827BB">
            <w:pPr>
              <w:spacing w:before="80" w:after="80"/>
              <w:rPr>
                <w:b/>
                <w:szCs w:val="22"/>
              </w:rPr>
            </w:pPr>
            <w:r w:rsidRPr="007827BB">
              <w:rPr>
                <w:b/>
                <w:color w:val="FFFFFF" w:themeColor="background1"/>
                <w:szCs w:val="22"/>
              </w:rPr>
              <w:t>Regulatory system reforms</w:t>
            </w:r>
          </w:p>
        </w:tc>
      </w:tr>
      <w:tr w:rsidR="006A0772" w14:paraId="5DC47464" w14:textId="77777777" w:rsidTr="00177394">
        <w:tc>
          <w:tcPr>
            <w:tcW w:w="9209" w:type="dxa"/>
          </w:tcPr>
          <w:p w14:paraId="65EE21A6" w14:textId="77777777" w:rsidR="006A0772" w:rsidRDefault="006A0772" w:rsidP="00B46D06">
            <w:pPr>
              <w:spacing w:before="80" w:after="80"/>
              <w:rPr>
                <w:b/>
                <w:bCs/>
                <w:szCs w:val="22"/>
              </w:rPr>
            </w:pPr>
            <w:r w:rsidRPr="0078598C">
              <w:rPr>
                <w:b/>
                <w:bCs/>
                <w:szCs w:val="22"/>
              </w:rPr>
              <w:t xml:space="preserve">Establish a new Food Safety Regulator </w:t>
            </w:r>
          </w:p>
          <w:p w14:paraId="7B8DB830" w14:textId="77777777" w:rsidR="006A0772" w:rsidRPr="007F39BA" w:rsidRDefault="006A0772" w:rsidP="00B46D06">
            <w:pPr>
              <w:spacing w:before="80" w:after="80"/>
              <w:rPr>
                <w:szCs w:val="22"/>
              </w:rPr>
            </w:pPr>
            <w:r>
              <w:rPr>
                <w:szCs w:val="22"/>
              </w:rPr>
              <w:t>C</w:t>
            </w:r>
            <w:r w:rsidRPr="007F39BA">
              <w:rPr>
                <w:szCs w:val="22"/>
              </w:rPr>
              <w:t>onsolida</w:t>
            </w:r>
            <w:r>
              <w:rPr>
                <w:szCs w:val="22"/>
              </w:rPr>
              <w:t>tes</w:t>
            </w:r>
            <w:r w:rsidRPr="007F39BA">
              <w:rPr>
                <w:szCs w:val="22"/>
              </w:rPr>
              <w:t xml:space="preserve"> </w:t>
            </w:r>
            <w:proofErr w:type="spellStart"/>
            <w:r w:rsidRPr="007F39BA">
              <w:rPr>
                <w:szCs w:val="22"/>
              </w:rPr>
              <w:t>PrimeSafe</w:t>
            </w:r>
            <w:proofErr w:type="spellEnd"/>
            <w:r w:rsidRPr="007F39BA">
              <w:rPr>
                <w:szCs w:val="22"/>
              </w:rPr>
              <w:t xml:space="preserve"> (meat, poultry, and seafood), Dairy Food Safety Victoria (</w:t>
            </w:r>
            <w:proofErr w:type="gramStart"/>
            <w:r w:rsidRPr="007F39BA">
              <w:rPr>
                <w:szCs w:val="22"/>
              </w:rPr>
              <w:t>dairy</w:t>
            </w:r>
            <w:proofErr w:type="gramEnd"/>
            <w:r w:rsidRPr="007F39BA">
              <w:rPr>
                <w:szCs w:val="22"/>
              </w:rPr>
              <w:t>), and the Department of Health (licensing, food safety).</w:t>
            </w:r>
          </w:p>
          <w:p w14:paraId="06E0164E" w14:textId="49B6E12E" w:rsidR="006A0772" w:rsidRPr="0078598C" w:rsidRDefault="006A0772" w:rsidP="00B46D06">
            <w:pPr>
              <w:spacing w:before="80" w:after="80"/>
              <w:rPr>
                <w:szCs w:val="22"/>
              </w:rPr>
            </w:pPr>
            <w:r w:rsidRPr="0078598C">
              <w:rPr>
                <w:szCs w:val="22"/>
              </w:rPr>
              <w:t>Streamlines regulatory interactions for food businesses</w:t>
            </w:r>
            <w:r>
              <w:rPr>
                <w:szCs w:val="22"/>
              </w:rPr>
              <w:t xml:space="preserve"> and</w:t>
            </w:r>
            <w:r w:rsidRPr="0078598C">
              <w:rPr>
                <w:szCs w:val="22"/>
              </w:rPr>
              <w:t xml:space="preserve"> strength</w:t>
            </w:r>
            <w:r>
              <w:rPr>
                <w:szCs w:val="22"/>
              </w:rPr>
              <w:t>s</w:t>
            </w:r>
            <w:r w:rsidRPr="0078598C">
              <w:rPr>
                <w:szCs w:val="22"/>
              </w:rPr>
              <w:t xml:space="preserve"> oversight across the sector.</w:t>
            </w:r>
            <w:r>
              <w:rPr>
                <w:szCs w:val="22"/>
              </w:rPr>
              <w:t xml:space="preserve"> Aligns with work outlined in the government’s Economic Growth Statement 2024.</w:t>
            </w:r>
          </w:p>
        </w:tc>
      </w:tr>
      <w:tr w:rsidR="006A0772" w14:paraId="3ED37D06" w14:textId="77777777" w:rsidTr="00177394">
        <w:tc>
          <w:tcPr>
            <w:tcW w:w="9209" w:type="dxa"/>
          </w:tcPr>
          <w:p w14:paraId="54B21A29" w14:textId="77777777" w:rsidR="006A0772" w:rsidRDefault="006A0772" w:rsidP="00B46D06">
            <w:pPr>
              <w:spacing w:before="80" w:after="80"/>
              <w:rPr>
                <w:b/>
                <w:bCs/>
                <w:szCs w:val="22"/>
              </w:rPr>
            </w:pPr>
            <w:r w:rsidRPr="0078598C">
              <w:rPr>
                <w:b/>
                <w:bCs/>
                <w:szCs w:val="22"/>
              </w:rPr>
              <w:t xml:space="preserve">Establish a new Workplace Regulator </w:t>
            </w:r>
          </w:p>
          <w:p w14:paraId="4FA27E12" w14:textId="134437E9" w:rsidR="006A0772" w:rsidRPr="007A028C" w:rsidRDefault="006A0772" w:rsidP="00B46D06">
            <w:pPr>
              <w:spacing w:before="80" w:after="80"/>
              <w:rPr>
                <w:szCs w:val="22"/>
              </w:rPr>
            </w:pPr>
            <w:r w:rsidRPr="007A028C" w:rsidDel="00FB43E0">
              <w:rPr>
                <w:szCs w:val="22"/>
              </w:rPr>
              <w:t>Consolidates Wage Inspectorate Victoria, Portable</w:t>
            </w:r>
            <w:r w:rsidRPr="007A028C">
              <w:rPr>
                <w:szCs w:val="22"/>
              </w:rPr>
              <w:t xml:space="preserve"> Long Service Authority and </w:t>
            </w:r>
            <w:proofErr w:type="spellStart"/>
            <w:r w:rsidRPr="007A028C">
              <w:rPr>
                <w:szCs w:val="22"/>
              </w:rPr>
              <w:t>Labour</w:t>
            </w:r>
            <w:proofErr w:type="spellEnd"/>
            <w:r w:rsidRPr="007A028C">
              <w:rPr>
                <w:szCs w:val="22"/>
              </w:rPr>
              <w:t xml:space="preserve"> Hire Authority into a single body.</w:t>
            </w:r>
          </w:p>
          <w:p w14:paraId="27CB56F3" w14:textId="77777777" w:rsidR="006A0772" w:rsidRPr="0078598C" w:rsidRDefault="006A0772" w:rsidP="00B46D06">
            <w:pPr>
              <w:spacing w:before="80" w:after="80"/>
              <w:rPr>
                <w:szCs w:val="22"/>
              </w:rPr>
            </w:pPr>
            <w:r w:rsidRPr="0078598C">
              <w:rPr>
                <w:szCs w:val="22"/>
              </w:rPr>
              <w:t>Streamlines enforcement, reduce</w:t>
            </w:r>
            <w:r>
              <w:rPr>
                <w:szCs w:val="22"/>
              </w:rPr>
              <w:t>s</w:t>
            </w:r>
            <w:r w:rsidRPr="0078598C">
              <w:rPr>
                <w:szCs w:val="22"/>
              </w:rPr>
              <w:t xml:space="preserve"> duplication and costs to government, and provide</w:t>
            </w:r>
            <w:r>
              <w:rPr>
                <w:szCs w:val="22"/>
              </w:rPr>
              <w:t>s</w:t>
            </w:r>
            <w:r w:rsidRPr="0078598C">
              <w:rPr>
                <w:szCs w:val="22"/>
              </w:rPr>
              <w:t xml:space="preserve"> a clearer point of contact for employers and workers.</w:t>
            </w:r>
          </w:p>
        </w:tc>
      </w:tr>
      <w:tr w:rsidR="006A0772" w14:paraId="64626619" w14:textId="77777777" w:rsidTr="00177394">
        <w:tc>
          <w:tcPr>
            <w:tcW w:w="9209" w:type="dxa"/>
          </w:tcPr>
          <w:p w14:paraId="5270135D" w14:textId="77777777" w:rsidR="006A0772" w:rsidRDefault="006A0772" w:rsidP="00B46D06">
            <w:pPr>
              <w:spacing w:before="80" w:after="80"/>
              <w:rPr>
                <w:b/>
                <w:bCs/>
                <w:szCs w:val="22"/>
              </w:rPr>
            </w:pPr>
            <w:r w:rsidRPr="0078598C">
              <w:rPr>
                <w:b/>
                <w:bCs/>
                <w:szCs w:val="22"/>
              </w:rPr>
              <w:t>Merge Victorian Legal Services Board and Legal Admissions Board</w:t>
            </w:r>
          </w:p>
          <w:p w14:paraId="30A3BBDD" w14:textId="77777777" w:rsidR="006A0772" w:rsidRPr="00C768E5" w:rsidRDefault="006A0772" w:rsidP="00B46D06">
            <w:pPr>
              <w:spacing w:before="80" w:after="80"/>
              <w:rPr>
                <w:szCs w:val="22"/>
              </w:rPr>
            </w:pPr>
            <w:r>
              <w:rPr>
                <w:szCs w:val="22"/>
              </w:rPr>
              <w:t xml:space="preserve">Consolidates </w:t>
            </w:r>
            <w:proofErr w:type="gramStart"/>
            <w:r>
              <w:rPr>
                <w:szCs w:val="22"/>
              </w:rPr>
              <w:t>functions</w:t>
            </w:r>
            <w:proofErr w:type="gramEnd"/>
            <w:r w:rsidRPr="00C768E5">
              <w:rPr>
                <w:szCs w:val="22"/>
              </w:rPr>
              <w:t xml:space="preserve"> into a single body that handles admissions and registrations.</w:t>
            </w:r>
          </w:p>
          <w:p w14:paraId="146AE867" w14:textId="77777777" w:rsidR="006A0772" w:rsidRPr="0078598C" w:rsidRDefault="006A0772" w:rsidP="00B46D06">
            <w:pPr>
              <w:spacing w:before="80" w:after="80"/>
              <w:rPr>
                <w:szCs w:val="22"/>
              </w:rPr>
            </w:pPr>
            <w:r w:rsidRPr="0078598C">
              <w:rPr>
                <w:szCs w:val="22"/>
              </w:rPr>
              <w:t>Increases efficiency while maintaining professional standards and streamlining processes for law graduates and lawyers.</w:t>
            </w:r>
          </w:p>
        </w:tc>
      </w:tr>
      <w:tr w:rsidR="006A0772" w14:paraId="4C99DF0A" w14:textId="77777777" w:rsidTr="00177394">
        <w:tc>
          <w:tcPr>
            <w:tcW w:w="9209" w:type="dxa"/>
          </w:tcPr>
          <w:p w14:paraId="2DF3AD24" w14:textId="77777777" w:rsidR="006A0772" w:rsidRDefault="006A0772" w:rsidP="00B46D06">
            <w:pPr>
              <w:spacing w:before="80" w:after="80"/>
              <w:rPr>
                <w:b/>
                <w:bCs/>
                <w:szCs w:val="22"/>
              </w:rPr>
            </w:pPr>
            <w:r w:rsidRPr="0078598C">
              <w:rPr>
                <w:b/>
                <w:bCs/>
                <w:szCs w:val="22"/>
              </w:rPr>
              <w:t xml:space="preserve">Absorb </w:t>
            </w:r>
            <w:r>
              <w:rPr>
                <w:b/>
                <w:bCs/>
                <w:szCs w:val="22"/>
              </w:rPr>
              <w:t xml:space="preserve">the </w:t>
            </w:r>
            <w:r w:rsidRPr="0078598C">
              <w:rPr>
                <w:b/>
                <w:bCs/>
                <w:szCs w:val="22"/>
              </w:rPr>
              <w:t>Parks Vic</w:t>
            </w:r>
            <w:r>
              <w:rPr>
                <w:b/>
                <w:bCs/>
                <w:szCs w:val="22"/>
              </w:rPr>
              <w:t>toria</w:t>
            </w:r>
            <w:r w:rsidRPr="0078598C">
              <w:rPr>
                <w:b/>
                <w:bCs/>
                <w:szCs w:val="22"/>
              </w:rPr>
              <w:t xml:space="preserve"> regulatory functions into </w:t>
            </w:r>
            <w:r>
              <w:rPr>
                <w:b/>
                <w:bCs/>
                <w:szCs w:val="22"/>
              </w:rPr>
              <w:t xml:space="preserve">the </w:t>
            </w:r>
            <w:r w:rsidRPr="0078598C">
              <w:rPr>
                <w:b/>
                <w:bCs/>
                <w:szCs w:val="22"/>
              </w:rPr>
              <w:t xml:space="preserve">Conservation Regulator </w:t>
            </w:r>
          </w:p>
          <w:p w14:paraId="784612AB" w14:textId="77777777" w:rsidR="006A0772" w:rsidRPr="007608E8" w:rsidRDefault="006A0772" w:rsidP="00B46D06">
            <w:pPr>
              <w:spacing w:before="80" w:after="80"/>
              <w:rPr>
                <w:szCs w:val="22"/>
              </w:rPr>
            </w:pPr>
            <w:r w:rsidRPr="007608E8">
              <w:rPr>
                <w:szCs w:val="22"/>
              </w:rPr>
              <w:t>Consolidates environmental regulation under a single authority.</w:t>
            </w:r>
          </w:p>
          <w:p w14:paraId="33472D19" w14:textId="77777777" w:rsidR="006A0772" w:rsidRPr="0078598C" w:rsidRDefault="006A0772" w:rsidP="00B46D06">
            <w:pPr>
              <w:spacing w:before="80" w:after="80"/>
              <w:rPr>
                <w:szCs w:val="22"/>
              </w:rPr>
            </w:pPr>
            <w:r w:rsidRPr="0078598C">
              <w:rPr>
                <w:szCs w:val="22"/>
              </w:rPr>
              <w:t>Improves clarity, consistency, and efficiency in managing Victoria’s natural assets.</w:t>
            </w:r>
            <w:r>
              <w:rPr>
                <w:szCs w:val="22"/>
              </w:rPr>
              <w:t xml:space="preserve"> Allows Parks Victoria to focus on its core services.</w:t>
            </w:r>
          </w:p>
        </w:tc>
      </w:tr>
      <w:tr w:rsidR="006A0772" w14:paraId="6784C361" w14:textId="77777777" w:rsidTr="00177394">
        <w:tc>
          <w:tcPr>
            <w:tcW w:w="9209" w:type="dxa"/>
          </w:tcPr>
          <w:p w14:paraId="460E5CFF" w14:textId="77777777" w:rsidR="006A0772" w:rsidRPr="00354690" w:rsidRDefault="006A0772" w:rsidP="00B46D06">
            <w:pPr>
              <w:spacing w:before="80" w:after="80"/>
              <w:rPr>
                <w:b/>
                <w:bCs/>
                <w:szCs w:val="22"/>
              </w:rPr>
            </w:pPr>
            <w:r w:rsidRPr="00354690">
              <w:rPr>
                <w:rFonts w:eastAsia="Aptos" w:cs="Aptos"/>
                <w:b/>
                <w:bCs/>
                <w:color w:val="000000" w:themeColor="text1"/>
                <w:szCs w:val="22"/>
              </w:rPr>
              <w:t>Create a new Outdoor Regulator</w:t>
            </w:r>
          </w:p>
          <w:p w14:paraId="30127EBA" w14:textId="77777777" w:rsidR="006A0772" w:rsidRPr="00354690" w:rsidRDefault="006A0772" w:rsidP="00B46D06">
            <w:pPr>
              <w:spacing w:before="80" w:after="80"/>
              <w:rPr>
                <w:szCs w:val="22"/>
              </w:rPr>
            </w:pPr>
            <w:proofErr w:type="gramStart"/>
            <w:r w:rsidRPr="00354690">
              <w:rPr>
                <w:szCs w:val="22"/>
              </w:rPr>
              <w:t>Merges</w:t>
            </w:r>
            <w:proofErr w:type="gramEnd"/>
            <w:r w:rsidRPr="00354690">
              <w:rPr>
                <w:szCs w:val="22"/>
              </w:rPr>
              <w:t xml:space="preserve"> the Victorian Fisheries Authority and Game Management Authority </w:t>
            </w:r>
            <w:r>
              <w:rPr>
                <w:szCs w:val="22"/>
              </w:rPr>
              <w:t xml:space="preserve">to form a </w:t>
            </w:r>
            <w:r w:rsidRPr="00354690">
              <w:rPr>
                <w:rFonts w:eastAsia="Aptos" w:cs="Aptos"/>
                <w:color w:val="000000" w:themeColor="text1"/>
                <w:szCs w:val="22"/>
              </w:rPr>
              <w:t>unified regulator</w:t>
            </w:r>
            <w:r>
              <w:rPr>
                <w:rFonts w:eastAsia="Aptos" w:cs="Aptos"/>
                <w:color w:val="000000" w:themeColor="text1"/>
                <w:szCs w:val="22"/>
              </w:rPr>
              <w:t>y</w:t>
            </w:r>
            <w:r w:rsidRPr="00354690">
              <w:rPr>
                <w:rFonts w:eastAsia="Aptos" w:cs="Aptos"/>
                <w:color w:val="000000" w:themeColor="text1"/>
                <w:szCs w:val="22"/>
              </w:rPr>
              <w:t xml:space="preserve"> body for wildlife management</w:t>
            </w:r>
            <w:r w:rsidRPr="00354690">
              <w:rPr>
                <w:szCs w:val="22"/>
              </w:rPr>
              <w:t>.</w:t>
            </w:r>
          </w:p>
          <w:p w14:paraId="5094621D" w14:textId="77777777" w:rsidR="006A0772" w:rsidRPr="0078598C" w:rsidRDefault="006A0772" w:rsidP="00B46D06">
            <w:pPr>
              <w:spacing w:before="80" w:after="80"/>
              <w:rPr>
                <w:szCs w:val="22"/>
              </w:rPr>
            </w:pPr>
            <w:r w:rsidRPr="00354690">
              <w:rPr>
                <w:szCs w:val="22"/>
              </w:rPr>
              <w:t>Enhance</w:t>
            </w:r>
            <w:r>
              <w:rPr>
                <w:szCs w:val="22"/>
              </w:rPr>
              <w:t>s</w:t>
            </w:r>
            <w:r w:rsidRPr="0078598C">
              <w:rPr>
                <w:szCs w:val="22"/>
              </w:rPr>
              <w:t xml:space="preserve"> data sharing, streamline</w:t>
            </w:r>
            <w:r>
              <w:rPr>
                <w:szCs w:val="22"/>
              </w:rPr>
              <w:t>s</w:t>
            </w:r>
            <w:r w:rsidRPr="0078598C">
              <w:rPr>
                <w:szCs w:val="22"/>
              </w:rPr>
              <w:t xml:space="preserve"> enforcement and provide</w:t>
            </w:r>
            <w:r>
              <w:rPr>
                <w:szCs w:val="22"/>
              </w:rPr>
              <w:t>s</w:t>
            </w:r>
            <w:r w:rsidRPr="0078598C">
              <w:rPr>
                <w:szCs w:val="22"/>
              </w:rPr>
              <w:t xml:space="preserve"> </w:t>
            </w:r>
            <w:proofErr w:type="gramStart"/>
            <w:r w:rsidRPr="0078598C">
              <w:rPr>
                <w:szCs w:val="22"/>
              </w:rPr>
              <w:t>a more</w:t>
            </w:r>
            <w:proofErr w:type="gramEnd"/>
            <w:r w:rsidRPr="0078598C">
              <w:rPr>
                <w:szCs w:val="22"/>
              </w:rPr>
              <w:t xml:space="preserve"> consistent regulatory experience for recreational and commercial users</w:t>
            </w:r>
            <w:r>
              <w:rPr>
                <w:szCs w:val="22"/>
              </w:rPr>
              <w:t>. S</w:t>
            </w:r>
            <w:r w:rsidRPr="0078598C">
              <w:rPr>
                <w:szCs w:val="22"/>
              </w:rPr>
              <w:t>upport</w:t>
            </w:r>
            <w:r>
              <w:rPr>
                <w:szCs w:val="22"/>
              </w:rPr>
              <w:t>s</w:t>
            </w:r>
            <w:r w:rsidRPr="0078598C">
              <w:rPr>
                <w:szCs w:val="22"/>
              </w:rPr>
              <w:t xml:space="preserve"> a holistic approach to ecosystem and species management.</w:t>
            </w:r>
          </w:p>
        </w:tc>
      </w:tr>
      <w:tr w:rsidR="006A0772" w14:paraId="3297B4AA" w14:textId="77777777" w:rsidTr="00177394">
        <w:tc>
          <w:tcPr>
            <w:tcW w:w="9209" w:type="dxa"/>
          </w:tcPr>
          <w:p w14:paraId="6B486010" w14:textId="77777777" w:rsidR="006A0772" w:rsidRPr="0078598C" w:rsidRDefault="006A0772" w:rsidP="00B46D06">
            <w:pPr>
              <w:spacing w:before="80" w:after="80"/>
              <w:rPr>
                <w:b/>
                <w:bCs/>
                <w:szCs w:val="22"/>
              </w:rPr>
            </w:pPr>
            <w:r w:rsidRPr="0078598C">
              <w:rPr>
                <w:b/>
                <w:bCs/>
                <w:szCs w:val="22"/>
              </w:rPr>
              <w:t xml:space="preserve">Merge Heritage Council of Victoria functions </w:t>
            </w:r>
            <w:proofErr w:type="gramStart"/>
            <w:r w:rsidRPr="0078598C">
              <w:rPr>
                <w:b/>
                <w:bCs/>
                <w:szCs w:val="22"/>
              </w:rPr>
              <w:t>into</w:t>
            </w:r>
            <w:proofErr w:type="gramEnd"/>
            <w:r w:rsidRPr="0078598C">
              <w:rPr>
                <w:b/>
                <w:bCs/>
                <w:szCs w:val="22"/>
              </w:rPr>
              <w:t xml:space="preserve"> Heritage Victoria</w:t>
            </w:r>
          </w:p>
          <w:p w14:paraId="529A415E" w14:textId="279F3470" w:rsidR="006A0772" w:rsidRPr="00F31FF7" w:rsidRDefault="006A0772" w:rsidP="00B46D06">
            <w:pPr>
              <w:spacing w:before="80" w:after="80"/>
              <w:rPr>
                <w:szCs w:val="22"/>
              </w:rPr>
            </w:pPr>
            <w:proofErr w:type="gramStart"/>
            <w:r w:rsidRPr="00F31FF7">
              <w:rPr>
                <w:szCs w:val="22"/>
              </w:rPr>
              <w:t>Merges</w:t>
            </w:r>
            <w:proofErr w:type="gramEnd"/>
            <w:r w:rsidRPr="00F31FF7">
              <w:rPr>
                <w:szCs w:val="22"/>
              </w:rPr>
              <w:t xml:space="preserve"> </w:t>
            </w:r>
            <w:proofErr w:type="gramStart"/>
            <w:r w:rsidRPr="00F31FF7">
              <w:rPr>
                <w:szCs w:val="22"/>
              </w:rPr>
              <w:t>functions</w:t>
            </w:r>
            <w:proofErr w:type="gramEnd"/>
            <w:r w:rsidRPr="00F31FF7">
              <w:rPr>
                <w:szCs w:val="22"/>
              </w:rPr>
              <w:t xml:space="preserve"> to </w:t>
            </w:r>
            <w:proofErr w:type="spellStart"/>
            <w:r w:rsidRPr="00F31FF7">
              <w:rPr>
                <w:rFonts w:eastAsia="Aptos" w:cs="Aptos"/>
                <w:color w:val="000000" w:themeColor="text1"/>
                <w:szCs w:val="22"/>
              </w:rPr>
              <w:t>centralise</w:t>
            </w:r>
            <w:proofErr w:type="spellEnd"/>
            <w:r w:rsidRPr="00F31FF7">
              <w:rPr>
                <w:rFonts w:eastAsia="Aptos" w:cs="Aptos"/>
                <w:color w:val="000000" w:themeColor="text1"/>
                <w:szCs w:val="22"/>
              </w:rPr>
              <w:t xml:space="preserve"> heritage decision-making and policy implementation</w:t>
            </w:r>
            <w:r w:rsidR="00E96932">
              <w:rPr>
                <w:rFonts w:eastAsia="Aptos" w:cs="Aptos"/>
                <w:color w:val="000000" w:themeColor="text1"/>
                <w:szCs w:val="22"/>
              </w:rPr>
              <w:t>.</w:t>
            </w:r>
          </w:p>
          <w:p w14:paraId="02CAA139" w14:textId="77777777" w:rsidR="006A0772" w:rsidRPr="0078598C" w:rsidRDefault="006A0772" w:rsidP="00B46D06">
            <w:pPr>
              <w:spacing w:before="80" w:after="80"/>
              <w:rPr>
                <w:szCs w:val="22"/>
              </w:rPr>
            </w:pPr>
            <w:r w:rsidRPr="00F31FF7">
              <w:rPr>
                <w:szCs w:val="22"/>
              </w:rPr>
              <w:t>Improves efficiency and responsiveness while maintaining strong heritage protection through a single body.</w:t>
            </w:r>
          </w:p>
        </w:tc>
      </w:tr>
      <w:tr w:rsidR="006A0772" w14:paraId="5DABDFE6" w14:textId="77777777" w:rsidTr="00177394">
        <w:tc>
          <w:tcPr>
            <w:tcW w:w="9209" w:type="dxa"/>
          </w:tcPr>
          <w:p w14:paraId="00FAB701" w14:textId="77777777" w:rsidR="006A0772" w:rsidRPr="00BF30A6" w:rsidRDefault="006A0772" w:rsidP="00B46D06">
            <w:pPr>
              <w:spacing w:before="80" w:after="80"/>
              <w:rPr>
                <w:b/>
                <w:bCs/>
                <w:szCs w:val="22"/>
              </w:rPr>
            </w:pPr>
            <w:r w:rsidRPr="00BF30A6">
              <w:rPr>
                <w:rFonts w:eastAsia="Aptos" w:cs="Aptos"/>
                <w:b/>
                <w:bCs/>
                <w:color w:val="000000" w:themeColor="text1"/>
                <w:szCs w:val="22"/>
              </w:rPr>
              <w:t>Absorb the Housing Registrar into the Social Services Regulator</w:t>
            </w:r>
          </w:p>
          <w:p w14:paraId="2D4B524B" w14:textId="77777777" w:rsidR="006A0772" w:rsidRDefault="006A0772" w:rsidP="00B46D06">
            <w:pPr>
              <w:spacing w:before="80" w:after="80"/>
              <w:rPr>
                <w:rFonts w:eastAsia="Aptos" w:cs="Aptos"/>
                <w:color w:val="000000" w:themeColor="text1"/>
                <w:szCs w:val="22"/>
              </w:rPr>
            </w:pPr>
            <w:r w:rsidRPr="00F22E08">
              <w:rPr>
                <w:szCs w:val="22"/>
              </w:rPr>
              <w:t xml:space="preserve">Brings the Housing Registrar </w:t>
            </w:r>
            <w:r>
              <w:rPr>
                <w:rFonts w:eastAsia="Aptos" w:cs="Aptos"/>
                <w:color w:val="000000" w:themeColor="text1"/>
                <w:szCs w:val="22"/>
              </w:rPr>
              <w:t>into the Social Services Regulator’s</w:t>
            </w:r>
            <w:r w:rsidRPr="00F22E08">
              <w:rPr>
                <w:rFonts w:eastAsia="Aptos" w:cs="Aptos"/>
                <w:color w:val="000000" w:themeColor="text1"/>
                <w:szCs w:val="22"/>
              </w:rPr>
              <w:t xml:space="preserve"> recently expanded regulatory framework as the single independent regulator for Victorian social service providers</w:t>
            </w:r>
            <w:r>
              <w:rPr>
                <w:rFonts w:eastAsia="Aptos" w:cs="Aptos"/>
                <w:color w:val="000000" w:themeColor="text1"/>
                <w:szCs w:val="22"/>
              </w:rPr>
              <w:t>.</w:t>
            </w:r>
            <w:r w:rsidRPr="00F22E08">
              <w:rPr>
                <w:rFonts w:eastAsia="Aptos" w:cs="Aptos"/>
                <w:color w:val="000000" w:themeColor="text1"/>
                <w:szCs w:val="22"/>
              </w:rPr>
              <w:t xml:space="preserve"> </w:t>
            </w:r>
          </w:p>
          <w:p w14:paraId="3DA0D22D" w14:textId="77777777" w:rsidR="006A0772" w:rsidRPr="00B10E95" w:rsidRDefault="006A0772" w:rsidP="00B46D06">
            <w:pPr>
              <w:spacing w:before="80" w:after="80"/>
              <w:rPr>
                <w:rFonts w:eastAsia="Aptos" w:cs="Aptos"/>
                <w:color w:val="000000" w:themeColor="text1"/>
                <w:szCs w:val="22"/>
              </w:rPr>
            </w:pPr>
            <w:r w:rsidRPr="00F22E08">
              <w:rPr>
                <w:szCs w:val="22"/>
              </w:rPr>
              <w:t>Improves safety and quality standards fo</w:t>
            </w:r>
            <w:r w:rsidRPr="0078598C">
              <w:rPr>
                <w:szCs w:val="22"/>
              </w:rPr>
              <w:t>r social services provided in Victoria.</w:t>
            </w:r>
          </w:p>
        </w:tc>
      </w:tr>
    </w:tbl>
    <w:p w14:paraId="44194861" w14:textId="77777777" w:rsidR="00614733" w:rsidRDefault="00614733"/>
    <w:p w14:paraId="60993A36" w14:textId="77777777" w:rsidR="00614733" w:rsidRDefault="00614733"/>
    <w:p w14:paraId="4B4A350E" w14:textId="77777777" w:rsidR="00614733" w:rsidRDefault="00614733"/>
    <w:tbl>
      <w:tblPr>
        <w:tblStyle w:val="TableGrid"/>
        <w:tblW w:w="9209" w:type="dxa"/>
        <w:tblBorders>
          <w:left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209"/>
      </w:tblGrid>
      <w:tr w:rsidR="00614733" w14:paraId="244CF74D" w14:textId="77777777" w:rsidTr="00614733">
        <w:tc>
          <w:tcPr>
            <w:tcW w:w="9209" w:type="dxa"/>
            <w:shd w:val="clear" w:color="auto" w:fill="0A2F41" w:themeFill="accent1" w:themeFillShade="80"/>
          </w:tcPr>
          <w:p w14:paraId="1A254ECE" w14:textId="286CBDD2" w:rsidR="00614733" w:rsidRPr="0078598C" w:rsidRDefault="00614733" w:rsidP="007827BB">
            <w:pPr>
              <w:spacing w:before="80" w:after="80"/>
              <w:rPr>
                <w:b/>
                <w:bCs/>
                <w:color w:val="FFFFFF" w:themeColor="background1"/>
                <w:szCs w:val="22"/>
              </w:rPr>
            </w:pPr>
            <w:r w:rsidRPr="0078598C">
              <w:rPr>
                <w:b/>
                <w:szCs w:val="22"/>
              </w:rPr>
              <w:lastRenderedPageBreak/>
              <w:t>Initiative summary and benefit</w:t>
            </w:r>
          </w:p>
        </w:tc>
      </w:tr>
      <w:tr w:rsidR="006A0772" w14:paraId="563466D5" w14:textId="77777777" w:rsidTr="00780C45">
        <w:tc>
          <w:tcPr>
            <w:tcW w:w="9209" w:type="dxa"/>
            <w:shd w:val="clear" w:color="auto" w:fill="595959" w:themeFill="text1" w:themeFillTint="A6"/>
          </w:tcPr>
          <w:p w14:paraId="25B97118" w14:textId="77777777" w:rsidR="006A0772" w:rsidRPr="0078598C" w:rsidRDefault="006A0772" w:rsidP="00B46D06">
            <w:pPr>
              <w:spacing w:before="80" w:after="80"/>
              <w:rPr>
                <w:b/>
                <w:bCs/>
                <w:szCs w:val="22"/>
              </w:rPr>
            </w:pPr>
            <w:r w:rsidRPr="0078598C">
              <w:rPr>
                <w:b/>
                <w:bCs/>
                <w:color w:val="FFFFFF" w:themeColor="background1"/>
                <w:szCs w:val="22"/>
              </w:rPr>
              <w:t>Water and land management reforms</w:t>
            </w:r>
          </w:p>
        </w:tc>
      </w:tr>
      <w:tr w:rsidR="006A0772" w14:paraId="504AEB85" w14:textId="77777777" w:rsidTr="00177394">
        <w:tc>
          <w:tcPr>
            <w:tcW w:w="9209" w:type="dxa"/>
          </w:tcPr>
          <w:p w14:paraId="3359CD4D" w14:textId="6C0B5FC2" w:rsidR="006A0772" w:rsidRPr="00342CCB" w:rsidRDefault="006A0772" w:rsidP="00B46D06">
            <w:pPr>
              <w:spacing w:before="80" w:after="80"/>
              <w:rPr>
                <w:szCs w:val="22"/>
              </w:rPr>
            </w:pPr>
            <w:r w:rsidRPr="00CF5409">
              <w:rPr>
                <w:b/>
                <w:bCs/>
                <w:szCs w:val="22"/>
              </w:rPr>
              <w:t>C</w:t>
            </w:r>
            <w:r w:rsidRPr="00342CCB">
              <w:rPr>
                <w:b/>
                <w:bCs/>
                <w:szCs w:val="22"/>
              </w:rPr>
              <w:t xml:space="preserve">onsolidate </w:t>
            </w:r>
            <w:r w:rsidRPr="00DF3E72">
              <w:rPr>
                <w:b/>
                <w:szCs w:val="22"/>
              </w:rPr>
              <w:t>1</w:t>
            </w:r>
            <w:r w:rsidR="00895488" w:rsidRPr="00DF3E72">
              <w:rPr>
                <w:b/>
                <w:szCs w:val="22"/>
              </w:rPr>
              <w:t>4</w:t>
            </w:r>
            <w:r w:rsidRPr="00342CCB">
              <w:rPr>
                <w:b/>
                <w:bCs/>
                <w:szCs w:val="22"/>
              </w:rPr>
              <w:t xml:space="preserve"> water corporations into </w:t>
            </w:r>
            <w:r w:rsidR="00C422E9" w:rsidRPr="00DF3E72">
              <w:rPr>
                <w:b/>
                <w:szCs w:val="22"/>
              </w:rPr>
              <w:t>3</w:t>
            </w:r>
            <w:r w:rsidRPr="00342CCB">
              <w:rPr>
                <w:b/>
                <w:bCs/>
                <w:szCs w:val="22"/>
              </w:rPr>
              <w:t xml:space="preserve">, forming metro-regional </w:t>
            </w:r>
            <w:r>
              <w:rPr>
                <w:b/>
                <w:bCs/>
                <w:szCs w:val="22"/>
              </w:rPr>
              <w:t xml:space="preserve">water </w:t>
            </w:r>
            <w:r w:rsidRPr="00342CCB">
              <w:rPr>
                <w:b/>
                <w:bCs/>
                <w:szCs w:val="22"/>
              </w:rPr>
              <w:t>partnerships</w:t>
            </w:r>
            <w:r w:rsidRPr="00342CCB">
              <w:rPr>
                <w:szCs w:val="22"/>
              </w:rPr>
              <w:t xml:space="preserve"> </w:t>
            </w:r>
            <w:r w:rsidRPr="00342CCB">
              <w:rPr>
                <w:szCs w:val="22"/>
              </w:rPr>
              <w:br/>
            </w:r>
            <w:r w:rsidRPr="009A3CC6">
              <w:rPr>
                <w:szCs w:val="22"/>
                <w:u w:val="single"/>
              </w:rPr>
              <w:t>Western</w:t>
            </w:r>
            <w:r>
              <w:rPr>
                <w:szCs w:val="22"/>
                <w:u w:val="single"/>
              </w:rPr>
              <w:t xml:space="preserve"> Water Partnership</w:t>
            </w:r>
            <w:r w:rsidRPr="00342CCB">
              <w:rPr>
                <w:szCs w:val="22"/>
              </w:rPr>
              <w:t xml:space="preserve"> </w:t>
            </w:r>
          </w:p>
          <w:p w14:paraId="1725C73C" w14:textId="77777777" w:rsidR="006A0772" w:rsidRPr="00342CCB" w:rsidRDefault="006A0772" w:rsidP="00B46D06">
            <w:pPr>
              <w:pStyle w:val="ListParagraph"/>
              <w:numPr>
                <w:ilvl w:val="0"/>
                <w:numId w:val="72"/>
              </w:numPr>
              <w:spacing w:before="80" w:after="80"/>
              <w:contextualSpacing w:val="0"/>
              <w:rPr>
                <w:szCs w:val="22"/>
              </w:rPr>
            </w:pPr>
            <w:r w:rsidRPr="00342CCB">
              <w:rPr>
                <w:szCs w:val="22"/>
              </w:rPr>
              <w:t xml:space="preserve">Greater Western Water (metro) as central hub, in partnership with </w:t>
            </w:r>
          </w:p>
          <w:p w14:paraId="1F590E7C" w14:textId="77777777" w:rsidR="006A0772" w:rsidRPr="00342CCB" w:rsidRDefault="006A0772" w:rsidP="00B46D06">
            <w:pPr>
              <w:pStyle w:val="ListParagraph"/>
              <w:numPr>
                <w:ilvl w:val="0"/>
                <w:numId w:val="72"/>
              </w:numPr>
              <w:spacing w:before="80" w:after="80"/>
              <w:contextualSpacing w:val="0"/>
              <w:rPr>
                <w:szCs w:val="22"/>
              </w:rPr>
            </w:pPr>
            <w:r w:rsidRPr="00342CCB">
              <w:rPr>
                <w:szCs w:val="22"/>
              </w:rPr>
              <w:t xml:space="preserve">Western Regional (regional): Barwon Water, Central Highlands Water, Grampians Wimmera Mallee Water, Lower Murray Water, </w:t>
            </w:r>
            <w:proofErr w:type="spellStart"/>
            <w:r w:rsidRPr="00342CCB">
              <w:rPr>
                <w:szCs w:val="22"/>
              </w:rPr>
              <w:t>Wannon</w:t>
            </w:r>
            <w:proofErr w:type="spellEnd"/>
            <w:r w:rsidRPr="00342CCB">
              <w:rPr>
                <w:szCs w:val="22"/>
              </w:rPr>
              <w:t xml:space="preserve"> Water</w:t>
            </w:r>
          </w:p>
          <w:p w14:paraId="368D5BAD" w14:textId="77777777" w:rsidR="006A0772" w:rsidRPr="009A3CC6" w:rsidRDefault="006A0772" w:rsidP="00B46D06">
            <w:pPr>
              <w:spacing w:before="80" w:after="80"/>
              <w:rPr>
                <w:szCs w:val="22"/>
                <w:u w:val="single"/>
              </w:rPr>
            </w:pPr>
            <w:r w:rsidRPr="009A3CC6">
              <w:rPr>
                <w:szCs w:val="22"/>
                <w:u w:val="single"/>
              </w:rPr>
              <w:t>Northern</w:t>
            </w:r>
            <w:r>
              <w:rPr>
                <w:szCs w:val="22"/>
                <w:u w:val="single"/>
              </w:rPr>
              <w:t xml:space="preserve"> Water Partnership</w:t>
            </w:r>
          </w:p>
          <w:p w14:paraId="6802D144" w14:textId="77777777" w:rsidR="006A0772" w:rsidRPr="00342CCB" w:rsidRDefault="006A0772" w:rsidP="00B46D06">
            <w:pPr>
              <w:pStyle w:val="ListParagraph"/>
              <w:numPr>
                <w:ilvl w:val="0"/>
                <w:numId w:val="73"/>
              </w:numPr>
              <w:spacing w:before="80" w:after="80"/>
              <w:contextualSpacing w:val="0"/>
              <w:rPr>
                <w:szCs w:val="22"/>
              </w:rPr>
            </w:pPr>
            <w:proofErr w:type="spellStart"/>
            <w:r w:rsidRPr="00342CCB">
              <w:rPr>
                <w:szCs w:val="22"/>
              </w:rPr>
              <w:t>Yarra</w:t>
            </w:r>
            <w:proofErr w:type="spellEnd"/>
            <w:r w:rsidRPr="00342CCB">
              <w:rPr>
                <w:szCs w:val="22"/>
              </w:rPr>
              <w:t xml:space="preserve"> Valley Water (metro) as central hub, in partnership with</w:t>
            </w:r>
          </w:p>
          <w:p w14:paraId="4F22FA3D" w14:textId="77777777" w:rsidR="006A0772" w:rsidRPr="00342CCB" w:rsidRDefault="006A0772" w:rsidP="00B46D06">
            <w:pPr>
              <w:pStyle w:val="ListParagraph"/>
              <w:numPr>
                <w:ilvl w:val="0"/>
                <w:numId w:val="73"/>
              </w:numPr>
              <w:spacing w:before="80" w:after="80"/>
              <w:contextualSpacing w:val="0"/>
              <w:rPr>
                <w:szCs w:val="22"/>
              </w:rPr>
            </w:pPr>
            <w:r w:rsidRPr="00342CCB">
              <w:rPr>
                <w:szCs w:val="22"/>
              </w:rPr>
              <w:t xml:space="preserve">Northern Regional (regional): </w:t>
            </w:r>
            <w:proofErr w:type="spellStart"/>
            <w:r w:rsidRPr="00342CCB">
              <w:rPr>
                <w:szCs w:val="22"/>
              </w:rPr>
              <w:t>Coliban</w:t>
            </w:r>
            <w:proofErr w:type="spellEnd"/>
            <w:r w:rsidRPr="00342CCB">
              <w:rPr>
                <w:szCs w:val="22"/>
              </w:rPr>
              <w:t xml:space="preserve"> Water, Goulburn Valley Water, Goulburn-Murray Water, </w:t>
            </w:r>
            <w:proofErr w:type="gramStart"/>
            <w:r w:rsidRPr="00342CCB">
              <w:rPr>
                <w:szCs w:val="22"/>
              </w:rPr>
              <w:t>North East</w:t>
            </w:r>
            <w:proofErr w:type="gramEnd"/>
            <w:r w:rsidRPr="00342CCB">
              <w:rPr>
                <w:szCs w:val="22"/>
              </w:rPr>
              <w:t xml:space="preserve"> Water</w:t>
            </w:r>
          </w:p>
          <w:p w14:paraId="0BE6DC84" w14:textId="77777777" w:rsidR="006A0772" w:rsidRPr="009A3CC6" w:rsidRDefault="006A0772" w:rsidP="00B46D06">
            <w:pPr>
              <w:spacing w:before="80" w:after="80"/>
              <w:rPr>
                <w:szCs w:val="22"/>
                <w:u w:val="single"/>
              </w:rPr>
            </w:pPr>
            <w:r w:rsidRPr="009A3CC6">
              <w:rPr>
                <w:szCs w:val="22"/>
                <w:u w:val="single"/>
              </w:rPr>
              <w:t>Eastern</w:t>
            </w:r>
            <w:r>
              <w:rPr>
                <w:szCs w:val="22"/>
                <w:u w:val="single"/>
              </w:rPr>
              <w:t xml:space="preserve"> Water Partnership</w:t>
            </w:r>
          </w:p>
          <w:p w14:paraId="32A66C13" w14:textId="77777777" w:rsidR="006A0772" w:rsidRPr="00342CCB" w:rsidRDefault="006A0772" w:rsidP="00B46D06">
            <w:pPr>
              <w:pStyle w:val="ListParagraph"/>
              <w:numPr>
                <w:ilvl w:val="0"/>
                <w:numId w:val="72"/>
              </w:numPr>
              <w:spacing w:before="80" w:after="80"/>
              <w:contextualSpacing w:val="0"/>
              <w:rPr>
                <w:szCs w:val="22"/>
              </w:rPr>
            </w:pPr>
            <w:proofErr w:type="gramStart"/>
            <w:r w:rsidRPr="00342CCB">
              <w:rPr>
                <w:szCs w:val="22"/>
              </w:rPr>
              <w:t>South East</w:t>
            </w:r>
            <w:proofErr w:type="gramEnd"/>
            <w:r w:rsidRPr="00342CCB">
              <w:rPr>
                <w:szCs w:val="22"/>
              </w:rPr>
              <w:t xml:space="preserve"> Water (metro) as central hub, in partnership with </w:t>
            </w:r>
          </w:p>
          <w:p w14:paraId="358CF09E" w14:textId="77777777" w:rsidR="006A0772" w:rsidRPr="00342CCB" w:rsidRDefault="006A0772" w:rsidP="00B46D06">
            <w:pPr>
              <w:pStyle w:val="ListParagraph"/>
              <w:numPr>
                <w:ilvl w:val="0"/>
                <w:numId w:val="74"/>
              </w:numPr>
              <w:spacing w:before="80" w:after="80"/>
              <w:contextualSpacing w:val="0"/>
              <w:rPr>
                <w:szCs w:val="22"/>
              </w:rPr>
            </w:pPr>
            <w:r w:rsidRPr="00342CCB">
              <w:rPr>
                <w:szCs w:val="22"/>
              </w:rPr>
              <w:t>Eastern Regional: East Gippsland Water, Gippsland Water, South Gippsland Water, Westernport Water.</w:t>
            </w:r>
          </w:p>
          <w:p w14:paraId="7AF79D75" w14:textId="77777777" w:rsidR="006A0772" w:rsidRDefault="006A0772" w:rsidP="00B46D06">
            <w:pPr>
              <w:spacing w:before="80" w:after="80"/>
              <w:rPr>
                <w:szCs w:val="22"/>
              </w:rPr>
            </w:pPr>
            <w:r w:rsidRPr="00342CCB">
              <w:rPr>
                <w:szCs w:val="22"/>
              </w:rPr>
              <w:t>Southern Rural would be split between the Western and Eastern Water Partnerships.</w:t>
            </w:r>
          </w:p>
          <w:p w14:paraId="08609D53" w14:textId="77777777" w:rsidR="006A0772" w:rsidRPr="00C926B9" w:rsidRDefault="006A0772" w:rsidP="00B46D06">
            <w:pPr>
              <w:spacing w:before="80" w:after="80"/>
              <w:rPr>
                <w:szCs w:val="22"/>
              </w:rPr>
            </w:pPr>
            <w:r w:rsidRPr="00C926B9">
              <w:rPr>
                <w:rFonts w:ascii="Aptos" w:eastAsia="Aptos" w:hAnsi="Aptos" w:cs="Aptos"/>
                <w:color w:val="000000" w:themeColor="text1"/>
                <w:szCs w:val="22"/>
              </w:rPr>
              <w:t xml:space="preserve">Metro water </w:t>
            </w:r>
            <w:r w:rsidRPr="00274C25">
              <w:rPr>
                <w:rFonts w:ascii="Aptos" w:eastAsia="Aptos" w:hAnsi="Aptos" w:cs="Aptos"/>
                <w:color w:val="000000" w:themeColor="text1"/>
                <w:szCs w:val="22"/>
              </w:rPr>
              <w:t xml:space="preserve">corporations act as the central coordination hubs for their respective partnerships. </w:t>
            </w:r>
            <w:r>
              <w:rPr>
                <w:rFonts w:ascii="Aptos" w:eastAsia="Aptos" w:hAnsi="Aptos" w:cs="Aptos"/>
                <w:color w:val="000000" w:themeColor="text1"/>
                <w:szCs w:val="22"/>
              </w:rPr>
              <w:t>R</w:t>
            </w:r>
            <w:r w:rsidRPr="00274C25">
              <w:rPr>
                <w:rFonts w:ascii="Aptos" w:eastAsia="Aptos" w:hAnsi="Aptos" w:cs="Aptos"/>
                <w:color w:val="000000" w:themeColor="text1"/>
                <w:szCs w:val="22"/>
              </w:rPr>
              <w:t>egional water corporations act as the service delivery arms for their respective partnerships</w:t>
            </w:r>
            <w:r>
              <w:rPr>
                <w:rFonts w:ascii="Aptos" w:eastAsia="Aptos" w:hAnsi="Aptos" w:cs="Aptos"/>
                <w:color w:val="000000" w:themeColor="text1"/>
                <w:szCs w:val="22"/>
              </w:rPr>
              <w:t>.</w:t>
            </w:r>
          </w:p>
          <w:p w14:paraId="7D802A87" w14:textId="77777777" w:rsidR="006A0772" w:rsidRDefault="006A0772" w:rsidP="00B46D06">
            <w:pPr>
              <w:spacing w:before="80" w:after="80"/>
              <w:rPr>
                <w:szCs w:val="22"/>
              </w:rPr>
            </w:pPr>
            <w:r w:rsidRPr="00342CCB">
              <w:rPr>
                <w:szCs w:val="22"/>
              </w:rPr>
              <w:t>Proposal excludes Melbourne Water.</w:t>
            </w:r>
          </w:p>
          <w:p w14:paraId="38EC71C8" w14:textId="77777777" w:rsidR="006A0772" w:rsidRPr="00342CCB" w:rsidRDefault="006A0772" w:rsidP="00B46D06">
            <w:pPr>
              <w:spacing w:before="80" w:after="80"/>
              <w:rPr>
                <w:szCs w:val="22"/>
              </w:rPr>
            </w:pPr>
            <w:r w:rsidRPr="00342CCB">
              <w:rPr>
                <w:b/>
                <w:bCs/>
                <w:szCs w:val="22"/>
              </w:rPr>
              <w:t xml:space="preserve">Merge </w:t>
            </w:r>
            <w:r w:rsidRPr="00342CCB">
              <w:rPr>
                <w:rFonts w:ascii="Aptos" w:eastAsia="Aptos" w:hAnsi="Aptos" w:cs="Aptos"/>
                <w:b/>
                <w:bCs/>
                <w:color w:val="000000" w:themeColor="text1"/>
                <w:szCs w:val="22"/>
              </w:rPr>
              <w:t>Catchment Management Authorities (CMAs) into 3 regionally aligned bodies</w:t>
            </w:r>
          </w:p>
          <w:p w14:paraId="61D5DF7E" w14:textId="77777777" w:rsidR="006A0772" w:rsidRDefault="006A0772" w:rsidP="00B46D06">
            <w:pPr>
              <w:pStyle w:val="ListParagraph"/>
              <w:numPr>
                <w:ilvl w:val="0"/>
                <w:numId w:val="72"/>
              </w:numPr>
              <w:spacing w:before="80" w:after="80"/>
              <w:contextualSpacing w:val="0"/>
              <w:rPr>
                <w:szCs w:val="22"/>
              </w:rPr>
            </w:pPr>
            <w:r w:rsidRPr="00342CCB">
              <w:rPr>
                <w:szCs w:val="22"/>
              </w:rPr>
              <w:t xml:space="preserve">Western CMA: </w:t>
            </w:r>
            <w:proofErr w:type="spellStart"/>
            <w:r w:rsidRPr="00342CCB">
              <w:rPr>
                <w:szCs w:val="22"/>
              </w:rPr>
              <w:t>Corangamite</w:t>
            </w:r>
            <w:proofErr w:type="spellEnd"/>
            <w:r w:rsidRPr="00342CCB">
              <w:rPr>
                <w:szCs w:val="22"/>
              </w:rPr>
              <w:t>, Glenelg Hopkins, Wimmera, Mallee</w:t>
            </w:r>
          </w:p>
          <w:p w14:paraId="64EBDCCE" w14:textId="77777777" w:rsidR="006A0772" w:rsidRDefault="006A0772" w:rsidP="00B46D06">
            <w:pPr>
              <w:pStyle w:val="ListParagraph"/>
              <w:numPr>
                <w:ilvl w:val="0"/>
                <w:numId w:val="72"/>
              </w:numPr>
              <w:spacing w:before="80" w:after="80"/>
              <w:contextualSpacing w:val="0"/>
              <w:rPr>
                <w:szCs w:val="22"/>
              </w:rPr>
            </w:pPr>
            <w:r w:rsidRPr="00342CCB">
              <w:rPr>
                <w:szCs w:val="22"/>
              </w:rPr>
              <w:t xml:space="preserve">Northern CMA: Goulburn Broken, </w:t>
            </w:r>
            <w:proofErr w:type="gramStart"/>
            <w:r w:rsidRPr="00342CCB">
              <w:rPr>
                <w:szCs w:val="22"/>
              </w:rPr>
              <w:t>North East</w:t>
            </w:r>
            <w:proofErr w:type="gramEnd"/>
            <w:r w:rsidRPr="00342CCB">
              <w:rPr>
                <w:szCs w:val="22"/>
              </w:rPr>
              <w:t>, North Central</w:t>
            </w:r>
          </w:p>
          <w:p w14:paraId="4782CA97" w14:textId="77777777" w:rsidR="006A0772" w:rsidRPr="00342CCB" w:rsidRDefault="006A0772" w:rsidP="00B46D06">
            <w:pPr>
              <w:pStyle w:val="ListParagraph"/>
              <w:numPr>
                <w:ilvl w:val="0"/>
                <w:numId w:val="72"/>
              </w:numPr>
              <w:spacing w:before="80" w:after="80"/>
              <w:contextualSpacing w:val="0"/>
              <w:rPr>
                <w:szCs w:val="22"/>
              </w:rPr>
            </w:pPr>
            <w:r w:rsidRPr="00342CCB">
              <w:rPr>
                <w:szCs w:val="22"/>
              </w:rPr>
              <w:t>Eastern CMA: West Gippsland. East Gippsland.</w:t>
            </w:r>
          </w:p>
          <w:p w14:paraId="7FA2D114" w14:textId="27667056" w:rsidR="006A0772" w:rsidRPr="005D42C4" w:rsidRDefault="006A0772" w:rsidP="00B46D06">
            <w:pPr>
              <w:spacing w:before="80" w:after="80"/>
              <w:rPr>
                <w:rFonts w:ascii="Aptos" w:eastAsia="Aptos" w:hAnsi="Aptos" w:cs="Aptos"/>
                <w:color w:val="000000" w:themeColor="text1"/>
                <w:szCs w:val="22"/>
              </w:rPr>
            </w:pPr>
            <w:r>
              <w:rPr>
                <w:rFonts w:ascii="Aptos" w:eastAsia="Aptos" w:hAnsi="Aptos" w:cs="Aptos"/>
                <w:color w:val="000000" w:themeColor="text1"/>
                <w:szCs w:val="22"/>
              </w:rPr>
              <w:t>M</w:t>
            </w:r>
            <w:r w:rsidRPr="005D42C4">
              <w:rPr>
                <w:rFonts w:ascii="Aptos" w:eastAsia="Aptos" w:hAnsi="Aptos" w:cs="Aptos"/>
                <w:color w:val="000000" w:themeColor="text1"/>
                <w:szCs w:val="22"/>
              </w:rPr>
              <w:t xml:space="preserve">erged CMAs remain responsible for planning and coordination of land, water and biodiversity management in all catchment and land protection regions. They </w:t>
            </w:r>
            <w:r>
              <w:rPr>
                <w:rFonts w:ascii="Aptos" w:eastAsia="Aptos" w:hAnsi="Aptos" w:cs="Aptos"/>
                <w:color w:val="000000" w:themeColor="text1"/>
                <w:szCs w:val="22"/>
              </w:rPr>
              <w:t>are</w:t>
            </w:r>
            <w:r w:rsidRPr="005D42C4">
              <w:rPr>
                <w:rFonts w:ascii="Aptos" w:eastAsia="Aptos" w:hAnsi="Aptos" w:cs="Aptos"/>
                <w:color w:val="000000" w:themeColor="text1"/>
                <w:szCs w:val="22"/>
              </w:rPr>
              <w:t xml:space="preserve"> distinct from water corporations but share aligned boundaries to support integrated planning across regions</w:t>
            </w:r>
            <w:r w:rsidR="00E96932">
              <w:rPr>
                <w:rFonts w:ascii="Aptos" w:eastAsia="Aptos" w:hAnsi="Aptos" w:cs="Aptos"/>
                <w:color w:val="000000" w:themeColor="text1"/>
                <w:szCs w:val="22"/>
              </w:rPr>
              <w:t>.</w:t>
            </w:r>
          </w:p>
          <w:p w14:paraId="243BDE62" w14:textId="77777777" w:rsidR="006A0772" w:rsidRPr="005D42C4" w:rsidRDefault="006A0772" w:rsidP="00B46D06">
            <w:pPr>
              <w:spacing w:before="80" w:after="80"/>
              <w:rPr>
                <w:rFonts w:ascii="Aptos" w:eastAsia="Aptos" w:hAnsi="Aptos" w:cs="Aptos"/>
                <w:color w:val="000000" w:themeColor="text1"/>
                <w:szCs w:val="22"/>
              </w:rPr>
            </w:pPr>
            <w:r w:rsidRPr="005D42C4">
              <w:rPr>
                <w:rFonts w:ascii="Aptos" w:eastAsia="Aptos" w:hAnsi="Aptos" w:cs="Aptos"/>
                <w:color w:val="000000" w:themeColor="text1"/>
                <w:szCs w:val="22"/>
              </w:rPr>
              <w:t xml:space="preserve">Combines strategic coordination with local delivery expertise for efficient management of water resources across the state. </w:t>
            </w:r>
          </w:p>
          <w:p w14:paraId="27CF21A8" w14:textId="77777777" w:rsidR="006A0772" w:rsidRPr="0020400C" w:rsidRDefault="006A0772" w:rsidP="00B46D06">
            <w:pPr>
              <w:spacing w:before="80" w:after="80"/>
              <w:rPr>
                <w:szCs w:val="22"/>
              </w:rPr>
            </w:pPr>
            <w:r w:rsidRPr="009A3CC6">
              <w:rPr>
                <w:szCs w:val="22"/>
              </w:rPr>
              <w:t>Retain</w:t>
            </w:r>
            <w:r>
              <w:rPr>
                <w:szCs w:val="22"/>
              </w:rPr>
              <w:t>s</w:t>
            </w:r>
            <w:r w:rsidRPr="009A3CC6">
              <w:rPr>
                <w:szCs w:val="22"/>
              </w:rPr>
              <w:t xml:space="preserve"> and scale current efficiencies by building upon existing shared service arrangements already in place across the sector (e.g. through Vic Water).</w:t>
            </w:r>
          </w:p>
        </w:tc>
      </w:tr>
      <w:tr w:rsidR="006A0772" w14:paraId="1C9A78C1" w14:textId="77777777" w:rsidTr="00780C45">
        <w:tc>
          <w:tcPr>
            <w:tcW w:w="9209" w:type="dxa"/>
            <w:shd w:val="clear" w:color="auto" w:fill="595959" w:themeFill="text1" w:themeFillTint="A6"/>
          </w:tcPr>
          <w:p w14:paraId="1FFBDEAE" w14:textId="77777777" w:rsidR="006A0772" w:rsidRPr="0078598C" w:rsidRDefault="006A0772" w:rsidP="00B46D06">
            <w:pPr>
              <w:spacing w:before="80" w:after="80"/>
              <w:rPr>
                <w:b/>
                <w:szCs w:val="22"/>
              </w:rPr>
            </w:pPr>
            <w:r w:rsidRPr="0078598C">
              <w:rPr>
                <w:b/>
                <w:color w:val="FFFFFF" w:themeColor="background1"/>
                <w:szCs w:val="22"/>
              </w:rPr>
              <w:t>Policy advice and research</w:t>
            </w:r>
          </w:p>
        </w:tc>
      </w:tr>
      <w:tr w:rsidR="006A0772" w14:paraId="72294BD5" w14:textId="77777777" w:rsidTr="00177394">
        <w:tc>
          <w:tcPr>
            <w:tcW w:w="9209" w:type="dxa"/>
          </w:tcPr>
          <w:p w14:paraId="6D1738C9" w14:textId="77777777" w:rsidR="006A0772" w:rsidRDefault="006A0772" w:rsidP="00B46D06">
            <w:pPr>
              <w:spacing w:before="80" w:after="80"/>
              <w:rPr>
                <w:b/>
                <w:szCs w:val="22"/>
              </w:rPr>
            </w:pPr>
            <w:r w:rsidRPr="0078598C">
              <w:rPr>
                <w:b/>
                <w:szCs w:val="22"/>
              </w:rPr>
              <w:t xml:space="preserve">Abolish Better Regulation Victoria and Economic Growth Victoria </w:t>
            </w:r>
          </w:p>
          <w:p w14:paraId="2EEA6B76" w14:textId="77777777" w:rsidR="006A0772" w:rsidRPr="0078598C" w:rsidRDefault="006A0772" w:rsidP="00B46D06">
            <w:pPr>
              <w:spacing w:before="80" w:after="80"/>
              <w:rPr>
                <w:szCs w:val="22"/>
              </w:rPr>
            </w:pPr>
            <w:r w:rsidRPr="007A51E6">
              <w:rPr>
                <w:szCs w:val="22"/>
              </w:rPr>
              <w:t xml:space="preserve">Brings core </w:t>
            </w:r>
            <w:r w:rsidRPr="007A51E6">
              <w:rPr>
                <w:rFonts w:ascii="Aptos" w:eastAsia="Aptos" w:hAnsi="Aptos" w:cs="Aptos"/>
                <w:color w:val="000000" w:themeColor="text1"/>
                <w:szCs w:val="22"/>
              </w:rPr>
              <w:t>regulatory policy work</w:t>
            </w:r>
            <w:r w:rsidRPr="007A51E6">
              <w:rPr>
                <w:szCs w:val="22"/>
              </w:rPr>
              <w:t xml:space="preserve"> back into</w:t>
            </w:r>
            <w:r>
              <w:rPr>
                <w:szCs w:val="22"/>
              </w:rPr>
              <w:t xml:space="preserve"> DTF. Reduces overlap of functions across entities</w:t>
            </w:r>
            <w:r w:rsidRPr="0078598C">
              <w:rPr>
                <w:szCs w:val="22"/>
              </w:rPr>
              <w:t>.</w:t>
            </w:r>
          </w:p>
        </w:tc>
      </w:tr>
      <w:tr w:rsidR="006A0772" w14:paraId="1551DE73" w14:textId="77777777" w:rsidTr="00177394">
        <w:tc>
          <w:tcPr>
            <w:tcW w:w="9209" w:type="dxa"/>
          </w:tcPr>
          <w:p w14:paraId="354F0C89" w14:textId="77777777" w:rsidR="006A0772" w:rsidRPr="0078598C" w:rsidRDefault="006A0772" w:rsidP="00B46D06">
            <w:pPr>
              <w:spacing w:before="80" w:after="80"/>
              <w:rPr>
                <w:b/>
                <w:bCs/>
                <w:szCs w:val="22"/>
              </w:rPr>
            </w:pPr>
            <w:r w:rsidRPr="0078598C">
              <w:rPr>
                <w:b/>
                <w:bCs/>
                <w:szCs w:val="22"/>
              </w:rPr>
              <w:t>Abolish Infrastructure Victoria and cease its strategic advisory functions</w:t>
            </w:r>
          </w:p>
          <w:p w14:paraId="34A0BBD0" w14:textId="2257937C" w:rsidR="006A0772" w:rsidRPr="0078598C" w:rsidRDefault="006A0772" w:rsidP="00B46D06">
            <w:pPr>
              <w:spacing w:before="80" w:after="80"/>
              <w:rPr>
                <w:szCs w:val="22"/>
              </w:rPr>
            </w:pPr>
            <w:r w:rsidRPr="0078598C">
              <w:rPr>
                <w:szCs w:val="22"/>
              </w:rPr>
              <w:t>Return</w:t>
            </w:r>
            <w:r>
              <w:rPr>
                <w:szCs w:val="22"/>
              </w:rPr>
              <w:t>s</w:t>
            </w:r>
            <w:r w:rsidRPr="0078598C">
              <w:rPr>
                <w:szCs w:val="22"/>
              </w:rPr>
              <w:t xml:space="preserve"> long-term infrastructure planning</w:t>
            </w:r>
            <w:r>
              <w:rPr>
                <w:szCs w:val="22"/>
              </w:rPr>
              <w:t xml:space="preserve"> and advice</w:t>
            </w:r>
            <w:r w:rsidRPr="0078598C">
              <w:rPr>
                <w:szCs w:val="22"/>
              </w:rPr>
              <w:t xml:space="preserve"> </w:t>
            </w:r>
            <w:r>
              <w:rPr>
                <w:szCs w:val="22"/>
              </w:rPr>
              <w:t>to be</w:t>
            </w:r>
            <w:r w:rsidRPr="0078598C">
              <w:rPr>
                <w:szCs w:val="22"/>
              </w:rPr>
              <w:t xml:space="preserve"> core work of </w:t>
            </w:r>
            <w:r>
              <w:rPr>
                <w:szCs w:val="22"/>
              </w:rPr>
              <w:t>DTF</w:t>
            </w:r>
            <w:r w:rsidRPr="0078598C">
              <w:rPr>
                <w:szCs w:val="22"/>
              </w:rPr>
              <w:t>.</w:t>
            </w:r>
          </w:p>
        </w:tc>
      </w:tr>
    </w:tbl>
    <w:p w14:paraId="32594D87" w14:textId="77777777" w:rsidR="006A2E3E" w:rsidRDefault="006A2E3E"/>
    <w:p w14:paraId="6B6AC8AF" w14:textId="77777777" w:rsidR="006A2E3E" w:rsidRDefault="006A2E3E"/>
    <w:tbl>
      <w:tblPr>
        <w:tblStyle w:val="TableGrid"/>
        <w:tblW w:w="9209" w:type="dxa"/>
        <w:tblBorders>
          <w:left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209"/>
      </w:tblGrid>
      <w:tr w:rsidR="006A2E3E" w14:paraId="71FB813C" w14:textId="77777777" w:rsidTr="00992073">
        <w:tc>
          <w:tcPr>
            <w:tcW w:w="9209" w:type="dxa"/>
            <w:tcBorders>
              <w:top w:val="nil"/>
              <w:bottom w:val="single" w:sz="4" w:space="0" w:color="BFBFBF" w:themeColor="background1" w:themeShade="BF"/>
            </w:tcBorders>
            <w:shd w:val="clear" w:color="auto" w:fill="0A2F41" w:themeFill="accent1" w:themeFillShade="80"/>
          </w:tcPr>
          <w:p w14:paraId="2AD6154A" w14:textId="75BADA43" w:rsidR="006A2E3E" w:rsidRPr="0078598C" w:rsidRDefault="00992073" w:rsidP="007827BB">
            <w:pPr>
              <w:spacing w:before="80" w:after="80"/>
              <w:rPr>
                <w:b/>
                <w:bCs/>
                <w:color w:val="FFFFFF" w:themeColor="background1"/>
                <w:szCs w:val="22"/>
              </w:rPr>
            </w:pPr>
            <w:r w:rsidRPr="0078598C">
              <w:rPr>
                <w:b/>
                <w:szCs w:val="22"/>
              </w:rPr>
              <w:lastRenderedPageBreak/>
              <w:t>Initiative summary and benefit</w:t>
            </w:r>
          </w:p>
        </w:tc>
      </w:tr>
      <w:tr w:rsidR="006A0772" w14:paraId="39DF4AC8" w14:textId="77777777" w:rsidTr="00780C45">
        <w:tc>
          <w:tcPr>
            <w:tcW w:w="9209" w:type="dxa"/>
            <w:tcBorders>
              <w:top w:val="single" w:sz="4" w:space="0" w:color="BFBFBF" w:themeColor="background1" w:themeShade="BF"/>
            </w:tcBorders>
            <w:shd w:val="clear" w:color="auto" w:fill="595959" w:themeFill="text1" w:themeFillTint="A6"/>
          </w:tcPr>
          <w:p w14:paraId="00CFAAFD" w14:textId="77777777" w:rsidR="006A0772" w:rsidRPr="0078598C" w:rsidRDefault="006A0772" w:rsidP="00B46D06">
            <w:pPr>
              <w:spacing w:before="80" w:after="80"/>
              <w:rPr>
                <w:b/>
                <w:bCs/>
                <w:szCs w:val="22"/>
              </w:rPr>
            </w:pPr>
            <w:r w:rsidRPr="0078598C">
              <w:rPr>
                <w:b/>
                <w:bCs/>
                <w:color w:val="FFFFFF" w:themeColor="background1"/>
                <w:szCs w:val="22"/>
              </w:rPr>
              <w:t>Funds and investment management</w:t>
            </w:r>
          </w:p>
        </w:tc>
      </w:tr>
      <w:tr w:rsidR="006A0772" w14:paraId="6E3FF251" w14:textId="77777777" w:rsidTr="00177394">
        <w:tc>
          <w:tcPr>
            <w:tcW w:w="9209" w:type="dxa"/>
          </w:tcPr>
          <w:p w14:paraId="4644AE34" w14:textId="77777777" w:rsidR="006A0772" w:rsidRPr="0076119D" w:rsidRDefault="006A0772" w:rsidP="00B46D06">
            <w:pPr>
              <w:spacing w:before="80" w:after="80"/>
              <w:rPr>
                <w:b/>
                <w:bCs/>
                <w:szCs w:val="22"/>
              </w:rPr>
            </w:pPr>
            <w:r w:rsidRPr="0076119D">
              <w:rPr>
                <w:b/>
                <w:bCs/>
                <w:szCs w:val="22"/>
              </w:rPr>
              <w:t>Consolidate funds into the Victorian Fund Management Corporation</w:t>
            </w:r>
          </w:p>
          <w:p w14:paraId="53DBD423" w14:textId="77777777" w:rsidR="006A0772" w:rsidRPr="0076119D" w:rsidRDefault="006A0772" w:rsidP="00B46D06">
            <w:pPr>
              <w:spacing w:before="80" w:after="80"/>
              <w:rPr>
                <w:b/>
                <w:bCs/>
                <w:szCs w:val="22"/>
              </w:rPr>
            </w:pPr>
            <w:r w:rsidRPr="0076119D">
              <w:rPr>
                <w:rFonts w:ascii="Aptos" w:eastAsia="Aptos" w:hAnsi="Aptos" w:cs="Aptos"/>
                <w:color w:val="000000" w:themeColor="text1"/>
                <w:szCs w:val="22"/>
              </w:rPr>
              <w:t xml:space="preserve">Funds being managed by Victorian Legal Services Board, Residential Tenancies Bond Authority, and Victorian Legal Practitioners Liability Committee </w:t>
            </w:r>
            <w:r>
              <w:rPr>
                <w:rFonts w:ascii="Aptos" w:eastAsia="Aptos" w:hAnsi="Aptos" w:cs="Aptos"/>
                <w:color w:val="000000" w:themeColor="text1"/>
                <w:szCs w:val="22"/>
              </w:rPr>
              <w:t>to be consolidated into VFMC.</w:t>
            </w:r>
          </w:p>
          <w:p w14:paraId="336614FD" w14:textId="77777777" w:rsidR="006A0772" w:rsidRPr="001E7008" w:rsidRDefault="006A0772" w:rsidP="00B46D06">
            <w:pPr>
              <w:spacing w:before="80" w:after="80"/>
              <w:rPr>
                <w:szCs w:val="22"/>
              </w:rPr>
            </w:pPr>
            <w:r w:rsidRPr="001E7008">
              <w:rPr>
                <w:szCs w:val="22"/>
              </w:rPr>
              <w:t>Improves oversight, reduces risk to government and improves financial returns.</w:t>
            </w:r>
          </w:p>
        </w:tc>
      </w:tr>
      <w:tr w:rsidR="006A0772" w14:paraId="560846EA" w14:textId="77777777" w:rsidTr="00177394">
        <w:tc>
          <w:tcPr>
            <w:tcW w:w="9209" w:type="dxa"/>
          </w:tcPr>
          <w:p w14:paraId="26400769" w14:textId="77777777" w:rsidR="006A0772" w:rsidRDefault="006A0772" w:rsidP="00B46D06">
            <w:pPr>
              <w:spacing w:before="80" w:after="80"/>
              <w:rPr>
                <w:b/>
                <w:bCs/>
                <w:szCs w:val="22"/>
              </w:rPr>
            </w:pPr>
            <w:r>
              <w:rPr>
                <w:b/>
                <w:bCs/>
                <w:szCs w:val="22"/>
              </w:rPr>
              <w:t>Abolish</w:t>
            </w:r>
            <w:r w:rsidRPr="0078598C">
              <w:rPr>
                <w:b/>
                <w:bCs/>
                <w:szCs w:val="22"/>
              </w:rPr>
              <w:t xml:space="preserve"> Launch Vic</w:t>
            </w:r>
            <w:r>
              <w:rPr>
                <w:b/>
                <w:bCs/>
                <w:szCs w:val="22"/>
              </w:rPr>
              <w:t xml:space="preserve"> and merge functions</w:t>
            </w:r>
            <w:r w:rsidRPr="0078598C">
              <w:rPr>
                <w:b/>
                <w:bCs/>
                <w:szCs w:val="22"/>
              </w:rPr>
              <w:t xml:space="preserve"> into Invest Victoria </w:t>
            </w:r>
          </w:p>
          <w:p w14:paraId="016915E6" w14:textId="77777777" w:rsidR="006A0772" w:rsidRPr="00A643F4" w:rsidRDefault="006A0772" w:rsidP="00B46D06">
            <w:pPr>
              <w:spacing w:before="80" w:after="80"/>
              <w:rPr>
                <w:szCs w:val="22"/>
              </w:rPr>
            </w:pPr>
            <w:r>
              <w:rPr>
                <w:szCs w:val="22"/>
              </w:rPr>
              <w:t xml:space="preserve">Abolishes </w:t>
            </w:r>
            <w:r w:rsidRPr="00E0649C">
              <w:rPr>
                <w:szCs w:val="22"/>
              </w:rPr>
              <w:t>Launch Vic</w:t>
            </w:r>
            <w:r>
              <w:rPr>
                <w:b/>
                <w:bCs/>
                <w:szCs w:val="22"/>
              </w:rPr>
              <w:t xml:space="preserve"> </w:t>
            </w:r>
            <w:r>
              <w:rPr>
                <w:szCs w:val="22"/>
              </w:rPr>
              <w:t xml:space="preserve">as a standalone entity. </w:t>
            </w:r>
            <w:r w:rsidRPr="00A643F4">
              <w:rPr>
                <w:szCs w:val="22"/>
              </w:rPr>
              <w:t xml:space="preserve">Absorbs </w:t>
            </w:r>
            <w:r>
              <w:rPr>
                <w:szCs w:val="22"/>
              </w:rPr>
              <w:t xml:space="preserve">necessary </w:t>
            </w:r>
            <w:r w:rsidRPr="00A643F4">
              <w:rPr>
                <w:szCs w:val="22"/>
              </w:rPr>
              <w:t>functions into Invest Victoria, including grant administration, facilitation, and capacity uplift programs.</w:t>
            </w:r>
          </w:p>
          <w:p w14:paraId="3779C85C" w14:textId="77777777" w:rsidR="006A0772" w:rsidRPr="0078598C" w:rsidRDefault="006A0772" w:rsidP="00B46D06">
            <w:pPr>
              <w:spacing w:before="80" w:after="80"/>
              <w:rPr>
                <w:szCs w:val="22"/>
              </w:rPr>
            </w:pPr>
            <w:r w:rsidRPr="0078598C">
              <w:rPr>
                <w:szCs w:val="22"/>
              </w:rPr>
              <w:t>Improves strategic oversight, and simplif</w:t>
            </w:r>
            <w:r>
              <w:rPr>
                <w:szCs w:val="22"/>
              </w:rPr>
              <w:t>ies</w:t>
            </w:r>
            <w:r w:rsidRPr="0078598C">
              <w:rPr>
                <w:szCs w:val="22"/>
              </w:rPr>
              <w:t xml:space="preserve"> navigation for businesses seeking support, while enabling government to </w:t>
            </w:r>
            <w:proofErr w:type="spellStart"/>
            <w:r w:rsidRPr="0078598C">
              <w:rPr>
                <w:szCs w:val="22"/>
              </w:rPr>
              <w:t>maximise</w:t>
            </w:r>
            <w:proofErr w:type="spellEnd"/>
            <w:r w:rsidRPr="0078598C">
              <w:rPr>
                <w:szCs w:val="22"/>
              </w:rPr>
              <w:t xml:space="preserve"> investment outcomes.</w:t>
            </w:r>
            <w:r>
              <w:rPr>
                <w:szCs w:val="22"/>
              </w:rPr>
              <w:t xml:space="preserve"> Also see Chapter 8.</w:t>
            </w:r>
          </w:p>
        </w:tc>
      </w:tr>
      <w:tr w:rsidR="006A0772" w14:paraId="7DA8EA08" w14:textId="77777777" w:rsidTr="00780C45">
        <w:tc>
          <w:tcPr>
            <w:tcW w:w="9209" w:type="dxa"/>
            <w:shd w:val="clear" w:color="auto" w:fill="595959" w:themeFill="text1" w:themeFillTint="A6"/>
          </w:tcPr>
          <w:p w14:paraId="16956DFB" w14:textId="74458CEF" w:rsidR="006A0772" w:rsidRPr="0078598C" w:rsidRDefault="00BD5712" w:rsidP="00B46D06">
            <w:pPr>
              <w:spacing w:before="80" w:after="80"/>
              <w:rPr>
                <w:b/>
                <w:bCs/>
                <w:color w:val="FFFFFF" w:themeColor="background1"/>
                <w:szCs w:val="22"/>
              </w:rPr>
            </w:pPr>
            <w:r>
              <w:rPr>
                <w:b/>
                <w:bCs/>
                <w:color w:val="FFFFFF" w:themeColor="background1"/>
                <w:szCs w:val="22"/>
              </w:rPr>
              <w:t>Abolishing entities and ceasing functions</w:t>
            </w:r>
          </w:p>
        </w:tc>
      </w:tr>
      <w:tr w:rsidR="006A0772" w14:paraId="53D144C9" w14:textId="77777777" w:rsidTr="00177394">
        <w:tc>
          <w:tcPr>
            <w:tcW w:w="9209" w:type="dxa"/>
          </w:tcPr>
          <w:p w14:paraId="5427296B" w14:textId="77777777" w:rsidR="006A0772" w:rsidRDefault="006A0772" w:rsidP="00B46D06">
            <w:pPr>
              <w:spacing w:before="80" w:after="80"/>
              <w:rPr>
                <w:b/>
                <w:bCs/>
                <w:szCs w:val="22"/>
              </w:rPr>
            </w:pPr>
            <w:r w:rsidRPr="0078598C">
              <w:rPr>
                <w:b/>
                <w:bCs/>
                <w:szCs w:val="22"/>
              </w:rPr>
              <w:t>Abolish Sustainability Victoria</w:t>
            </w:r>
            <w:r>
              <w:rPr>
                <w:b/>
                <w:bCs/>
                <w:szCs w:val="22"/>
              </w:rPr>
              <w:t xml:space="preserve"> and cease functions</w:t>
            </w:r>
          </w:p>
          <w:p w14:paraId="7D6CD917" w14:textId="77777777" w:rsidR="006A0772" w:rsidRPr="0078598C" w:rsidRDefault="006A0772" w:rsidP="00B46D06">
            <w:pPr>
              <w:spacing w:before="80" w:after="80"/>
              <w:rPr>
                <w:szCs w:val="22"/>
              </w:rPr>
            </w:pPr>
            <w:r w:rsidRPr="0078598C">
              <w:rPr>
                <w:szCs w:val="22"/>
              </w:rPr>
              <w:t>Streamlines sustainability policy, simplif</w:t>
            </w:r>
            <w:r>
              <w:rPr>
                <w:szCs w:val="22"/>
              </w:rPr>
              <w:t>ies</w:t>
            </w:r>
            <w:r w:rsidRPr="0078598C">
              <w:rPr>
                <w:szCs w:val="22"/>
              </w:rPr>
              <w:t xml:space="preserve"> governance, reduce</w:t>
            </w:r>
            <w:r>
              <w:rPr>
                <w:szCs w:val="22"/>
              </w:rPr>
              <w:t>s</w:t>
            </w:r>
            <w:r w:rsidRPr="0078598C">
              <w:rPr>
                <w:szCs w:val="22"/>
              </w:rPr>
              <w:t xml:space="preserve"> administrative overheads and clarif</w:t>
            </w:r>
            <w:r>
              <w:rPr>
                <w:szCs w:val="22"/>
              </w:rPr>
              <w:t>ies</w:t>
            </w:r>
            <w:r w:rsidRPr="0078598C">
              <w:rPr>
                <w:szCs w:val="22"/>
              </w:rPr>
              <w:t xml:space="preserve"> accountability across the relevant bodies.</w:t>
            </w:r>
          </w:p>
        </w:tc>
      </w:tr>
      <w:tr w:rsidR="006A0772" w14:paraId="0A8D95AD" w14:textId="77777777" w:rsidTr="00177394">
        <w:tc>
          <w:tcPr>
            <w:tcW w:w="9209" w:type="dxa"/>
          </w:tcPr>
          <w:p w14:paraId="1E48AF8F" w14:textId="77777777" w:rsidR="006A0772" w:rsidRPr="0078598C" w:rsidRDefault="006A0772" w:rsidP="00B46D06">
            <w:pPr>
              <w:spacing w:before="80" w:after="80"/>
              <w:rPr>
                <w:b/>
                <w:bCs/>
                <w:szCs w:val="22"/>
              </w:rPr>
            </w:pPr>
            <w:r w:rsidRPr="0078598C">
              <w:rPr>
                <w:b/>
                <w:bCs/>
                <w:szCs w:val="22"/>
              </w:rPr>
              <w:t>Abolish Geelong Authority</w:t>
            </w:r>
            <w:r>
              <w:rPr>
                <w:b/>
                <w:bCs/>
                <w:szCs w:val="22"/>
              </w:rPr>
              <w:t xml:space="preserve"> and cease functions</w:t>
            </w:r>
          </w:p>
          <w:p w14:paraId="6583C0F0" w14:textId="77777777" w:rsidR="006A0772" w:rsidRPr="0078598C" w:rsidRDefault="006A0772" w:rsidP="00B46D06">
            <w:pPr>
              <w:spacing w:before="80" w:after="80"/>
              <w:rPr>
                <w:szCs w:val="22"/>
              </w:rPr>
            </w:pPr>
            <w:r>
              <w:rPr>
                <w:szCs w:val="22"/>
              </w:rPr>
              <w:t xml:space="preserve">Original intent achieved. </w:t>
            </w:r>
            <w:r w:rsidRPr="0078598C">
              <w:rPr>
                <w:szCs w:val="22"/>
              </w:rPr>
              <w:t>Streamlines planning processes and avoids duplicating functions.</w:t>
            </w:r>
          </w:p>
        </w:tc>
      </w:tr>
      <w:tr w:rsidR="006A0772" w14:paraId="4D7EF562" w14:textId="77777777" w:rsidTr="00177394">
        <w:tc>
          <w:tcPr>
            <w:tcW w:w="9209" w:type="dxa"/>
          </w:tcPr>
          <w:p w14:paraId="74B3C332" w14:textId="77777777" w:rsidR="006A0772" w:rsidRPr="0078598C" w:rsidRDefault="006A0772" w:rsidP="00B46D06">
            <w:pPr>
              <w:spacing w:before="80" w:after="80"/>
              <w:rPr>
                <w:b/>
                <w:bCs/>
                <w:szCs w:val="22"/>
              </w:rPr>
            </w:pPr>
            <w:r w:rsidRPr="0078598C">
              <w:rPr>
                <w:b/>
                <w:bCs/>
                <w:szCs w:val="22"/>
              </w:rPr>
              <w:t>Abolish Office of the Local Jobs First Commissioner</w:t>
            </w:r>
            <w:r>
              <w:rPr>
                <w:b/>
                <w:bCs/>
                <w:szCs w:val="22"/>
              </w:rPr>
              <w:t xml:space="preserve"> and cease functions</w:t>
            </w:r>
          </w:p>
          <w:p w14:paraId="2F543B98" w14:textId="77777777" w:rsidR="006A0772" w:rsidRPr="0078598C" w:rsidRDefault="006A0772" w:rsidP="00B46D06">
            <w:pPr>
              <w:spacing w:before="80" w:after="80"/>
              <w:rPr>
                <w:szCs w:val="22"/>
              </w:rPr>
            </w:pPr>
            <w:r>
              <w:rPr>
                <w:szCs w:val="22"/>
              </w:rPr>
              <w:t xml:space="preserve">Original intent achieved. </w:t>
            </w:r>
            <w:r w:rsidRPr="0078598C">
              <w:rPr>
                <w:szCs w:val="22"/>
              </w:rPr>
              <w:t>Reduces duplication with the core functions of DJSIR.</w:t>
            </w:r>
          </w:p>
        </w:tc>
      </w:tr>
      <w:tr w:rsidR="00BD5712" w14:paraId="0A6808EE" w14:textId="77777777" w:rsidTr="00780C45">
        <w:tc>
          <w:tcPr>
            <w:tcW w:w="9209" w:type="dxa"/>
            <w:shd w:val="clear" w:color="auto" w:fill="595959" w:themeFill="text1" w:themeFillTint="A6"/>
          </w:tcPr>
          <w:p w14:paraId="3A73E013" w14:textId="447C5E20" w:rsidR="00BD5712" w:rsidRPr="0078598C" w:rsidRDefault="00BD5712" w:rsidP="007827BB">
            <w:pPr>
              <w:spacing w:before="80" w:after="80"/>
              <w:rPr>
                <w:b/>
                <w:bCs/>
                <w:szCs w:val="22"/>
              </w:rPr>
            </w:pPr>
            <w:r w:rsidRPr="00BD5712">
              <w:rPr>
                <w:b/>
                <w:bCs/>
                <w:color w:val="FFFFFF" w:themeColor="background1"/>
                <w:szCs w:val="22"/>
              </w:rPr>
              <w:t>Absorbing functions into departments or other bodies</w:t>
            </w:r>
          </w:p>
        </w:tc>
      </w:tr>
      <w:tr w:rsidR="006A0772" w14:paraId="7871BBB5" w14:textId="77777777" w:rsidTr="00177394">
        <w:tc>
          <w:tcPr>
            <w:tcW w:w="9209" w:type="dxa"/>
          </w:tcPr>
          <w:p w14:paraId="1A988F2A" w14:textId="77777777" w:rsidR="006A0772" w:rsidRPr="0078598C" w:rsidRDefault="006A0772" w:rsidP="00B46D06">
            <w:pPr>
              <w:spacing w:before="80" w:after="80"/>
              <w:rPr>
                <w:b/>
                <w:bCs/>
                <w:szCs w:val="22"/>
              </w:rPr>
            </w:pPr>
            <w:r w:rsidRPr="0078598C">
              <w:rPr>
                <w:b/>
                <w:bCs/>
                <w:szCs w:val="22"/>
              </w:rPr>
              <w:t xml:space="preserve">Absorb </w:t>
            </w:r>
            <w:proofErr w:type="spellStart"/>
            <w:r w:rsidRPr="0078598C">
              <w:rPr>
                <w:b/>
                <w:bCs/>
                <w:szCs w:val="22"/>
              </w:rPr>
              <w:t>HealthShare</w:t>
            </w:r>
            <w:proofErr w:type="spellEnd"/>
            <w:r w:rsidRPr="0078598C">
              <w:rPr>
                <w:b/>
                <w:bCs/>
                <w:szCs w:val="22"/>
              </w:rPr>
              <w:t xml:space="preserve"> Victoria into </w:t>
            </w:r>
            <w:r>
              <w:rPr>
                <w:b/>
                <w:bCs/>
                <w:szCs w:val="22"/>
              </w:rPr>
              <w:t xml:space="preserve">DH </w:t>
            </w:r>
            <w:r w:rsidRPr="0078598C">
              <w:rPr>
                <w:b/>
                <w:bCs/>
                <w:szCs w:val="22"/>
              </w:rPr>
              <w:t xml:space="preserve">as a branded </w:t>
            </w:r>
            <w:r>
              <w:rPr>
                <w:b/>
                <w:bCs/>
                <w:szCs w:val="22"/>
              </w:rPr>
              <w:t>division</w:t>
            </w:r>
          </w:p>
          <w:p w14:paraId="69B8FA93" w14:textId="77777777" w:rsidR="006A0772" w:rsidRPr="0078598C" w:rsidRDefault="006A0772" w:rsidP="00B46D06">
            <w:pPr>
              <w:spacing w:before="80" w:after="80"/>
              <w:rPr>
                <w:szCs w:val="22"/>
              </w:rPr>
            </w:pPr>
            <w:r>
              <w:rPr>
                <w:szCs w:val="22"/>
              </w:rPr>
              <w:t xml:space="preserve">Abolishes </w:t>
            </w:r>
            <w:proofErr w:type="spellStart"/>
            <w:r>
              <w:rPr>
                <w:szCs w:val="22"/>
              </w:rPr>
              <w:t>HealthShare</w:t>
            </w:r>
            <w:proofErr w:type="spellEnd"/>
            <w:r>
              <w:rPr>
                <w:szCs w:val="22"/>
              </w:rPr>
              <w:t xml:space="preserve"> Victoria as a standalone entity. </w:t>
            </w:r>
            <w:r w:rsidRPr="0078598C">
              <w:rPr>
                <w:szCs w:val="22"/>
              </w:rPr>
              <w:t>Integrat</w:t>
            </w:r>
            <w:r>
              <w:rPr>
                <w:szCs w:val="22"/>
              </w:rPr>
              <w:t>es</w:t>
            </w:r>
            <w:r w:rsidRPr="0078598C">
              <w:rPr>
                <w:szCs w:val="22"/>
              </w:rPr>
              <w:t xml:space="preserve"> </w:t>
            </w:r>
            <w:r>
              <w:rPr>
                <w:szCs w:val="22"/>
              </w:rPr>
              <w:t xml:space="preserve">activity and </w:t>
            </w:r>
            <w:r w:rsidRPr="0078598C">
              <w:rPr>
                <w:szCs w:val="22"/>
              </w:rPr>
              <w:t>back-office functions into the department</w:t>
            </w:r>
            <w:r>
              <w:rPr>
                <w:szCs w:val="22"/>
              </w:rPr>
              <w:t>.</w:t>
            </w:r>
          </w:p>
        </w:tc>
      </w:tr>
      <w:tr w:rsidR="006A0772" w14:paraId="1D3A7299" w14:textId="77777777" w:rsidTr="00177394">
        <w:tc>
          <w:tcPr>
            <w:tcW w:w="9209" w:type="dxa"/>
          </w:tcPr>
          <w:p w14:paraId="3E3AF495" w14:textId="741F780A" w:rsidR="006A0772" w:rsidRPr="0078598C" w:rsidRDefault="006A0772" w:rsidP="00B46D06">
            <w:pPr>
              <w:spacing w:before="80" w:after="80"/>
              <w:rPr>
                <w:b/>
                <w:bCs/>
                <w:szCs w:val="22"/>
              </w:rPr>
            </w:pPr>
            <w:r w:rsidRPr="0078598C">
              <w:rPr>
                <w:b/>
                <w:bCs/>
                <w:szCs w:val="22"/>
              </w:rPr>
              <w:t>Absorb VicHealth into Department of Health</w:t>
            </w:r>
            <w:r w:rsidR="00041EC1">
              <w:rPr>
                <w:b/>
                <w:bCs/>
                <w:szCs w:val="22"/>
              </w:rPr>
              <w:t xml:space="preserve"> (DH)</w:t>
            </w:r>
          </w:p>
          <w:p w14:paraId="76C5CC45" w14:textId="77777777" w:rsidR="006A0772" w:rsidRPr="0078598C" w:rsidRDefault="006A0772" w:rsidP="00B46D06">
            <w:pPr>
              <w:spacing w:before="80" w:after="80"/>
              <w:rPr>
                <w:szCs w:val="22"/>
              </w:rPr>
            </w:pPr>
            <w:r>
              <w:rPr>
                <w:szCs w:val="22"/>
              </w:rPr>
              <w:t xml:space="preserve">Abolishes </w:t>
            </w:r>
            <w:r w:rsidRPr="00E0649C">
              <w:rPr>
                <w:szCs w:val="22"/>
              </w:rPr>
              <w:t>Vic</w:t>
            </w:r>
            <w:r>
              <w:rPr>
                <w:szCs w:val="22"/>
              </w:rPr>
              <w:t>Health</w:t>
            </w:r>
            <w:r>
              <w:rPr>
                <w:b/>
                <w:bCs/>
                <w:szCs w:val="22"/>
              </w:rPr>
              <w:t xml:space="preserve"> </w:t>
            </w:r>
            <w:r>
              <w:rPr>
                <w:szCs w:val="22"/>
              </w:rPr>
              <w:t xml:space="preserve">as a standalone entity. </w:t>
            </w:r>
            <w:r w:rsidRPr="0078598C">
              <w:rPr>
                <w:szCs w:val="22"/>
              </w:rPr>
              <w:t>Reduce</w:t>
            </w:r>
            <w:r>
              <w:rPr>
                <w:szCs w:val="22"/>
              </w:rPr>
              <w:t>s</w:t>
            </w:r>
            <w:r w:rsidRPr="0078598C">
              <w:rPr>
                <w:szCs w:val="22"/>
              </w:rPr>
              <w:t xml:space="preserve"> duplicative promotional and corporate functions</w:t>
            </w:r>
            <w:r>
              <w:rPr>
                <w:szCs w:val="22"/>
              </w:rPr>
              <w:t>.</w:t>
            </w:r>
          </w:p>
        </w:tc>
      </w:tr>
      <w:tr w:rsidR="006A0772" w14:paraId="0F1C65E8" w14:textId="77777777" w:rsidTr="00177394">
        <w:tc>
          <w:tcPr>
            <w:tcW w:w="9209" w:type="dxa"/>
          </w:tcPr>
          <w:p w14:paraId="664B110D" w14:textId="56C27E3A" w:rsidR="006A0772" w:rsidRPr="0078598C" w:rsidRDefault="006A0772" w:rsidP="00B46D06">
            <w:pPr>
              <w:spacing w:before="80" w:after="80"/>
              <w:rPr>
                <w:b/>
                <w:bCs/>
                <w:szCs w:val="22"/>
              </w:rPr>
            </w:pPr>
            <w:r w:rsidRPr="0078598C">
              <w:rPr>
                <w:b/>
                <w:bCs/>
                <w:szCs w:val="22"/>
              </w:rPr>
              <w:t xml:space="preserve">Absorb corporate service functions of Court Services Victoria </w:t>
            </w:r>
            <w:r w:rsidR="00571EAB">
              <w:rPr>
                <w:b/>
                <w:bCs/>
                <w:szCs w:val="22"/>
              </w:rPr>
              <w:t>(</w:t>
            </w:r>
            <w:r w:rsidRPr="0078598C">
              <w:rPr>
                <w:b/>
                <w:bCs/>
                <w:szCs w:val="22"/>
              </w:rPr>
              <w:t>CSV</w:t>
            </w:r>
            <w:r w:rsidR="00571EAB">
              <w:rPr>
                <w:b/>
                <w:bCs/>
                <w:szCs w:val="22"/>
              </w:rPr>
              <w:t>)</w:t>
            </w:r>
            <w:r w:rsidRPr="0078598C">
              <w:rPr>
                <w:b/>
                <w:bCs/>
                <w:szCs w:val="22"/>
              </w:rPr>
              <w:t xml:space="preserve"> int</w:t>
            </w:r>
            <w:r>
              <w:rPr>
                <w:b/>
                <w:bCs/>
                <w:szCs w:val="22"/>
              </w:rPr>
              <w:t>o</w:t>
            </w:r>
            <w:r w:rsidRPr="0078598C">
              <w:rPr>
                <w:b/>
                <w:bCs/>
                <w:szCs w:val="22"/>
              </w:rPr>
              <w:t xml:space="preserve"> DJCS</w:t>
            </w:r>
          </w:p>
          <w:p w14:paraId="68DA05C6" w14:textId="77777777" w:rsidR="006A0772" w:rsidRPr="0078598C" w:rsidRDefault="006A0772" w:rsidP="00B46D06">
            <w:pPr>
              <w:spacing w:before="80" w:after="80"/>
              <w:rPr>
                <w:szCs w:val="22"/>
              </w:rPr>
            </w:pPr>
            <w:r w:rsidRPr="0078598C">
              <w:rPr>
                <w:szCs w:val="22"/>
              </w:rPr>
              <w:t>Enables more cohesive management and financial oversight while maintaining judicial independence.</w:t>
            </w:r>
          </w:p>
        </w:tc>
      </w:tr>
      <w:tr w:rsidR="006A0772" w14:paraId="201B1E69" w14:textId="77777777" w:rsidTr="00177394">
        <w:tc>
          <w:tcPr>
            <w:tcW w:w="9209" w:type="dxa"/>
          </w:tcPr>
          <w:p w14:paraId="4F7E3B1D" w14:textId="77777777" w:rsidR="006A0772" w:rsidRPr="0078598C" w:rsidRDefault="006A0772" w:rsidP="00B46D06">
            <w:pPr>
              <w:spacing w:before="80" w:after="80"/>
              <w:rPr>
                <w:b/>
                <w:bCs/>
                <w:szCs w:val="22"/>
              </w:rPr>
            </w:pPr>
            <w:r>
              <w:rPr>
                <w:b/>
                <w:bCs/>
                <w:szCs w:val="22"/>
              </w:rPr>
              <w:t>Absorb</w:t>
            </w:r>
            <w:r w:rsidRPr="0078598C">
              <w:rPr>
                <w:b/>
                <w:bCs/>
                <w:szCs w:val="22"/>
              </w:rPr>
              <w:t xml:space="preserve"> Emergency Recovery Victoria</w:t>
            </w:r>
            <w:r>
              <w:rPr>
                <w:b/>
                <w:bCs/>
                <w:szCs w:val="22"/>
              </w:rPr>
              <w:t xml:space="preserve"> (ERV)</w:t>
            </w:r>
            <w:r w:rsidRPr="0078598C">
              <w:rPr>
                <w:b/>
                <w:bCs/>
                <w:szCs w:val="22"/>
              </w:rPr>
              <w:t xml:space="preserve"> and Emergency Management Victoria</w:t>
            </w:r>
            <w:r>
              <w:rPr>
                <w:b/>
                <w:bCs/>
                <w:szCs w:val="22"/>
              </w:rPr>
              <w:t xml:space="preserve"> (EMV)</w:t>
            </w:r>
            <w:r w:rsidRPr="0078598C">
              <w:rPr>
                <w:b/>
                <w:bCs/>
                <w:szCs w:val="22"/>
              </w:rPr>
              <w:t xml:space="preserve"> </w:t>
            </w:r>
            <w:r>
              <w:rPr>
                <w:b/>
                <w:bCs/>
                <w:szCs w:val="22"/>
              </w:rPr>
              <w:t>into DJCS as a single branded division</w:t>
            </w:r>
          </w:p>
          <w:p w14:paraId="38AEAC77" w14:textId="1C796335" w:rsidR="006A0772" w:rsidRPr="0078598C" w:rsidRDefault="006A0772" w:rsidP="00B46D06">
            <w:pPr>
              <w:spacing w:before="80" w:after="80"/>
              <w:rPr>
                <w:szCs w:val="22"/>
              </w:rPr>
            </w:pPr>
            <w:r>
              <w:rPr>
                <w:szCs w:val="22"/>
              </w:rPr>
              <w:t xml:space="preserve">Abolishes ERV and EMV as standalone entities. </w:t>
            </w:r>
            <w:r w:rsidRPr="00810D4C">
              <w:rPr>
                <w:rFonts w:eastAsia="Aptos" w:cs="Aptos"/>
                <w:color w:val="000000" w:themeColor="text1"/>
                <w:szCs w:val="22"/>
              </w:rPr>
              <w:t xml:space="preserve"> </w:t>
            </w:r>
            <w:r w:rsidRPr="00810D4C">
              <w:rPr>
                <w:szCs w:val="22"/>
              </w:rPr>
              <w:t>Supports move towards a coor</w:t>
            </w:r>
            <w:r w:rsidRPr="0078598C">
              <w:rPr>
                <w:szCs w:val="22"/>
              </w:rPr>
              <w:t>dinated, all hazards approach, clari</w:t>
            </w:r>
            <w:r>
              <w:rPr>
                <w:szCs w:val="22"/>
              </w:rPr>
              <w:t>fies</w:t>
            </w:r>
            <w:r w:rsidRPr="0078598C">
              <w:rPr>
                <w:szCs w:val="22"/>
              </w:rPr>
              <w:t xml:space="preserve"> responsibilities for preparing for emergencies or supporting recovery when emergencies occur.</w:t>
            </w:r>
          </w:p>
        </w:tc>
      </w:tr>
      <w:tr w:rsidR="006A0772" w14:paraId="5AD030AF" w14:textId="77777777" w:rsidTr="00177394">
        <w:tc>
          <w:tcPr>
            <w:tcW w:w="9209" w:type="dxa"/>
          </w:tcPr>
          <w:p w14:paraId="4B6A5911" w14:textId="77777777" w:rsidR="006A0772" w:rsidRPr="0078598C" w:rsidRDefault="006A0772" w:rsidP="00B46D06">
            <w:pPr>
              <w:spacing w:before="80" w:after="80"/>
              <w:rPr>
                <w:b/>
                <w:bCs/>
                <w:szCs w:val="22"/>
              </w:rPr>
            </w:pPr>
            <w:r w:rsidRPr="0078598C">
              <w:rPr>
                <w:b/>
                <w:bCs/>
                <w:szCs w:val="22"/>
              </w:rPr>
              <w:t>Absorb the Victorian Small Business Commission into VCAT</w:t>
            </w:r>
          </w:p>
          <w:p w14:paraId="49E7C07C" w14:textId="0202F6F0" w:rsidR="006A0772" w:rsidRPr="0078598C" w:rsidRDefault="006A0772" w:rsidP="00B46D06">
            <w:pPr>
              <w:spacing w:before="80" w:after="80"/>
              <w:rPr>
                <w:szCs w:val="22"/>
              </w:rPr>
            </w:pPr>
            <w:r>
              <w:rPr>
                <w:szCs w:val="22"/>
              </w:rPr>
              <w:t>Abolishes the Commission as a standalone entity.</w:t>
            </w:r>
            <w:r w:rsidRPr="0078598C">
              <w:rPr>
                <w:szCs w:val="22"/>
              </w:rPr>
              <w:t xml:space="preserve"> Reduces administrative duplication and simplif</w:t>
            </w:r>
            <w:r>
              <w:rPr>
                <w:szCs w:val="22"/>
              </w:rPr>
              <w:t>ies</w:t>
            </w:r>
            <w:r w:rsidRPr="0078598C">
              <w:rPr>
                <w:szCs w:val="22"/>
              </w:rPr>
              <w:t xml:space="preserve"> the experience for small businesses seeking to resolve disputes.</w:t>
            </w:r>
          </w:p>
        </w:tc>
      </w:tr>
    </w:tbl>
    <w:p w14:paraId="1344321C" w14:textId="77777777" w:rsidR="00992073" w:rsidRDefault="00992073"/>
    <w:tbl>
      <w:tblPr>
        <w:tblStyle w:val="TableGrid"/>
        <w:tblW w:w="9209" w:type="dxa"/>
        <w:tblBorders>
          <w:left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209"/>
      </w:tblGrid>
      <w:tr w:rsidR="00992073" w14:paraId="2F386D03" w14:textId="77777777" w:rsidTr="00992073">
        <w:tc>
          <w:tcPr>
            <w:tcW w:w="9209" w:type="dxa"/>
            <w:shd w:val="clear" w:color="auto" w:fill="0A2F41" w:themeFill="accent1" w:themeFillShade="80"/>
          </w:tcPr>
          <w:p w14:paraId="3A998963" w14:textId="52E03185" w:rsidR="00992073" w:rsidRPr="0078598C" w:rsidRDefault="00992073" w:rsidP="007827BB">
            <w:pPr>
              <w:spacing w:before="80" w:after="80"/>
              <w:rPr>
                <w:b/>
                <w:bCs/>
                <w:szCs w:val="22"/>
              </w:rPr>
            </w:pPr>
            <w:r w:rsidRPr="0078598C">
              <w:rPr>
                <w:b/>
                <w:szCs w:val="22"/>
              </w:rPr>
              <w:lastRenderedPageBreak/>
              <w:t>Initiative summary and benefit</w:t>
            </w:r>
          </w:p>
        </w:tc>
      </w:tr>
      <w:tr w:rsidR="00992073" w14:paraId="767B53FC" w14:textId="77777777" w:rsidTr="00780C45">
        <w:tc>
          <w:tcPr>
            <w:tcW w:w="9209" w:type="dxa"/>
            <w:shd w:val="clear" w:color="auto" w:fill="595959" w:themeFill="text1" w:themeFillTint="A6"/>
          </w:tcPr>
          <w:p w14:paraId="22BAE1F6" w14:textId="0472679C" w:rsidR="00992073" w:rsidRPr="0078598C" w:rsidRDefault="00BD5712" w:rsidP="007827BB">
            <w:pPr>
              <w:spacing w:before="80" w:after="80"/>
              <w:rPr>
                <w:b/>
                <w:bCs/>
                <w:szCs w:val="22"/>
              </w:rPr>
            </w:pPr>
            <w:r>
              <w:rPr>
                <w:b/>
                <w:bCs/>
                <w:color w:val="FFFFFF" w:themeColor="background1"/>
                <w:szCs w:val="22"/>
              </w:rPr>
              <w:t>Merging entities with overlapping functions</w:t>
            </w:r>
          </w:p>
        </w:tc>
      </w:tr>
      <w:tr w:rsidR="006A0772" w14:paraId="3C1EFBC0" w14:textId="77777777" w:rsidTr="00177394">
        <w:tc>
          <w:tcPr>
            <w:tcW w:w="9209" w:type="dxa"/>
          </w:tcPr>
          <w:p w14:paraId="7FE88907" w14:textId="77777777" w:rsidR="006A0772" w:rsidRPr="0078598C" w:rsidRDefault="006A0772" w:rsidP="00B46D06">
            <w:pPr>
              <w:spacing w:before="80" w:after="80"/>
              <w:rPr>
                <w:b/>
                <w:bCs/>
                <w:szCs w:val="22"/>
              </w:rPr>
            </w:pPr>
            <w:r w:rsidRPr="0078598C">
              <w:rPr>
                <w:b/>
                <w:bCs/>
                <w:szCs w:val="22"/>
              </w:rPr>
              <w:t>Merge</w:t>
            </w:r>
            <w:r>
              <w:rPr>
                <w:b/>
                <w:bCs/>
                <w:szCs w:val="22"/>
              </w:rPr>
              <w:t xml:space="preserve"> human rights offices and commissioners within</w:t>
            </w:r>
            <w:r w:rsidRPr="0078598C">
              <w:rPr>
                <w:b/>
                <w:bCs/>
                <w:szCs w:val="22"/>
              </w:rPr>
              <w:t xml:space="preserve"> the Victorian Equal Opportunity and Human Rights Commission</w:t>
            </w:r>
            <w:r>
              <w:rPr>
                <w:b/>
                <w:bCs/>
                <w:szCs w:val="22"/>
              </w:rPr>
              <w:t xml:space="preserve"> (VEOHRC)</w:t>
            </w:r>
          </w:p>
          <w:p w14:paraId="16DDE17C" w14:textId="77777777" w:rsidR="006A0772" w:rsidRPr="00E73C88" w:rsidRDefault="006A0772" w:rsidP="00B46D06">
            <w:pPr>
              <w:spacing w:before="80" w:after="80"/>
              <w:rPr>
                <w:szCs w:val="22"/>
              </w:rPr>
            </w:pPr>
            <w:r w:rsidRPr="00B07D66">
              <w:rPr>
                <w:szCs w:val="22"/>
              </w:rPr>
              <w:t xml:space="preserve">Brings together the Commissioner for LGBTIQA+ Communities, Commission for Gender Equality in the Public Sector, Commission for Children and Young </w:t>
            </w:r>
            <w:r w:rsidRPr="00E73C88">
              <w:rPr>
                <w:szCs w:val="22"/>
              </w:rPr>
              <w:t xml:space="preserve">People, </w:t>
            </w:r>
            <w:r>
              <w:rPr>
                <w:szCs w:val="22"/>
              </w:rPr>
              <w:t xml:space="preserve">the </w:t>
            </w:r>
            <w:r w:rsidRPr="00E73C88">
              <w:rPr>
                <w:rFonts w:eastAsia="Aptos" w:cs="Aptos"/>
                <w:color w:val="000000" w:themeColor="text1"/>
                <w:szCs w:val="22"/>
              </w:rPr>
              <w:t xml:space="preserve">Victorian Multicultural Commission </w:t>
            </w:r>
            <w:r w:rsidRPr="00E73C88">
              <w:rPr>
                <w:szCs w:val="22"/>
              </w:rPr>
              <w:t>and the Office of the Public Advocate with</w:t>
            </w:r>
            <w:r>
              <w:rPr>
                <w:szCs w:val="22"/>
              </w:rPr>
              <w:t>in VEOHRC.</w:t>
            </w:r>
          </w:p>
          <w:p w14:paraId="592002F9" w14:textId="77777777" w:rsidR="006A0772" w:rsidRPr="0078598C" w:rsidRDefault="006A0772" w:rsidP="00B46D06">
            <w:pPr>
              <w:spacing w:before="80" w:after="80"/>
              <w:rPr>
                <w:szCs w:val="22"/>
              </w:rPr>
            </w:pPr>
            <w:r>
              <w:rPr>
                <w:szCs w:val="22"/>
              </w:rPr>
              <w:t xml:space="preserve">To be implemented in stages. Maintains independence of respective roles but leverages expertise and increases administrative efficiencies. </w:t>
            </w:r>
            <w:r w:rsidRPr="0078598C">
              <w:rPr>
                <w:szCs w:val="22"/>
              </w:rPr>
              <w:t xml:space="preserve">Provides a one-door approach to human rights services </w:t>
            </w:r>
            <w:r>
              <w:rPr>
                <w:szCs w:val="22"/>
              </w:rPr>
              <w:t xml:space="preserve">with VEOHRC to </w:t>
            </w:r>
            <w:r w:rsidRPr="0078598C">
              <w:rPr>
                <w:szCs w:val="22"/>
              </w:rPr>
              <w:t xml:space="preserve">become a </w:t>
            </w:r>
            <w:proofErr w:type="spellStart"/>
            <w:r w:rsidRPr="0078598C">
              <w:rPr>
                <w:szCs w:val="22"/>
              </w:rPr>
              <w:t>centre</w:t>
            </w:r>
            <w:proofErr w:type="spellEnd"/>
            <w:r w:rsidRPr="0078598C">
              <w:rPr>
                <w:szCs w:val="22"/>
              </w:rPr>
              <w:t xml:space="preserve"> for excellence </w:t>
            </w:r>
            <w:r>
              <w:rPr>
                <w:szCs w:val="22"/>
              </w:rPr>
              <w:t>for</w:t>
            </w:r>
            <w:r w:rsidRPr="0078598C">
              <w:rPr>
                <w:szCs w:val="22"/>
              </w:rPr>
              <w:t xml:space="preserve"> human rights</w:t>
            </w:r>
            <w:r>
              <w:rPr>
                <w:szCs w:val="22"/>
              </w:rPr>
              <w:t>.</w:t>
            </w:r>
          </w:p>
        </w:tc>
      </w:tr>
      <w:tr w:rsidR="006A0772" w14:paraId="6815208C" w14:textId="77777777" w:rsidTr="00177394">
        <w:tc>
          <w:tcPr>
            <w:tcW w:w="9209" w:type="dxa"/>
          </w:tcPr>
          <w:p w14:paraId="0BACC0CE" w14:textId="77777777" w:rsidR="006A0772" w:rsidRPr="0078598C" w:rsidRDefault="006A0772" w:rsidP="00B46D06">
            <w:pPr>
              <w:spacing w:before="80" w:after="80"/>
              <w:rPr>
                <w:b/>
                <w:bCs/>
                <w:szCs w:val="22"/>
              </w:rPr>
            </w:pPr>
            <w:r w:rsidRPr="0078598C">
              <w:rPr>
                <w:b/>
                <w:bCs/>
                <w:szCs w:val="22"/>
              </w:rPr>
              <w:t xml:space="preserve">Merge the commercial functions of Racing Victoria, Greyhound Racing Victoria and Harness Racing Victoria under </w:t>
            </w:r>
            <w:r>
              <w:rPr>
                <w:b/>
                <w:bCs/>
                <w:szCs w:val="22"/>
              </w:rPr>
              <w:t>one entity</w:t>
            </w:r>
          </w:p>
          <w:p w14:paraId="7D6D6052" w14:textId="77777777" w:rsidR="006A0772" w:rsidRPr="0078598C" w:rsidRDefault="006A0772" w:rsidP="00B46D06">
            <w:pPr>
              <w:spacing w:before="80" w:after="80"/>
              <w:rPr>
                <w:szCs w:val="22"/>
              </w:rPr>
            </w:pPr>
            <w:proofErr w:type="gramStart"/>
            <w:r>
              <w:rPr>
                <w:szCs w:val="22"/>
              </w:rPr>
              <w:t>Creates</w:t>
            </w:r>
            <w:proofErr w:type="gramEnd"/>
            <w:r>
              <w:rPr>
                <w:szCs w:val="22"/>
              </w:rPr>
              <w:t xml:space="preserve"> focus for commercial functions, </w:t>
            </w:r>
            <w:r w:rsidRPr="0078598C">
              <w:rPr>
                <w:szCs w:val="22"/>
              </w:rPr>
              <w:t>separate commercial and regulatory aspects of racing</w:t>
            </w:r>
            <w:r>
              <w:rPr>
                <w:szCs w:val="22"/>
              </w:rPr>
              <w:t xml:space="preserve">, </w:t>
            </w:r>
            <w:proofErr w:type="gramStart"/>
            <w:r>
              <w:rPr>
                <w:szCs w:val="22"/>
              </w:rPr>
              <w:t>creates</w:t>
            </w:r>
            <w:proofErr w:type="gramEnd"/>
            <w:r>
              <w:rPr>
                <w:szCs w:val="22"/>
              </w:rPr>
              <w:t xml:space="preserve"> operational and corporate efficiencies.</w:t>
            </w:r>
          </w:p>
        </w:tc>
      </w:tr>
      <w:tr w:rsidR="00BD5712" w14:paraId="3B1ACE00" w14:textId="77777777" w:rsidTr="00780C45">
        <w:tc>
          <w:tcPr>
            <w:tcW w:w="9209" w:type="dxa"/>
            <w:shd w:val="clear" w:color="auto" w:fill="595959" w:themeFill="text1" w:themeFillTint="A6"/>
          </w:tcPr>
          <w:p w14:paraId="1D5759C0" w14:textId="51FD7B4E" w:rsidR="00BD5712" w:rsidRDefault="00BD5712" w:rsidP="007827BB">
            <w:pPr>
              <w:spacing w:before="80" w:after="80"/>
              <w:rPr>
                <w:b/>
                <w:bCs/>
                <w:szCs w:val="22"/>
              </w:rPr>
            </w:pPr>
            <w:r w:rsidRPr="00BD5712">
              <w:rPr>
                <w:b/>
                <w:bCs/>
                <w:color w:val="FFFFFF" w:themeColor="background1"/>
                <w:szCs w:val="22"/>
              </w:rPr>
              <w:t>Different approaches for advice and stakeholder engagement</w:t>
            </w:r>
          </w:p>
        </w:tc>
      </w:tr>
      <w:tr w:rsidR="006A0772" w14:paraId="3A766DE7" w14:textId="77777777" w:rsidTr="00177394">
        <w:tc>
          <w:tcPr>
            <w:tcW w:w="9209" w:type="dxa"/>
          </w:tcPr>
          <w:p w14:paraId="0D8E9752" w14:textId="5E495899" w:rsidR="006A0772" w:rsidRDefault="006A0772" w:rsidP="00B46D06">
            <w:pPr>
              <w:spacing w:before="80" w:after="80"/>
              <w:rPr>
                <w:b/>
                <w:bCs/>
                <w:szCs w:val="22"/>
              </w:rPr>
            </w:pPr>
            <w:r>
              <w:rPr>
                <w:b/>
                <w:bCs/>
                <w:szCs w:val="22"/>
              </w:rPr>
              <w:t xml:space="preserve">Confirm the need for 90 </w:t>
            </w:r>
            <w:r w:rsidRPr="0078598C">
              <w:rPr>
                <w:b/>
                <w:bCs/>
                <w:szCs w:val="22"/>
              </w:rPr>
              <w:t>advisory committees</w:t>
            </w:r>
          </w:p>
          <w:p w14:paraId="324FCCF4" w14:textId="77777777" w:rsidR="006A0772" w:rsidRPr="0041399F" w:rsidRDefault="006A0772" w:rsidP="00B46D06">
            <w:pPr>
              <w:spacing w:before="80" w:after="80"/>
              <w:rPr>
                <w:rFonts w:eastAsia="Aptos" w:cs="Arial"/>
                <w:color w:val="000000" w:themeColor="text1"/>
                <w:szCs w:val="22"/>
              </w:rPr>
            </w:pPr>
            <w:r>
              <w:rPr>
                <w:szCs w:val="22"/>
              </w:rPr>
              <w:t xml:space="preserve">Enables different approaches for advice and stakeholder engagement. </w:t>
            </w:r>
            <w:r w:rsidRPr="0078598C">
              <w:rPr>
                <w:szCs w:val="22"/>
              </w:rPr>
              <w:t>Streamlines governance and reduce</w:t>
            </w:r>
            <w:r>
              <w:rPr>
                <w:szCs w:val="22"/>
              </w:rPr>
              <w:t>s</w:t>
            </w:r>
            <w:r w:rsidRPr="0078598C">
              <w:rPr>
                <w:szCs w:val="22"/>
              </w:rPr>
              <w:t xml:space="preserve"> the administrative burden associated with supporting legacy </w:t>
            </w:r>
            <w:r w:rsidRPr="0041399F">
              <w:rPr>
                <w:szCs w:val="22"/>
              </w:rPr>
              <w:t xml:space="preserve">structures. </w:t>
            </w:r>
            <w:r w:rsidRPr="0041399F">
              <w:rPr>
                <w:rFonts w:eastAsia="Aptos" w:cs="Arial"/>
                <w:color w:val="000000" w:themeColor="text1"/>
                <w:szCs w:val="22"/>
              </w:rPr>
              <w:t xml:space="preserve">There should be a high threshold for retaining </w:t>
            </w:r>
            <w:r>
              <w:rPr>
                <w:rFonts w:eastAsia="Aptos" w:cs="Arial"/>
                <w:color w:val="000000" w:themeColor="text1"/>
                <w:szCs w:val="22"/>
              </w:rPr>
              <w:t>committees</w:t>
            </w:r>
            <w:r w:rsidRPr="0041399F">
              <w:rPr>
                <w:rFonts w:eastAsia="Aptos" w:cs="Arial"/>
                <w:color w:val="000000" w:themeColor="text1"/>
                <w:szCs w:val="22"/>
              </w:rPr>
              <w:t xml:space="preserve"> (statutory and non-statutory), with the assumption that 90 per cent will be abolished and other mechanisms </w:t>
            </w:r>
            <w:proofErr w:type="spellStart"/>
            <w:r w:rsidRPr="0041399F">
              <w:rPr>
                <w:rFonts w:eastAsia="Aptos" w:cs="Arial"/>
                <w:color w:val="000000" w:themeColor="text1"/>
                <w:szCs w:val="22"/>
              </w:rPr>
              <w:t>utilised</w:t>
            </w:r>
            <w:proofErr w:type="spellEnd"/>
            <w:r w:rsidRPr="0041399F">
              <w:rPr>
                <w:rFonts w:eastAsia="Aptos" w:cs="Arial"/>
                <w:color w:val="000000" w:themeColor="text1"/>
                <w:szCs w:val="22"/>
              </w:rPr>
              <w:t xml:space="preserve"> should a</w:t>
            </w:r>
            <w:r>
              <w:rPr>
                <w:rFonts w:eastAsia="Aptos" w:cs="Arial"/>
                <w:color w:val="000000" w:themeColor="text1"/>
                <w:szCs w:val="22"/>
              </w:rPr>
              <w:t xml:space="preserve"> continued</w:t>
            </w:r>
            <w:r w:rsidRPr="0041399F">
              <w:rPr>
                <w:rFonts w:eastAsia="Aptos" w:cs="Arial"/>
                <w:color w:val="000000" w:themeColor="text1"/>
                <w:szCs w:val="22"/>
              </w:rPr>
              <w:t xml:space="preserve"> need for external advice exist. </w:t>
            </w:r>
          </w:p>
        </w:tc>
      </w:tr>
    </w:tbl>
    <w:p w14:paraId="30D888CA" w14:textId="741FC6BB" w:rsidR="00E16E65" w:rsidRDefault="00E16E65" w:rsidP="008E4ACB"/>
    <w:p w14:paraId="0217E95A" w14:textId="77777777" w:rsidR="0083007C" w:rsidRDefault="0083007C">
      <w:pPr>
        <w:rPr>
          <w:rFonts w:asciiTheme="majorHAnsi" w:hAnsiTheme="majorHAnsi"/>
          <w:b/>
          <w:bCs/>
          <w:color w:val="0F4761" w:themeColor="accent1" w:themeShade="BF"/>
          <w:sz w:val="32"/>
          <w:szCs w:val="32"/>
        </w:rPr>
      </w:pPr>
      <w:r>
        <w:rPr>
          <w:rFonts w:asciiTheme="majorHAnsi" w:hAnsiTheme="majorHAnsi"/>
          <w:b/>
          <w:bCs/>
          <w:color w:val="0F4761" w:themeColor="accent1" w:themeShade="BF"/>
          <w:sz w:val="32"/>
          <w:szCs w:val="32"/>
        </w:rPr>
        <w:br w:type="page"/>
      </w:r>
    </w:p>
    <w:p w14:paraId="4EC45893" w14:textId="7895926F" w:rsidR="00B8373D" w:rsidRDefault="00B8373D" w:rsidP="00B8373D">
      <w:pPr>
        <w:spacing w:before="240"/>
        <w:rPr>
          <w:rFonts w:asciiTheme="majorHAnsi" w:hAnsiTheme="majorHAnsi"/>
          <w:b/>
          <w:bCs/>
          <w:color w:val="0F4761" w:themeColor="accent1" w:themeShade="BF"/>
          <w:sz w:val="32"/>
          <w:szCs w:val="32"/>
        </w:rPr>
      </w:pPr>
      <w:r w:rsidRPr="006C342D">
        <w:rPr>
          <w:rFonts w:asciiTheme="majorHAnsi" w:hAnsiTheme="majorHAnsi"/>
          <w:b/>
          <w:bCs/>
          <w:color w:val="0F4761" w:themeColor="accent1" w:themeShade="BF"/>
          <w:sz w:val="32"/>
          <w:szCs w:val="32"/>
        </w:rPr>
        <w:lastRenderedPageBreak/>
        <w:t xml:space="preserve">C.4   </w:t>
      </w:r>
      <w:r w:rsidR="00981F18" w:rsidRPr="001F6016">
        <w:rPr>
          <w:rFonts w:asciiTheme="majorHAnsi" w:hAnsiTheme="majorHAnsi"/>
          <w:b/>
          <w:color w:val="0F4761" w:themeColor="accent1" w:themeShade="BF"/>
          <w:sz w:val="32"/>
          <w:szCs w:val="32"/>
        </w:rPr>
        <w:t>Victorian</w:t>
      </w:r>
      <w:r>
        <w:rPr>
          <w:rFonts w:asciiTheme="majorHAnsi" w:hAnsiTheme="majorHAnsi"/>
          <w:b/>
          <w:bCs/>
          <w:color w:val="0F4761" w:themeColor="accent1" w:themeShade="BF"/>
          <w:sz w:val="32"/>
          <w:szCs w:val="32"/>
        </w:rPr>
        <w:t xml:space="preserve"> advisory committees</w:t>
      </w:r>
    </w:p>
    <w:p w14:paraId="2BE8E77D" w14:textId="586B3A18" w:rsidR="0000276F" w:rsidRPr="0000276F" w:rsidRDefault="0000276F" w:rsidP="00981F18">
      <w:pPr>
        <w:rPr>
          <w:szCs w:val="22"/>
        </w:rPr>
      </w:pPr>
      <w:r w:rsidRPr="001F6016">
        <w:rPr>
          <w:szCs w:val="22"/>
        </w:rPr>
        <w:t>This</w:t>
      </w:r>
      <w:r w:rsidR="00981F18" w:rsidRPr="001F6016">
        <w:rPr>
          <w:szCs w:val="22"/>
        </w:rPr>
        <w:t xml:space="preserve"> is a list of the 90 advisory committees identified by the Review.</w:t>
      </w:r>
    </w:p>
    <w:tbl>
      <w:tblPr>
        <w:tblStyle w:val="TableGrid"/>
        <w:tblW w:w="0" w:type="auto"/>
        <w:tblLook w:val="04A0" w:firstRow="1" w:lastRow="0" w:firstColumn="1" w:lastColumn="0" w:noHBand="0" w:noVBand="1"/>
      </w:tblPr>
      <w:tblGrid>
        <w:gridCol w:w="4508"/>
        <w:gridCol w:w="4508"/>
      </w:tblGrid>
      <w:tr w:rsidR="00BF3307" w14:paraId="1519867C" w14:textId="77777777" w:rsidTr="00D25962">
        <w:trPr>
          <w:trHeight w:val="227"/>
        </w:trPr>
        <w:tc>
          <w:tcPr>
            <w:tcW w:w="9016" w:type="dxa"/>
            <w:gridSpan w:val="2"/>
            <w:tcBorders>
              <w:bottom w:val="single" w:sz="4" w:space="0" w:color="auto"/>
            </w:tcBorders>
            <w:shd w:val="clear" w:color="auto" w:fill="0A2F41" w:themeFill="accent1" w:themeFillShade="80"/>
            <w:vAlign w:val="center"/>
          </w:tcPr>
          <w:p w14:paraId="59EDDBE3" w14:textId="483C10B9" w:rsidR="00BF3307" w:rsidRPr="00074A67" w:rsidRDefault="00BF3307" w:rsidP="000F62A1">
            <w:pPr>
              <w:spacing w:before="80" w:after="80"/>
              <w:rPr>
                <w:rFonts w:eastAsia="Aptos" w:cs="Aptos"/>
                <w:b/>
                <w:bCs/>
                <w:color w:val="000000" w:themeColor="text1"/>
                <w:szCs w:val="22"/>
              </w:rPr>
            </w:pPr>
            <w:r w:rsidRPr="00074A67">
              <w:rPr>
                <w:rFonts w:eastAsia="Aptos" w:cs="Aptos"/>
                <w:b/>
                <w:bCs/>
                <w:color w:val="FFFFFF" w:themeColor="background1"/>
                <w:szCs w:val="22"/>
              </w:rPr>
              <w:t>Advisory committees</w:t>
            </w:r>
          </w:p>
        </w:tc>
      </w:tr>
      <w:tr w:rsidR="00F77FB1" w14:paraId="5134BE46" w14:textId="77777777" w:rsidTr="00D25962">
        <w:trPr>
          <w:trHeight w:val="227"/>
        </w:trPr>
        <w:tc>
          <w:tcPr>
            <w:tcW w:w="4508" w:type="dxa"/>
            <w:tcBorders>
              <w:left w:val="nil"/>
              <w:bottom w:val="single" w:sz="4" w:space="0" w:color="BFBFBF" w:themeColor="background1" w:themeShade="BF"/>
              <w:right w:val="single" w:sz="4" w:space="0" w:color="BFBFBF" w:themeColor="background1" w:themeShade="BF"/>
            </w:tcBorders>
            <w:vAlign w:val="center"/>
          </w:tcPr>
          <w:p w14:paraId="4878FF9B" w14:textId="6047A16E" w:rsidR="00F77FB1" w:rsidRPr="00074A67" w:rsidRDefault="00F77FB1" w:rsidP="00BD5712">
            <w:pPr>
              <w:spacing w:before="40" w:after="40"/>
              <w:rPr>
                <w:rFonts w:eastAsia="Aptos" w:cs="Aptos"/>
                <w:color w:val="000000" w:themeColor="text1"/>
                <w:szCs w:val="22"/>
              </w:rPr>
            </w:pPr>
            <w:r w:rsidRPr="00074A67">
              <w:rPr>
                <w:rFonts w:cs="Arial"/>
                <w:color w:val="000000"/>
                <w:kern w:val="24"/>
                <w:szCs w:val="22"/>
              </w:rPr>
              <w:t>Accessible Transport Advisory Committee</w:t>
            </w:r>
          </w:p>
        </w:tc>
        <w:tc>
          <w:tcPr>
            <w:tcW w:w="4508" w:type="dxa"/>
            <w:tcBorders>
              <w:left w:val="single" w:sz="4" w:space="0" w:color="BFBFBF" w:themeColor="background1" w:themeShade="BF"/>
              <w:bottom w:val="single" w:sz="4" w:space="0" w:color="BFBFBF" w:themeColor="background1" w:themeShade="BF"/>
              <w:right w:val="nil"/>
            </w:tcBorders>
          </w:tcPr>
          <w:p w14:paraId="64F2C9CE" w14:textId="30849241" w:rsidR="00F77FB1" w:rsidRPr="00074A67" w:rsidRDefault="00735DCE" w:rsidP="00BD5712">
            <w:pPr>
              <w:spacing w:before="40" w:after="40"/>
              <w:rPr>
                <w:rFonts w:eastAsia="Aptos" w:cs="Aptos"/>
                <w:color w:val="000000" w:themeColor="text1"/>
                <w:szCs w:val="22"/>
              </w:rPr>
            </w:pPr>
            <w:r w:rsidRPr="00EC2CCD">
              <w:rPr>
                <w:rFonts w:eastAsia="Aptos" w:cs="Aptos"/>
                <w:color w:val="000000" w:themeColor="text1"/>
                <w:szCs w:val="22"/>
                <w:lang w:val="en-AU"/>
              </w:rPr>
              <w:t>Radiation Advisory Committee</w:t>
            </w:r>
          </w:p>
        </w:tc>
      </w:tr>
      <w:tr w:rsidR="006660DF" w14:paraId="2C5D99AD"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6F74667B" w14:textId="3708F4E5"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Animal Welfare Advisory Committee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5F8C81D4" w14:textId="044493AA"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Recreational Fishing License Trust Advisory Committee</w:t>
            </w:r>
          </w:p>
        </w:tc>
      </w:tr>
      <w:tr w:rsidR="006660DF" w14:paraId="36E96F94"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1DDD5EC3" w14:textId="6DA7B94C"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Anti-Racism Taskforce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50891B4E" w14:textId="55E19B47"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Reference Areas Advisory Committee</w:t>
            </w:r>
          </w:p>
        </w:tc>
      </w:tr>
      <w:tr w:rsidR="006660DF" w14:paraId="2C9FCE1C"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346A5E5A" w14:textId="567C9D15"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Apicultural Industry Advisory Committee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6FB27783" w14:textId="4B0EC750"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Regional Development Advisory Committee</w:t>
            </w:r>
          </w:p>
        </w:tc>
      </w:tr>
      <w:tr w:rsidR="006660DF" w14:paraId="00F525B8"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09B2C2D8" w14:textId="05A30DDE"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Boards Ministerial Advisory Committee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29E99490" w14:textId="11011DB5"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Regional Policy Advisory Committee</w:t>
            </w:r>
          </w:p>
        </w:tc>
      </w:tr>
      <w:tr w:rsidR="006660DF" w14:paraId="70CEB82A"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57B4A94F" w14:textId="5B57ABF4"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 xml:space="preserve">Boronia Suburban </w:t>
            </w:r>
            <w:proofErr w:type="spellStart"/>
            <w:r w:rsidRPr="00074A67">
              <w:rPr>
                <w:rFonts w:cs="Arial"/>
                <w:color w:val="000000"/>
                <w:kern w:val="24"/>
                <w:szCs w:val="22"/>
              </w:rPr>
              <w:t>Revitalisation</w:t>
            </w:r>
            <w:proofErr w:type="spellEnd"/>
            <w:r w:rsidRPr="00074A67">
              <w:rPr>
                <w:rFonts w:cs="Arial"/>
                <w:color w:val="000000"/>
                <w:kern w:val="24"/>
                <w:szCs w:val="22"/>
              </w:rPr>
              <w:t xml:space="preserve"> Board</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48D00EA5" w14:textId="72DD73D4"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 xml:space="preserve">Reservoir Suburban </w:t>
            </w:r>
            <w:proofErr w:type="spellStart"/>
            <w:r w:rsidRPr="00074A67">
              <w:rPr>
                <w:rFonts w:cs="Arial"/>
                <w:color w:val="000000"/>
                <w:kern w:val="24"/>
                <w:szCs w:val="22"/>
              </w:rPr>
              <w:t>Revitalisation</w:t>
            </w:r>
            <w:proofErr w:type="spellEnd"/>
            <w:r w:rsidRPr="00074A67">
              <w:rPr>
                <w:rFonts w:cs="Arial"/>
                <w:color w:val="000000"/>
                <w:kern w:val="24"/>
                <w:szCs w:val="22"/>
              </w:rPr>
              <w:t xml:space="preserve"> Board</w:t>
            </w:r>
          </w:p>
        </w:tc>
      </w:tr>
      <w:tr w:rsidR="006660DF" w14:paraId="47F4B32E"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457C167F" w14:textId="4D6C9338"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 xml:space="preserve">Broadmeadows Suburban </w:t>
            </w:r>
            <w:proofErr w:type="spellStart"/>
            <w:r w:rsidRPr="00074A67">
              <w:rPr>
                <w:rFonts w:cs="Arial"/>
                <w:color w:val="000000"/>
                <w:kern w:val="24"/>
                <w:szCs w:val="22"/>
              </w:rPr>
              <w:t>Revitalisation</w:t>
            </w:r>
            <w:proofErr w:type="spellEnd"/>
            <w:r w:rsidRPr="00074A67">
              <w:rPr>
                <w:rFonts w:cs="Arial"/>
                <w:color w:val="000000"/>
                <w:kern w:val="24"/>
                <w:szCs w:val="22"/>
              </w:rPr>
              <w:t xml:space="preserve"> Board</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4477EE10" w14:textId="34B18C5E"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Responsible Pet Ownership Education Advisory Committee</w:t>
            </w:r>
          </w:p>
        </w:tc>
      </w:tr>
      <w:tr w:rsidR="006660DF" w14:paraId="0BADE92D"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118ABD9C" w14:textId="5958B48B"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Building Advisory Council</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1298D19B" w14:textId="1A62D1D6"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Return to Work Advisory Subcommittee</w:t>
            </w:r>
          </w:p>
        </w:tc>
      </w:tr>
      <w:tr w:rsidR="006660DF" w14:paraId="1C66B076"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29D709DD" w14:textId="3B13133C"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Building Industry Consultative Council</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39A224B3" w14:textId="5C18B07E"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Scientific Advisory Committee</w:t>
            </w:r>
          </w:p>
        </w:tc>
      </w:tr>
      <w:tr w:rsidR="006660DF" w14:paraId="378DD388"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2A8C52A5" w14:textId="65D5BD5C"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Building Regulations Advisory Committee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644B4B1F" w14:textId="3A37C2FE"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Senior Secondary Pathways Reform Taskforce</w:t>
            </w:r>
          </w:p>
        </w:tc>
      </w:tr>
      <w:tr w:rsidR="006660DF" w14:paraId="3F25DC19"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56F8D821" w14:textId="53CE6716"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Cattle Compensation Advisory Committee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23884E05" w14:textId="08404F5C"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Senior Victorian Advisory Group</w:t>
            </w:r>
          </w:p>
        </w:tc>
      </w:tr>
      <w:tr w:rsidR="006660DF" w14:paraId="3FD064F6"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2A799375" w14:textId="305589B7"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Council of Board Chairs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151ACA52" w14:textId="26314208"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Sheep and Goat Compensation Advisory Committee</w:t>
            </w:r>
          </w:p>
        </w:tc>
      </w:tr>
      <w:tr w:rsidR="006660DF" w14:paraId="0F600758"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38BDFB8C" w14:textId="5C90F956" w:rsidR="006660DF" w:rsidRPr="00074A67" w:rsidRDefault="006660DF" w:rsidP="00BD5712">
            <w:pPr>
              <w:spacing w:before="40" w:after="40"/>
              <w:rPr>
                <w:rFonts w:eastAsia="Aptos" w:cs="Aptos"/>
                <w:color w:val="000000" w:themeColor="text1"/>
                <w:szCs w:val="22"/>
              </w:rPr>
            </w:pPr>
            <w:proofErr w:type="spellStart"/>
            <w:r w:rsidRPr="00074A67">
              <w:rPr>
                <w:rFonts w:cs="Arial"/>
                <w:color w:val="000000"/>
                <w:kern w:val="24"/>
                <w:szCs w:val="22"/>
              </w:rPr>
              <w:t>Defence</w:t>
            </w:r>
            <w:proofErr w:type="spellEnd"/>
            <w:r w:rsidRPr="00074A67">
              <w:rPr>
                <w:rFonts w:cs="Arial"/>
                <w:color w:val="000000"/>
                <w:kern w:val="24"/>
                <w:szCs w:val="22"/>
              </w:rPr>
              <w:t xml:space="preserve"> Council Victoria</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6B67FCF4" w14:textId="4ABEFCEE"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Sheep and Goat Identification Advisory Committee</w:t>
            </w:r>
          </w:p>
        </w:tc>
      </w:tr>
      <w:tr w:rsidR="006660DF" w14:paraId="6D10A1C6"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72066141" w14:textId="40BA3980"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Domestic Animal Management Implementation Committee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79CDF3D8" w14:textId="1BFA1001"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Shooting Sports Facilities Program Advisory Committee</w:t>
            </w:r>
          </w:p>
        </w:tc>
      </w:tr>
      <w:tr w:rsidR="006660DF" w14:paraId="587BD72D"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321B0FF5" w14:textId="433CB47F"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Electric Line Clearance Consultative Committee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533FFA8D" w14:textId="6344AC29"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Small Business Ministerial Council</w:t>
            </w:r>
          </w:p>
        </w:tc>
      </w:tr>
      <w:tr w:rsidR="006660DF" w14:paraId="4A3B0849"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21FABF07" w14:textId="0AE5538B"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Equal Workplaces Advisory Council</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2B7F35AD" w14:textId="5C8D8AC4"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South Sudanese Australian Youth Justice Expert Working Group</w:t>
            </w:r>
          </w:p>
        </w:tc>
      </w:tr>
      <w:tr w:rsidR="006660DF" w14:paraId="17C863AA"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55B9BB93" w14:textId="1AC2A216"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Equipment Advisory Committee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515DD530" w14:textId="3D11744B"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State Netball and Hockey Centre Advisory Committee</w:t>
            </w:r>
          </w:p>
        </w:tc>
      </w:tr>
      <w:tr w:rsidR="006660DF" w14:paraId="78EBC9D1"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7DA42055" w14:textId="37D0EE60"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Fire District Review Panel</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1C796A32" w14:textId="61A73B15"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Swine Industry Projects Advisory Committee</w:t>
            </w:r>
          </w:p>
        </w:tc>
      </w:tr>
      <w:tr w:rsidR="006660DF" w14:paraId="678E5990"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08AA45F9" w14:textId="65559E2F"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Fire Rescue Victoria Strategic Advisory Committee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074B1C6E" w14:textId="67928CA9" w:rsidR="006660DF" w:rsidRPr="00074A67" w:rsidRDefault="006660DF" w:rsidP="00BD5712">
            <w:pPr>
              <w:spacing w:before="40" w:after="40"/>
              <w:rPr>
                <w:rFonts w:eastAsia="Aptos" w:cs="Aptos"/>
                <w:color w:val="000000" w:themeColor="text1"/>
                <w:szCs w:val="22"/>
              </w:rPr>
            </w:pPr>
            <w:proofErr w:type="spellStart"/>
            <w:r w:rsidRPr="00074A67">
              <w:rPr>
                <w:rFonts w:cs="Arial"/>
                <w:color w:val="000000"/>
                <w:kern w:val="24"/>
                <w:szCs w:val="22"/>
              </w:rPr>
              <w:t>Tarneit</w:t>
            </w:r>
            <w:proofErr w:type="spellEnd"/>
            <w:r w:rsidRPr="00074A67">
              <w:rPr>
                <w:rFonts w:cs="Arial"/>
                <w:color w:val="000000"/>
                <w:kern w:val="24"/>
                <w:szCs w:val="22"/>
              </w:rPr>
              <w:t xml:space="preserve"> Suburban </w:t>
            </w:r>
            <w:proofErr w:type="spellStart"/>
            <w:r w:rsidRPr="00074A67">
              <w:rPr>
                <w:rFonts w:cs="Arial"/>
                <w:color w:val="000000"/>
                <w:kern w:val="24"/>
                <w:szCs w:val="22"/>
              </w:rPr>
              <w:t>Revitalisation</w:t>
            </w:r>
            <w:proofErr w:type="spellEnd"/>
            <w:r w:rsidRPr="00074A67">
              <w:rPr>
                <w:rFonts w:cs="Arial"/>
                <w:color w:val="000000"/>
                <w:kern w:val="24"/>
                <w:szCs w:val="22"/>
              </w:rPr>
              <w:t xml:space="preserve"> Board</w:t>
            </w:r>
          </w:p>
        </w:tc>
      </w:tr>
      <w:tr w:rsidR="006660DF" w14:paraId="5E40AFB8"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5B0ECC97" w14:textId="20A24B97"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Fisheries Co-Management Council and Fishery Committees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61CBB08B" w14:textId="7C2B2F25"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Transport Industry Council</w:t>
            </w:r>
          </w:p>
        </w:tc>
      </w:tr>
      <w:tr w:rsidR="006660DF" w14:paraId="2F2E3266"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72A1FCE8" w14:textId="0D3AA385"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Food Relief Taskforce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4B705308" w14:textId="1FBC9308"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Victim Survivors Advisory Council</w:t>
            </w:r>
          </w:p>
        </w:tc>
      </w:tr>
      <w:tr w:rsidR="006660DF" w14:paraId="3990D2AE"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1A503A64" w14:textId="1D9FD99E"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Forestry Industry Council</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12DCBECF" w14:textId="70B32941"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Victims of Crime Consultative Committee</w:t>
            </w:r>
          </w:p>
        </w:tc>
      </w:tr>
      <w:tr w:rsidR="006660DF" w14:paraId="4026C31E"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03EF41FE" w14:textId="186C5400"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 xml:space="preserve">Frankston Suburban </w:t>
            </w:r>
            <w:proofErr w:type="spellStart"/>
            <w:r w:rsidRPr="00074A67">
              <w:rPr>
                <w:rFonts w:cs="Arial"/>
                <w:color w:val="000000"/>
                <w:kern w:val="24"/>
                <w:szCs w:val="22"/>
              </w:rPr>
              <w:t>Revitalisation</w:t>
            </w:r>
            <w:proofErr w:type="spellEnd"/>
            <w:r w:rsidRPr="00074A67">
              <w:rPr>
                <w:rFonts w:cs="Arial"/>
                <w:color w:val="000000"/>
                <w:kern w:val="24"/>
                <w:szCs w:val="22"/>
              </w:rPr>
              <w:t xml:space="preserve"> Board</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0CC36C84" w14:textId="5385D05F"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Victorian Aboriginal Heritage Council</w:t>
            </w:r>
          </w:p>
        </w:tc>
      </w:tr>
      <w:tr w:rsidR="006660DF" w14:paraId="3067A062"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2A183476" w14:textId="0EDF3010"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lastRenderedPageBreak/>
              <w:t>Gippsland Lakes Coordinating Committee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7DA14F2E" w14:textId="4F97AD65" w:rsidR="006660DF" w:rsidRPr="00074A67" w:rsidRDefault="006660DF" w:rsidP="00BD5712">
            <w:pPr>
              <w:spacing w:before="40" w:after="40"/>
              <w:rPr>
                <w:rFonts w:eastAsia="Aptos" w:cs="Aptos"/>
                <w:color w:val="000000" w:themeColor="text1"/>
                <w:szCs w:val="22"/>
              </w:rPr>
            </w:pPr>
            <w:r w:rsidRPr="00074A67">
              <w:rPr>
                <w:rFonts w:cs="Arial"/>
                <w:color w:val="000000"/>
                <w:kern w:val="24"/>
                <w:szCs w:val="22"/>
              </w:rPr>
              <w:t>Victorian African Communities Committee</w:t>
            </w:r>
          </w:p>
        </w:tc>
      </w:tr>
      <w:tr w:rsidR="003F5143" w14:paraId="596F6A15"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12808F12" w14:textId="5E4FB2D2"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Gippsland Wild Dog Management Group</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68FD533E" w14:textId="5D94E050"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Victorian Agricultural Chemicals Advisory Committee</w:t>
            </w:r>
          </w:p>
        </w:tc>
      </w:tr>
      <w:tr w:rsidR="003F5143" w14:paraId="4A19CF8D"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22458B6F" w14:textId="328BFE01"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Health Complaints Commissioner Advisory Council</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6102F910" w14:textId="336E583F"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Victorian Agriculture and Climate Change Council</w:t>
            </w:r>
          </w:p>
        </w:tc>
      </w:tr>
      <w:tr w:rsidR="003F5143" w14:paraId="3779B3A8"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5B3C2DE9" w14:textId="3F9C2C6D"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International Education Advisory Council</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2EBA2DBF" w14:textId="2B3C340B"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Victorian Broiler Industry Negotiation Committee</w:t>
            </w:r>
          </w:p>
        </w:tc>
      </w:tr>
      <w:tr w:rsidR="003F5143" w14:paraId="53F9D401"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52EE0182" w14:textId="6561370C"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Invest Victoria Advisory Board</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0FBCAB07" w14:textId="3FA54497"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Victorian Catchment Management Council</w:t>
            </w:r>
          </w:p>
        </w:tc>
      </w:tr>
      <w:tr w:rsidR="003F5143" w14:paraId="589770E4"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32470780" w14:textId="5D89C550"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Kardinia Park Advisory Committee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69F78ADF" w14:textId="42453058"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Victorian Electrolysis Committee</w:t>
            </w:r>
          </w:p>
        </w:tc>
      </w:tr>
      <w:tr w:rsidR="003F5143" w14:paraId="111C8908"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44D2B98A" w14:textId="096374DE"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 xml:space="preserve">Lilydale Suburban </w:t>
            </w:r>
            <w:proofErr w:type="spellStart"/>
            <w:r w:rsidRPr="00074A67">
              <w:rPr>
                <w:rFonts w:cs="Arial"/>
                <w:color w:val="000000"/>
                <w:kern w:val="24"/>
                <w:szCs w:val="22"/>
              </w:rPr>
              <w:t>Revitalisation</w:t>
            </w:r>
            <w:proofErr w:type="spellEnd"/>
            <w:r w:rsidRPr="00074A67">
              <w:rPr>
                <w:rFonts w:cs="Arial"/>
                <w:color w:val="000000"/>
                <w:kern w:val="24"/>
                <w:szCs w:val="22"/>
              </w:rPr>
              <w:t xml:space="preserve"> Board</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6324AD63" w14:textId="265B22DF"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Victorian Forestry Indust</w:t>
            </w:r>
            <w:r w:rsidR="00177B3E">
              <w:rPr>
                <w:rFonts w:cs="Arial"/>
                <w:color w:val="000000"/>
                <w:kern w:val="24"/>
                <w:szCs w:val="22"/>
              </w:rPr>
              <w:t>r</w:t>
            </w:r>
            <w:r w:rsidRPr="00074A67">
              <w:rPr>
                <w:rFonts w:cs="Arial"/>
                <w:color w:val="000000"/>
                <w:kern w:val="24"/>
                <w:szCs w:val="22"/>
              </w:rPr>
              <w:t>y Council</w:t>
            </w:r>
          </w:p>
        </w:tc>
      </w:tr>
      <w:tr w:rsidR="003F5143" w14:paraId="6A4BC83B"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0EC1B820" w14:textId="47872437"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 xml:space="preserve">Melton Suburban </w:t>
            </w:r>
            <w:proofErr w:type="spellStart"/>
            <w:r w:rsidRPr="00074A67">
              <w:rPr>
                <w:rFonts w:cs="Arial"/>
                <w:color w:val="000000"/>
                <w:kern w:val="24"/>
                <w:szCs w:val="22"/>
              </w:rPr>
              <w:t>Revitalisation</w:t>
            </w:r>
            <w:proofErr w:type="spellEnd"/>
            <w:r w:rsidRPr="00074A67">
              <w:rPr>
                <w:rFonts w:cs="Arial"/>
                <w:color w:val="000000"/>
                <w:kern w:val="24"/>
                <w:szCs w:val="22"/>
              </w:rPr>
              <w:t xml:space="preserve"> Board</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38C14A4A" w14:textId="3C7ABA3A"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Victorian Forestry Plan Advisory Committee</w:t>
            </w:r>
          </w:p>
        </w:tc>
      </w:tr>
      <w:tr w:rsidR="003F5143" w14:paraId="330804E7"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784D66FB" w14:textId="26853B55"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Mental Health Ministerial Advisory Committee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4C74AC6F" w14:textId="4B47199D"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Victorian Homelessness Advisory Committee</w:t>
            </w:r>
          </w:p>
        </w:tc>
      </w:tr>
      <w:tr w:rsidR="003F5143" w14:paraId="428126E4"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55B0DEF1" w14:textId="6041EE30"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Metropolitan Development Advisory Panel</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7D65B942" w14:textId="01AE6E03"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Victorian Multicultural Commission</w:t>
            </w:r>
          </w:p>
        </w:tc>
      </w:tr>
      <w:tr w:rsidR="003F5143" w14:paraId="1F62D28A"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6FBDD3DD" w14:textId="5C5B9E1F"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Ministerial Community Advisory Committee (Custodial Community Permit Program)</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6075B9B9" w14:textId="1BBF11A1"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Victorian Ovine Johne's Disease Advisory Committee</w:t>
            </w:r>
          </w:p>
        </w:tc>
      </w:tr>
      <w:tr w:rsidR="003F5143" w14:paraId="5F046038"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2D33B3ED" w14:textId="41CE00AD"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Motorcycling Community Engagement Panel</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338A62FD" w14:textId="0C140B3C"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Victorian Railway Crossing Safety Steering Committee</w:t>
            </w:r>
          </w:p>
        </w:tc>
      </w:tr>
      <w:tr w:rsidR="003F5143" w14:paraId="4C97670A"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45EC3C27" w14:textId="16FCB887"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Multicultural Business Ministerial Council</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12CC8F05" w14:textId="77FFBAAF"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Victorian Skills Authority Advisory Board</w:t>
            </w:r>
          </w:p>
        </w:tc>
      </w:tr>
      <w:tr w:rsidR="003F5143" w14:paraId="11D8F519"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6758DB9F" w14:textId="783FD80C"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Murray Valley Wine Grape Industry Development Committee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56EE5FAB" w14:textId="28A9CD21"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Victorian Strawberry Industry Development Committee</w:t>
            </w:r>
          </w:p>
        </w:tc>
      </w:tr>
      <w:tr w:rsidR="003F5143" w14:paraId="617F771D"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4B3F689E" w14:textId="44504FBA"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National Livestock Identification System Implementation Advisory Committee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5A9D5980" w14:textId="152F20B7"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Victorian Veterans Council</w:t>
            </w:r>
          </w:p>
        </w:tc>
      </w:tr>
      <w:tr w:rsidR="003F5143" w14:paraId="2FD6CC21"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720977C9" w14:textId="580F66B7"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National Parks Advisory Council</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70455B91" w14:textId="4C06C906"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Victorian Wild Dog Management Advisory Committee</w:t>
            </w:r>
          </w:p>
        </w:tc>
      </w:tr>
      <w:tr w:rsidR="003F5143" w14:paraId="54C1C4F8"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5E61CA9B" w14:textId="61E453A5" w:rsidR="003F5143" w:rsidRPr="00074A67" w:rsidRDefault="003F5143" w:rsidP="00BD5712">
            <w:pPr>
              <w:spacing w:before="40" w:after="40"/>
              <w:rPr>
                <w:rFonts w:eastAsia="Aptos" w:cs="Aptos"/>
                <w:color w:val="000000" w:themeColor="text1"/>
                <w:szCs w:val="22"/>
              </w:rPr>
            </w:pPr>
            <w:proofErr w:type="gramStart"/>
            <w:r w:rsidRPr="00074A67">
              <w:rPr>
                <w:rFonts w:cs="Arial"/>
                <w:color w:val="000000"/>
                <w:kern w:val="24"/>
                <w:szCs w:val="22"/>
              </w:rPr>
              <w:t>North East</w:t>
            </w:r>
            <w:proofErr w:type="gramEnd"/>
            <w:r w:rsidRPr="00074A67">
              <w:rPr>
                <w:rFonts w:cs="Arial"/>
                <w:color w:val="000000"/>
                <w:kern w:val="24"/>
                <w:szCs w:val="22"/>
              </w:rPr>
              <w:t xml:space="preserve"> Wild Dog Management Group</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68A6741F" w14:textId="3B5ABC07"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Women in Primary Industries Advisory Panel</w:t>
            </w:r>
          </w:p>
        </w:tc>
      </w:tr>
      <w:tr w:rsidR="003F5143" w14:paraId="3E8D56C2"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28AE33AA" w14:textId="0F69C0A1"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Occupational Health and Safety Advisory Committee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3E00C4DE" w14:textId="22EC3202"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Women's Correctional Services Advisory Committee</w:t>
            </w:r>
          </w:p>
        </w:tc>
      </w:tr>
      <w:tr w:rsidR="003F5143" w14:paraId="0C665B9A"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4F462FB6" w14:textId="670F923D"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Office of Public Prosecutions Director's Committee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52A12DC9" w14:textId="5A474BEB" w:rsidR="003F5143" w:rsidRPr="00074A67" w:rsidRDefault="003F5143" w:rsidP="00BD5712">
            <w:pPr>
              <w:spacing w:before="40" w:after="40"/>
              <w:rPr>
                <w:rFonts w:eastAsia="Aptos" w:cs="Aptos"/>
                <w:color w:val="000000" w:themeColor="text1"/>
                <w:szCs w:val="22"/>
              </w:rPr>
            </w:pPr>
            <w:proofErr w:type="spellStart"/>
            <w:r w:rsidRPr="00074A67">
              <w:rPr>
                <w:rFonts w:cs="Arial"/>
                <w:color w:val="000000"/>
                <w:kern w:val="24"/>
                <w:szCs w:val="22"/>
              </w:rPr>
              <w:t>WorkCover</w:t>
            </w:r>
            <w:proofErr w:type="spellEnd"/>
            <w:r w:rsidRPr="00074A67">
              <w:rPr>
                <w:rFonts w:cs="Arial"/>
                <w:color w:val="000000"/>
                <w:kern w:val="24"/>
                <w:szCs w:val="22"/>
              </w:rPr>
              <w:t xml:space="preserve"> Advisory Committee</w:t>
            </w:r>
          </w:p>
        </w:tc>
      </w:tr>
      <w:tr w:rsidR="003F5143" w14:paraId="79356F41"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4DD4E5C8" w14:textId="5B6A1F60"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Plumbing Advisory Council</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7B800464" w14:textId="7C38645D" w:rsidR="003F5143" w:rsidRPr="00074A67" w:rsidRDefault="003F5143" w:rsidP="00BD5712">
            <w:pPr>
              <w:spacing w:before="40" w:after="40"/>
              <w:rPr>
                <w:rFonts w:eastAsia="Aptos" w:cs="Aptos"/>
                <w:color w:val="000000" w:themeColor="text1"/>
                <w:szCs w:val="22"/>
              </w:rPr>
            </w:pPr>
            <w:proofErr w:type="spellStart"/>
            <w:r w:rsidRPr="00074A67">
              <w:rPr>
                <w:rFonts w:cs="Arial"/>
                <w:color w:val="000000"/>
                <w:kern w:val="24"/>
                <w:szCs w:val="22"/>
              </w:rPr>
              <w:t>Yarra</w:t>
            </w:r>
            <w:proofErr w:type="spellEnd"/>
            <w:r w:rsidRPr="00074A67">
              <w:rPr>
                <w:rFonts w:cs="Arial"/>
                <w:color w:val="000000"/>
                <w:kern w:val="24"/>
                <w:szCs w:val="22"/>
              </w:rPr>
              <w:t xml:space="preserve"> Park Advisory Committee</w:t>
            </w:r>
          </w:p>
        </w:tc>
      </w:tr>
      <w:tr w:rsidR="003F5143" w14:paraId="38B90E76" w14:textId="77777777" w:rsidTr="00D25962">
        <w:trPr>
          <w:trHeight w:val="397"/>
        </w:trPr>
        <w:tc>
          <w:tcPr>
            <w:tcW w:w="450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11FA056E" w14:textId="11429153"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Professional Boxing and Combat Sports Board</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3FAF0755" w14:textId="1A6F3681"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Young Farmers Advisory Council</w:t>
            </w:r>
          </w:p>
        </w:tc>
      </w:tr>
      <w:tr w:rsidR="003F5143" w14:paraId="2F2E2016" w14:textId="77777777" w:rsidTr="00D25962">
        <w:trPr>
          <w:trHeight w:val="356"/>
        </w:trPr>
        <w:tc>
          <w:tcPr>
            <w:tcW w:w="4508" w:type="dxa"/>
            <w:tcBorders>
              <w:top w:val="single" w:sz="4" w:space="0" w:color="BFBFBF" w:themeColor="background1" w:themeShade="BF"/>
              <w:left w:val="nil"/>
              <w:right w:val="single" w:sz="4" w:space="0" w:color="BFBFBF" w:themeColor="background1" w:themeShade="BF"/>
            </w:tcBorders>
            <w:vAlign w:val="center"/>
          </w:tcPr>
          <w:p w14:paraId="2E6CA2C1" w14:textId="41CDE2C3"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Public Records Advisory Council</w:t>
            </w:r>
          </w:p>
        </w:tc>
        <w:tc>
          <w:tcPr>
            <w:tcW w:w="4508" w:type="dxa"/>
            <w:tcBorders>
              <w:top w:val="single" w:sz="4" w:space="0" w:color="BFBFBF" w:themeColor="background1" w:themeShade="BF"/>
              <w:left w:val="single" w:sz="4" w:space="0" w:color="BFBFBF" w:themeColor="background1" w:themeShade="BF"/>
              <w:right w:val="nil"/>
            </w:tcBorders>
            <w:vAlign w:val="center"/>
          </w:tcPr>
          <w:p w14:paraId="18AC9072" w14:textId="378AA9F0" w:rsidR="003F5143" w:rsidRPr="00074A67" w:rsidRDefault="003F5143" w:rsidP="00BD5712">
            <w:pPr>
              <w:spacing w:before="40" w:after="40"/>
              <w:rPr>
                <w:rFonts w:eastAsia="Aptos" w:cs="Aptos"/>
                <w:color w:val="000000" w:themeColor="text1"/>
                <w:szCs w:val="22"/>
              </w:rPr>
            </w:pPr>
            <w:r w:rsidRPr="00074A67">
              <w:rPr>
                <w:rFonts w:cs="Arial"/>
                <w:color w:val="000000"/>
                <w:kern w:val="24"/>
                <w:szCs w:val="22"/>
              </w:rPr>
              <w:t xml:space="preserve">Yuma </w:t>
            </w:r>
            <w:proofErr w:type="spellStart"/>
            <w:r w:rsidRPr="00074A67">
              <w:rPr>
                <w:rFonts w:cs="Arial"/>
                <w:color w:val="000000"/>
                <w:kern w:val="24"/>
                <w:szCs w:val="22"/>
              </w:rPr>
              <w:t>Yirramboi</w:t>
            </w:r>
            <w:proofErr w:type="spellEnd"/>
            <w:r w:rsidRPr="00074A67">
              <w:rPr>
                <w:rFonts w:cs="Arial"/>
                <w:color w:val="000000"/>
                <w:kern w:val="24"/>
                <w:szCs w:val="22"/>
              </w:rPr>
              <w:t xml:space="preserve"> Council</w:t>
            </w:r>
          </w:p>
        </w:tc>
      </w:tr>
    </w:tbl>
    <w:p w14:paraId="3BFD96BC" w14:textId="77777777" w:rsidR="00BD5712" w:rsidRDefault="00BD5712" w:rsidP="00CB4F16"/>
    <w:p w14:paraId="24E219D6" w14:textId="77777777" w:rsidR="00CB4F16" w:rsidRDefault="00CB4F16" w:rsidP="00943495">
      <w:pPr>
        <w:spacing w:before="240"/>
        <w:rPr>
          <w:rFonts w:asciiTheme="majorHAnsi" w:hAnsiTheme="majorHAnsi"/>
          <w:b/>
          <w:bCs/>
          <w:color w:val="0F4761" w:themeColor="accent1" w:themeShade="BF"/>
          <w:sz w:val="32"/>
          <w:szCs w:val="32"/>
        </w:rPr>
      </w:pPr>
      <w:r>
        <w:rPr>
          <w:rFonts w:asciiTheme="majorHAnsi" w:hAnsiTheme="majorHAnsi"/>
          <w:b/>
          <w:bCs/>
          <w:color w:val="0F4761" w:themeColor="accent1" w:themeShade="BF"/>
          <w:sz w:val="32"/>
          <w:szCs w:val="32"/>
        </w:rPr>
        <w:br w:type="page"/>
      </w:r>
    </w:p>
    <w:p w14:paraId="75283191" w14:textId="029B8FA3" w:rsidR="006A0772" w:rsidRPr="006C342D" w:rsidRDefault="006A0772" w:rsidP="00943495">
      <w:pPr>
        <w:spacing w:before="240"/>
        <w:rPr>
          <w:rFonts w:ascii="Aptos" w:eastAsia="Aptos" w:hAnsi="Aptos" w:cs="Aptos"/>
          <w:color w:val="000000" w:themeColor="text1"/>
          <w:szCs w:val="22"/>
        </w:rPr>
      </w:pPr>
      <w:r w:rsidRPr="006C342D">
        <w:rPr>
          <w:rFonts w:asciiTheme="majorHAnsi" w:hAnsiTheme="majorHAnsi"/>
          <w:b/>
          <w:bCs/>
          <w:color w:val="0F4761" w:themeColor="accent1" w:themeShade="BF"/>
          <w:sz w:val="32"/>
          <w:szCs w:val="32"/>
        </w:rPr>
        <w:lastRenderedPageBreak/>
        <w:t>C.</w:t>
      </w:r>
      <w:r w:rsidR="00B8373D">
        <w:rPr>
          <w:rFonts w:asciiTheme="majorHAnsi" w:hAnsiTheme="majorHAnsi"/>
          <w:b/>
          <w:bCs/>
          <w:color w:val="0F4761" w:themeColor="accent1" w:themeShade="BF"/>
          <w:sz w:val="32"/>
          <w:szCs w:val="32"/>
        </w:rPr>
        <w:t>5</w:t>
      </w:r>
      <w:r w:rsidRPr="006C342D">
        <w:rPr>
          <w:rFonts w:asciiTheme="majorHAnsi" w:hAnsiTheme="majorHAnsi"/>
          <w:b/>
          <w:bCs/>
          <w:color w:val="0F4761" w:themeColor="accent1" w:themeShade="BF"/>
          <w:sz w:val="32"/>
          <w:szCs w:val="32"/>
        </w:rPr>
        <w:t xml:space="preserve"> </w:t>
      </w:r>
      <w:r w:rsidR="007F317B" w:rsidRPr="006C342D">
        <w:rPr>
          <w:rFonts w:asciiTheme="majorHAnsi" w:hAnsiTheme="majorHAnsi"/>
          <w:b/>
          <w:bCs/>
          <w:color w:val="0F4761" w:themeColor="accent1" w:themeShade="BF"/>
          <w:sz w:val="32"/>
          <w:szCs w:val="32"/>
        </w:rPr>
        <w:t xml:space="preserve">  </w:t>
      </w:r>
      <w:r w:rsidRPr="006C342D">
        <w:rPr>
          <w:rFonts w:asciiTheme="majorHAnsi" w:hAnsiTheme="majorHAnsi"/>
          <w:b/>
          <w:bCs/>
          <w:color w:val="0F4761" w:themeColor="accent1" w:themeShade="BF"/>
          <w:sz w:val="32"/>
          <w:szCs w:val="32"/>
        </w:rPr>
        <w:t xml:space="preserve">Implementation  </w:t>
      </w:r>
    </w:p>
    <w:p w14:paraId="55AFCE79" w14:textId="774FBDAC" w:rsidR="00251A48" w:rsidRDefault="009400F0" w:rsidP="00727510">
      <w:pPr>
        <w:rPr>
          <w:szCs w:val="22"/>
        </w:rPr>
      </w:pPr>
      <w:r>
        <w:rPr>
          <w:szCs w:val="22"/>
        </w:rPr>
        <w:t>T</w:t>
      </w:r>
      <w:r w:rsidRPr="009F44A8">
        <w:rPr>
          <w:szCs w:val="22"/>
        </w:rPr>
        <w:t xml:space="preserve">he </w:t>
      </w:r>
      <w:r>
        <w:rPr>
          <w:szCs w:val="22"/>
        </w:rPr>
        <w:t>g</w:t>
      </w:r>
      <w:r w:rsidRPr="009F44A8">
        <w:rPr>
          <w:szCs w:val="22"/>
        </w:rPr>
        <w:t xml:space="preserve">overnment has three broad pathways </w:t>
      </w:r>
      <w:r>
        <w:rPr>
          <w:szCs w:val="22"/>
        </w:rPr>
        <w:t>t</w:t>
      </w:r>
      <w:r w:rsidR="00727510" w:rsidRPr="009F44A8">
        <w:rPr>
          <w:szCs w:val="22"/>
        </w:rPr>
        <w:t>o implement the Review’s recommended entity changes as quickly and as efficiently as possible</w:t>
      </w:r>
      <w:r>
        <w:rPr>
          <w:szCs w:val="22"/>
        </w:rPr>
        <w:t>. The pathway</w:t>
      </w:r>
      <w:r w:rsidR="00727510" w:rsidRPr="009F44A8">
        <w:rPr>
          <w:szCs w:val="22"/>
        </w:rPr>
        <w:t xml:space="preserve"> depend</w:t>
      </w:r>
      <w:r>
        <w:rPr>
          <w:szCs w:val="22"/>
        </w:rPr>
        <w:t>s</w:t>
      </w:r>
      <w:r w:rsidR="00727510" w:rsidRPr="009F44A8">
        <w:rPr>
          <w:szCs w:val="22"/>
        </w:rPr>
        <w:t xml:space="preserve"> on the legal structure of each</w:t>
      </w:r>
      <w:r w:rsidR="004911AF">
        <w:rPr>
          <w:szCs w:val="22"/>
        </w:rPr>
        <w:t xml:space="preserve"> existing</w:t>
      </w:r>
      <w:r w:rsidR="00727510" w:rsidRPr="009F44A8">
        <w:rPr>
          <w:szCs w:val="22"/>
        </w:rPr>
        <w:t xml:space="preserve"> entity.</w:t>
      </w:r>
      <w:r w:rsidR="00EF18BD">
        <w:rPr>
          <w:rStyle w:val="FootnoteReference"/>
          <w:szCs w:val="22"/>
        </w:rPr>
        <w:footnoteReference w:id="25"/>
      </w:r>
      <w:r w:rsidR="00727510" w:rsidRPr="009F44A8">
        <w:rPr>
          <w:szCs w:val="22"/>
        </w:rPr>
        <w:t xml:space="preserve"> </w:t>
      </w:r>
      <w:r w:rsidR="00251A48" w:rsidRPr="007D23FE">
        <w:rPr>
          <w:szCs w:val="22"/>
        </w:rPr>
        <w:t>The Review also notes that a lot can be achieved prior to legislation being enacted.</w:t>
      </w:r>
      <w:r w:rsidR="004B11E9">
        <w:rPr>
          <w:szCs w:val="22"/>
        </w:rPr>
        <w:t xml:space="preserve"> For </w:t>
      </w:r>
      <w:proofErr w:type="gramStart"/>
      <w:r w:rsidR="004B11E9">
        <w:rPr>
          <w:szCs w:val="22"/>
        </w:rPr>
        <w:t>a number of</w:t>
      </w:r>
      <w:proofErr w:type="gramEnd"/>
      <w:r w:rsidR="004B11E9">
        <w:rPr>
          <w:szCs w:val="22"/>
        </w:rPr>
        <w:t xml:space="preserve"> years, </w:t>
      </w:r>
      <w:r w:rsidR="001278E7">
        <w:rPr>
          <w:szCs w:val="22"/>
        </w:rPr>
        <w:t xml:space="preserve">entity </w:t>
      </w:r>
      <w:r w:rsidR="00924B49">
        <w:rPr>
          <w:szCs w:val="22"/>
        </w:rPr>
        <w:t>changes have been stopped or subst</w:t>
      </w:r>
      <w:r w:rsidR="001278E7">
        <w:rPr>
          <w:szCs w:val="22"/>
        </w:rPr>
        <w:t>antially</w:t>
      </w:r>
      <w:r w:rsidR="00924B49">
        <w:rPr>
          <w:szCs w:val="22"/>
        </w:rPr>
        <w:t xml:space="preserve"> slowed </w:t>
      </w:r>
      <w:r w:rsidR="001278E7">
        <w:rPr>
          <w:szCs w:val="22"/>
        </w:rPr>
        <w:t>because leg</w:t>
      </w:r>
      <w:r w:rsidR="00971FAD">
        <w:rPr>
          <w:szCs w:val="22"/>
        </w:rPr>
        <w:t>islative</w:t>
      </w:r>
      <w:r w:rsidR="001278E7">
        <w:rPr>
          <w:szCs w:val="22"/>
        </w:rPr>
        <w:t xml:space="preserve"> change has been seen as too high a hurdle.</w:t>
      </w:r>
    </w:p>
    <w:p w14:paraId="1C3F3039" w14:textId="7270350B" w:rsidR="00BB3962" w:rsidRDefault="00BB3962" w:rsidP="00727510">
      <w:pPr>
        <w:rPr>
          <w:szCs w:val="22"/>
        </w:rPr>
      </w:pPr>
      <w:r>
        <w:rPr>
          <w:szCs w:val="22"/>
        </w:rPr>
        <w:t>The three pathways include:</w:t>
      </w:r>
    </w:p>
    <w:p w14:paraId="1D7DC597" w14:textId="77777777" w:rsidR="00727510" w:rsidRPr="0094740B" w:rsidRDefault="00727510" w:rsidP="00D207B3">
      <w:pPr>
        <w:pStyle w:val="ListParagraph"/>
        <w:numPr>
          <w:ilvl w:val="0"/>
          <w:numId w:val="79"/>
        </w:numPr>
        <w:rPr>
          <w:b/>
          <w:bCs/>
          <w:szCs w:val="22"/>
        </w:rPr>
      </w:pPr>
      <w:r w:rsidRPr="0094740B">
        <w:rPr>
          <w:b/>
          <w:bCs/>
          <w:szCs w:val="22"/>
        </w:rPr>
        <w:t>Implement entity change without reference to legislation</w:t>
      </w:r>
    </w:p>
    <w:p w14:paraId="7D11E7F3" w14:textId="77777777" w:rsidR="00727510" w:rsidRDefault="00727510" w:rsidP="00727510">
      <w:r>
        <w:t xml:space="preserve">There are numerous bodies established solely by executive powers without reference to any </w:t>
      </w:r>
      <w:proofErr w:type="gramStart"/>
      <w:r>
        <w:t>particular legislation</w:t>
      </w:r>
      <w:proofErr w:type="gramEnd"/>
      <w:r>
        <w:t xml:space="preserve">. </w:t>
      </w:r>
      <w:r w:rsidRPr="00302604">
        <w:t xml:space="preserve">For example, various </w:t>
      </w:r>
      <w:r>
        <w:t xml:space="preserve">business units, non-statutory offices and </w:t>
      </w:r>
      <w:r w:rsidRPr="00302604">
        <w:t>unincorporated advisory boards and committees</w:t>
      </w:r>
      <w:r>
        <w:t xml:space="preserve"> established by terms of reference</w:t>
      </w:r>
      <w:r w:rsidRPr="00302604">
        <w:t xml:space="preserve"> fall under this category. Subject to </w:t>
      </w:r>
      <w:r>
        <w:t xml:space="preserve">further </w:t>
      </w:r>
      <w:r w:rsidRPr="00302604">
        <w:t>detailed analysis, restructuring of these bodies can, likely, be implemented without formal legislative changes.</w:t>
      </w:r>
      <w:r>
        <w:rPr>
          <w:rStyle w:val="FootnoteReference"/>
        </w:rPr>
        <w:footnoteReference w:id="26"/>
      </w:r>
      <w:r w:rsidRPr="00302604">
        <w:t xml:space="preserve">   </w:t>
      </w:r>
    </w:p>
    <w:p w14:paraId="3731F53B" w14:textId="572165A2" w:rsidR="00727510" w:rsidRDefault="00215B6E" w:rsidP="004614B4">
      <w:r>
        <w:t>For</w:t>
      </w:r>
      <w:r w:rsidR="00727510">
        <w:t xml:space="preserve"> example</w:t>
      </w:r>
      <w:r w:rsidR="00E03195">
        <w:t>, a</w:t>
      </w:r>
      <w:r w:rsidR="00727510">
        <w:t>bolish</w:t>
      </w:r>
      <w:r w:rsidR="00504E3A">
        <w:t>ing</w:t>
      </w:r>
      <w:r w:rsidR="00727510">
        <w:t xml:space="preserve"> Better Regulation Victoria and Economic Growth Victoria</w:t>
      </w:r>
      <w:r w:rsidR="00504E3A">
        <w:t xml:space="preserve"> </w:t>
      </w:r>
      <w:r w:rsidR="00DB6376">
        <w:t>and ceasing their functions</w:t>
      </w:r>
      <w:r w:rsidR="00727510">
        <w:t xml:space="preserve"> can be </w:t>
      </w:r>
      <w:r w:rsidR="00DB6376">
        <w:t>given effect</w:t>
      </w:r>
      <w:r w:rsidR="00727510">
        <w:t xml:space="preserve"> by instrument of the Governor in Council.</w:t>
      </w:r>
    </w:p>
    <w:p w14:paraId="129997E7" w14:textId="1E323E0D" w:rsidR="00727510" w:rsidRPr="008923F9" w:rsidRDefault="00727510" w:rsidP="00D207B3">
      <w:pPr>
        <w:pStyle w:val="ListParagraph"/>
        <w:numPr>
          <w:ilvl w:val="0"/>
          <w:numId w:val="79"/>
        </w:numPr>
        <w:rPr>
          <w:b/>
          <w:bCs/>
          <w:szCs w:val="22"/>
        </w:rPr>
      </w:pPr>
      <w:r>
        <w:rPr>
          <w:b/>
          <w:bCs/>
          <w:szCs w:val="22"/>
        </w:rPr>
        <w:t>Commenc</w:t>
      </w:r>
      <w:r w:rsidR="00DB6376">
        <w:rPr>
          <w:b/>
          <w:bCs/>
          <w:szCs w:val="22"/>
        </w:rPr>
        <w:t>e</w:t>
      </w:r>
      <w:r>
        <w:rPr>
          <w:b/>
          <w:bCs/>
          <w:szCs w:val="22"/>
        </w:rPr>
        <w:t xml:space="preserve"> entity change without legislative changes</w:t>
      </w:r>
    </w:p>
    <w:p w14:paraId="296526A0" w14:textId="1898A73D" w:rsidR="00727510" w:rsidRDefault="00727510" w:rsidP="00727510">
      <w:r w:rsidRPr="00302604">
        <w:t xml:space="preserve">While </w:t>
      </w:r>
      <w:r w:rsidR="004D634A">
        <w:t>many</w:t>
      </w:r>
      <w:r w:rsidRPr="00302604">
        <w:t xml:space="preserve"> </w:t>
      </w:r>
      <w:r w:rsidR="003C1ED1">
        <w:t>entities</w:t>
      </w:r>
      <w:r w:rsidRPr="00302604">
        <w:t xml:space="preserve"> recommended for change were established by legislation or are expressly referenced in legislation, it is possible to substantially execute the </w:t>
      </w:r>
      <w:r w:rsidR="009C7910">
        <w:t xml:space="preserve">Review’s </w:t>
      </w:r>
      <w:r w:rsidRPr="00302604">
        <w:t xml:space="preserve">recommendation to restructure or even abolish some of these </w:t>
      </w:r>
      <w:r w:rsidR="009C7910">
        <w:t>entities</w:t>
      </w:r>
      <w:r w:rsidRPr="00302604">
        <w:t xml:space="preserve"> by executive actions </w:t>
      </w:r>
      <w:r w:rsidR="00F7431F">
        <w:t>and</w:t>
      </w:r>
      <w:r w:rsidRPr="00302604">
        <w:t xml:space="preserve"> without enactment of formal legislative changes. </w:t>
      </w:r>
      <w:r>
        <w:t>This is because:</w:t>
      </w:r>
    </w:p>
    <w:p w14:paraId="28879A53" w14:textId="5B491C2C" w:rsidR="00727510" w:rsidRDefault="00727510" w:rsidP="00D207B3">
      <w:pPr>
        <w:pStyle w:val="ListParagraph"/>
        <w:numPr>
          <w:ilvl w:val="0"/>
          <w:numId w:val="81"/>
        </w:numPr>
        <w:ind w:left="714" w:hanging="357"/>
        <w:contextualSpacing w:val="0"/>
      </w:pPr>
      <w:r>
        <w:t xml:space="preserve">the enabling legislation simply confers a power on the </w:t>
      </w:r>
      <w:r w:rsidR="00301BC7">
        <w:t>m</w:t>
      </w:r>
      <w:r>
        <w:t xml:space="preserve">inister or Governor in Council to establish these bodies but does not mandate their existence; and/or </w:t>
      </w:r>
    </w:p>
    <w:p w14:paraId="75381F97" w14:textId="77777777" w:rsidR="00727510" w:rsidRDefault="00727510" w:rsidP="00D207B3">
      <w:pPr>
        <w:pStyle w:val="ListParagraph"/>
        <w:numPr>
          <w:ilvl w:val="0"/>
          <w:numId w:val="81"/>
        </w:numPr>
        <w:ind w:left="714" w:hanging="357"/>
        <w:contextualSpacing w:val="0"/>
      </w:pPr>
      <w:r>
        <w:t>s</w:t>
      </w:r>
      <w:r w:rsidRPr="00302604">
        <w:t>ome of the enabling legislation for these bodies provides an express power and/or a road map for entity dissolution</w:t>
      </w:r>
      <w:r>
        <w:t xml:space="preserve">. </w:t>
      </w:r>
    </w:p>
    <w:p w14:paraId="0520E1F7" w14:textId="571591FD" w:rsidR="00727510" w:rsidRPr="00302604" w:rsidRDefault="00727510" w:rsidP="00727510">
      <w:r>
        <w:t>In</w:t>
      </w:r>
      <w:r w:rsidRPr="00302604">
        <w:t xml:space="preserve"> these circumstance</w:t>
      </w:r>
      <w:r>
        <w:t xml:space="preserve">s, </w:t>
      </w:r>
      <w:r w:rsidRPr="00302604">
        <w:t>the operational outcome</w:t>
      </w:r>
      <w:r>
        <w:t xml:space="preserve">s and savings </w:t>
      </w:r>
      <w:r w:rsidR="00B73C0C">
        <w:t>that</w:t>
      </w:r>
      <w:r>
        <w:t xml:space="preserve"> flow from the Review’s recommendations can be delivered first with executive actions. The l</w:t>
      </w:r>
      <w:r w:rsidRPr="00302604">
        <w:t>egislative changes might ultimately be required to fully complete and regularise the relevant entity reform (e</w:t>
      </w:r>
      <w:r>
        <w:t>.</w:t>
      </w:r>
      <w:r w:rsidRPr="00302604">
        <w:t>g</w:t>
      </w:r>
      <w:r>
        <w:t>.</w:t>
      </w:r>
      <w:r w:rsidRPr="00302604">
        <w:t xml:space="preserve"> removing or amending the references to the abolished body in legislation and/or other official instruments). </w:t>
      </w:r>
    </w:p>
    <w:p w14:paraId="5F00EAAE" w14:textId="554031F0" w:rsidR="00727510" w:rsidRDefault="00B02E01" w:rsidP="008A4FF1">
      <w:r>
        <w:t xml:space="preserve">This </w:t>
      </w:r>
      <w:r w:rsidR="00077DD1">
        <w:t>pathway</w:t>
      </w:r>
      <w:r>
        <w:t xml:space="preserve"> is </w:t>
      </w:r>
      <w:r w:rsidR="00727510">
        <w:t xml:space="preserve">relevant for </w:t>
      </w:r>
      <w:r>
        <w:t xml:space="preserve">the Review’s recommendation to merge </w:t>
      </w:r>
      <w:r w:rsidR="00727510">
        <w:t>water corporations and merge CMAs</w:t>
      </w:r>
      <w:r w:rsidR="003451E8">
        <w:t>.</w:t>
      </w:r>
      <w:r w:rsidR="00727510">
        <w:t xml:space="preserve"> </w:t>
      </w:r>
    </w:p>
    <w:p w14:paraId="3B8FAD00" w14:textId="76C2CD35" w:rsidR="00727510" w:rsidRDefault="00727510" w:rsidP="008A4FF1">
      <w:r>
        <w:lastRenderedPageBreak/>
        <w:t xml:space="preserve">Water corporations are statutory corporations established under the </w:t>
      </w:r>
      <w:r w:rsidRPr="00E94B9C">
        <w:rPr>
          <w:i/>
          <w:iCs/>
        </w:rPr>
        <w:t>Water Act 1989</w:t>
      </w:r>
      <w:r>
        <w:t xml:space="preserve">. Consolidation of the water corporations can be implemented by the responsible </w:t>
      </w:r>
      <w:r w:rsidR="004D13EA">
        <w:t>m</w:t>
      </w:r>
      <w:r>
        <w:t xml:space="preserve">inister making the determinations </w:t>
      </w:r>
      <w:r w:rsidR="00033AE1">
        <w:t xml:space="preserve">by </w:t>
      </w:r>
      <w:r>
        <w:t xml:space="preserve">restructuring the relevant water corporations pursuant to the </w:t>
      </w:r>
      <w:r>
        <w:rPr>
          <w:i/>
          <w:iCs/>
        </w:rPr>
        <w:t>Water Act 1989</w:t>
      </w:r>
      <w:r>
        <w:t xml:space="preserve">. The </w:t>
      </w:r>
      <w:r w:rsidR="000575C3">
        <w:t>m</w:t>
      </w:r>
      <w:r>
        <w:t xml:space="preserve">inister’s discretion is guarded by a dual consent-or-scrutiny safeguard. The Water Act also contains provisions facilitating the transfer of assets and liabilities, staff, and governance arrangements once the determinations are made by the </w:t>
      </w:r>
      <w:r w:rsidR="00746DD9">
        <w:t>m</w:t>
      </w:r>
      <w:r>
        <w:t xml:space="preserve">inister. </w:t>
      </w:r>
    </w:p>
    <w:p w14:paraId="30EDA0E2" w14:textId="6F392C2A" w:rsidR="00727510" w:rsidRDefault="00727510" w:rsidP="008A4FF1">
      <w:r>
        <w:t xml:space="preserve">CMAs are established under the </w:t>
      </w:r>
      <w:r w:rsidRPr="00EF6B7A">
        <w:rPr>
          <w:i/>
          <w:iCs/>
        </w:rPr>
        <w:t>Catchment and Land Protection Act 1994</w:t>
      </w:r>
      <w:r>
        <w:rPr>
          <w:i/>
          <w:iCs/>
        </w:rPr>
        <w:t xml:space="preserve"> </w:t>
      </w:r>
      <w:r>
        <w:t xml:space="preserve">(CALP Act) which confers on the Governor in Council a broad power to make changes to catchment and land protection regions (CLP Regions) as well as the relevant CMAs established for the relevant CLP Regions. Merging the CMAs can be implemented by the responsible </w:t>
      </w:r>
      <w:r w:rsidR="000575C3">
        <w:t>m</w:t>
      </w:r>
      <w:r>
        <w:t>inister making orders published in the Gazette abolishing a region pursuant to the CALP Act.</w:t>
      </w:r>
    </w:p>
    <w:p w14:paraId="2741BC4B" w14:textId="77777777" w:rsidR="00727510" w:rsidRDefault="00727510" w:rsidP="00D207B3">
      <w:pPr>
        <w:pStyle w:val="ListParagraph"/>
        <w:numPr>
          <w:ilvl w:val="0"/>
          <w:numId w:val="79"/>
        </w:numPr>
        <w:rPr>
          <w:b/>
          <w:bCs/>
          <w:szCs w:val="22"/>
        </w:rPr>
      </w:pPr>
      <w:r>
        <w:rPr>
          <w:b/>
          <w:bCs/>
          <w:szCs w:val="22"/>
        </w:rPr>
        <w:t>Implement entity change through legislation</w:t>
      </w:r>
    </w:p>
    <w:p w14:paraId="1FE159F2" w14:textId="3732819A" w:rsidR="00727510" w:rsidRPr="00302604" w:rsidRDefault="00727510" w:rsidP="00727510">
      <w:r>
        <w:t>There</w:t>
      </w:r>
      <w:r w:rsidRPr="00302604">
        <w:t xml:space="preserve"> are entities </w:t>
      </w:r>
      <w:r w:rsidR="00B81E98">
        <w:t xml:space="preserve">for which </w:t>
      </w:r>
      <w:r w:rsidR="00BC41E1">
        <w:t>their</w:t>
      </w:r>
      <w:r w:rsidRPr="00302604">
        <w:t xml:space="preserve"> existence is mandated by express provisions in statute</w:t>
      </w:r>
      <w:r>
        <w:t>,</w:t>
      </w:r>
      <w:r w:rsidRPr="00302604">
        <w:t xml:space="preserve"> and so legislative changes will be needed to implement the Review’s recommended </w:t>
      </w:r>
      <w:r w:rsidR="00046FFD">
        <w:t>changes</w:t>
      </w:r>
      <w:r w:rsidRPr="00302604">
        <w:t xml:space="preserve"> </w:t>
      </w:r>
      <w:r w:rsidR="00046FFD">
        <w:t>for</w:t>
      </w:r>
      <w:r w:rsidRPr="00302604">
        <w:t xml:space="preserve"> these entities. </w:t>
      </w:r>
      <w:r>
        <w:t xml:space="preserve">Various statutes may also confer certain powers on entities that are proposed to be abolished, which will require further legislative amendments beyond that entity’s establishing act. </w:t>
      </w:r>
      <w:r w:rsidRPr="00302604">
        <w:t xml:space="preserve">This could be undertaken through an omnibus bill. </w:t>
      </w:r>
    </w:p>
    <w:p w14:paraId="11CE207D" w14:textId="22AC4BE3" w:rsidR="00727510" w:rsidRPr="0076317C" w:rsidRDefault="00A85558" w:rsidP="0076317C">
      <w:r>
        <w:t>For</w:t>
      </w:r>
      <w:r w:rsidR="00727510">
        <w:t xml:space="preserve"> example</w:t>
      </w:r>
      <w:r>
        <w:t>, a</w:t>
      </w:r>
      <w:r w:rsidR="00727510">
        <w:t>bsorb</w:t>
      </w:r>
      <w:r>
        <w:t>ing</w:t>
      </w:r>
      <w:r w:rsidR="00727510">
        <w:t xml:space="preserve"> Parks Victoria’s regulatory functions into </w:t>
      </w:r>
      <w:r>
        <w:t xml:space="preserve">the </w:t>
      </w:r>
      <w:r w:rsidR="00727510">
        <w:t xml:space="preserve">Conservation Regulator requires amendments to the </w:t>
      </w:r>
      <w:r w:rsidR="00727510" w:rsidRPr="006B7E54">
        <w:rPr>
          <w:i/>
          <w:iCs/>
        </w:rPr>
        <w:t>Parks Victoria Act 2018</w:t>
      </w:r>
      <w:r w:rsidR="00727510">
        <w:t>.</w:t>
      </w:r>
    </w:p>
    <w:p w14:paraId="7551BFAF" w14:textId="63248D6A" w:rsidR="007D23FE" w:rsidRDefault="00727510" w:rsidP="00727510">
      <w:pPr>
        <w:pStyle w:val="ListBullet"/>
        <w:tabs>
          <w:tab w:val="clear" w:pos="567"/>
        </w:tabs>
        <w:ind w:left="0" w:firstLine="0"/>
      </w:pPr>
      <w:r>
        <w:t xml:space="preserve">Further amendments (beyond the specific </w:t>
      </w:r>
      <w:r w:rsidR="00EA2484">
        <w:t>a</w:t>
      </w:r>
      <w:r>
        <w:t xml:space="preserve">cts as referred to above) might be required as there are </w:t>
      </w:r>
      <w:r w:rsidR="00E720EC">
        <w:t>a</w:t>
      </w:r>
      <w:r>
        <w:t>cts and/or other instruments which, whil</w:t>
      </w:r>
      <w:r w:rsidR="00214188">
        <w:t>e they</w:t>
      </w:r>
      <w:r>
        <w:t xml:space="preserve"> do not establish the relevant bodies, confer additional powers and functions on them.</w:t>
      </w:r>
    </w:p>
    <w:p w14:paraId="5400F5C9" w14:textId="7E22B922" w:rsidR="00727510" w:rsidRDefault="001278E7" w:rsidP="00A96D6B">
      <w:pPr>
        <w:rPr>
          <w:b/>
          <w:bCs/>
          <w:szCs w:val="22"/>
        </w:rPr>
      </w:pPr>
      <w:r w:rsidRPr="007D23FE">
        <w:rPr>
          <w:b/>
          <w:szCs w:val="22"/>
        </w:rPr>
        <w:t xml:space="preserve">Early adoption of </w:t>
      </w:r>
      <w:r w:rsidR="005F4354" w:rsidRPr="007D0D78">
        <w:rPr>
          <w:b/>
          <w:szCs w:val="22"/>
        </w:rPr>
        <w:t xml:space="preserve">reform and </w:t>
      </w:r>
      <w:r w:rsidRPr="007D23FE">
        <w:rPr>
          <w:b/>
          <w:szCs w:val="22"/>
        </w:rPr>
        <w:t>savings thr</w:t>
      </w:r>
      <w:r w:rsidR="00057C76" w:rsidRPr="007D23FE">
        <w:rPr>
          <w:b/>
          <w:szCs w:val="22"/>
        </w:rPr>
        <w:t xml:space="preserve">ough </w:t>
      </w:r>
      <w:r w:rsidR="002B766A" w:rsidRPr="007D23FE">
        <w:rPr>
          <w:b/>
          <w:bCs/>
          <w:szCs w:val="22"/>
        </w:rPr>
        <w:t>admin</w:t>
      </w:r>
      <w:r w:rsidR="002B766A">
        <w:rPr>
          <w:b/>
          <w:bCs/>
          <w:szCs w:val="22"/>
        </w:rPr>
        <w:t>istrative</w:t>
      </w:r>
      <w:r w:rsidR="00057C76" w:rsidRPr="007D23FE">
        <w:rPr>
          <w:b/>
          <w:szCs w:val="22"/>
        </w:rPr>
        <w:t xml:space="preserve"> actions</w:t>
      </w:r>
    </w:p>
    <w:p w14:paraId="43E2028D" w14:textId="76B47AFD" w:rsidR="00727510" w:rsidRPr="00302604" w:rsidRDefault="00727510" w:rsidP="00727510">
      <w:r>
        <w:t xml:space="preserve">While </w:t>
      </w:r>
      <w:r w:rsidRPr="00302604">
        <w:t xml:space="preserve">the drafting and passing of legislation </w:t>
      </w:r>
      <w:r w:rsidR="00A85558">
        <w:t>can</w:t>
      </w:r>
      <w:r w:rsidRPr="00302604">
        <w:t xml:space="preserve"> take time, </w:t>
      </w:r>
      <w:r w:rsidR="00360527">
        <w:t>some</w:t>
      </w:r>
      <w:r w:rsidRPr="00302604">
        <w:t xml:space="preserve"> of the </w:t>
      </w:r>
      <w:r w:rsidR="008769AF" w:rsidRPr="007D0D78">
        <w:t xml:space="preserve">reforms and </w:t>
      </w:r>
      <w:r w:rsidRPr="00302604">
        <w:t xml:space="preserve">savings proposed </w:t>
      </w:r>
      <w:r w:rsidR="008769AF" w:rsidRPr="007D0D78">
        <w:t>sh</w:t>
      </w:r>
      <w:r w:rsidRPr="007D0D78">
        <w:t>ould</w:t>
      </w:r>
      <w:r w:rsidRPr="00302604">
        <w:t> be materialised prior to enactment of that legislation. The operational outcomes that flow from the Review’s recommendations could be undertaken prior to the changes necessary to the legal form and structure of the </w:t>
      </w:r>
      <w:r>
        <w:t xml:space="preserve">public bodies </w:t>
      </w:r>
      <w:r w:rsidRPr="00302604">
        <w:t xml:space="preserve">which require legislative changes. In many cases, it is available to the </w:t>
      </w:r>
      <w:r>
        <w:t>g</w:t>
      </w:r>
      <w:r w:rsidRPr="00302604">
        <w:t xml:space="preserve">overnment to </w:t>
      </w:r>
      <w:r w:rsidR="00A8413C">
        <w:t>‘</w:t>
      </w:r>
      <w:r w:rsidRPr="00302604">
        <w:t>frontload</w:t>
      </w:r>
      <w:r w:rsidR="00A8413C">
        <w:t>’</w:t>
      </w:r>
      <w:r w:rsidRPr="00302604">
        <w:t xml:space="preserve"> part of the efficienc</w:t>
      </w:r>
      <w:r w:rsidR="00F932E2">
        <w:t>ie</w:t>
      </w:r>
      <w:r w:rsidRPr="00302604">
        <w:t>s.</w:t>
      </w:r>
      <w:r>
        <w:t xml:space="preserve"> </w:t>
      </w:r>
      <w:r w:rsidRPr="00302604">
        <w:t>These include the use of one or more of the administrative actions below:</w:t>
      </w:r>
    </w:p>
    <w:p w14:paraId="5088AF97" w14:textId="2757CB42" w:rsidR="00727510" w:rsidRPr="00302604" w:rsidRDefault="006F2FDF" w:rsidP="00D207B3">
      <w:pPr>
        <w:pStyle w:val="ListParagraph"/>
        <w:numPr>
          <w:ilvl w:val="0"/>
          <w:numId w:val="80"/>
        </w:numPr>
        <w:ind w:left="714" w:hanging="357"/>
        <w:contextualSpacing w:val="0"/>
      </w:pPr>
      <w:r>
        <w:t>C</w:t>
      </w:r>
      <w:r w:rsidR="00727510" w:rsidRPr="00302604">
        <w:t xml:space="preserve">ombining office space of like-minded </w:t>
      </w:r>
      <w:proofErr w:type="gramStart"/>
      <w:r w:rsidR="00727510" w:rsidRPr="00302604">
        <w:t>bodies, and</w:t>
      </w:r>
      <w:proofErr w:type="gramEnd"/>
      <w:r w:rsidR="00727510" w:rsidRPr="00302604">
        <w:t xml:space="preserve"> </w:t>
      </w:r>
      <w:r w:rsidR="0087094C">
        <w:t>exit</w:t>
      </w:r>
      <w:r w:rsidR="00727510" w:rsidRPr="00302604">
        <w:t xml:space="preserve"> redundant or unnecessary leased premise</w:t>
      </w:r>
      <w:r w:rsidR="00727510">
        <w:t xml:space="preserve">s. </w:t>
      </w:r>
    </w:p>
    <w:p w14:paraId="26C521ED" w14:textId="3F3186F0" w:rsidR="00727510" w:rsidRPr="00302604" w:rsidRDefault="006F2FDF" w:rsidP="00D207B3">
      <w:pPr>
        <w:pStyle w:val="ListParagraph"/>
        <w:numPr>
          <w:ilvl w:val="0"/>
          <w:numId w:val="80"/>
        </w:numPr>
        <w:ind w:left="714" w:hanging="357"/>
        <w:contextualSpacing w:val="0"/>
      </w:pPr>
      <w:r>
        <w:t>C</w:t>
      </w:r>
      <w:r w:rsidR="00727510" w:rsidRPr="00302604">
        <w:t>onsolidating back-office functions of those public bodies, including consolidating administrative and support staff</w:t>
      </w:r>
      <w:r w:rsidR="00727510">
        <w:t xml:space="preserve">. For example, the consolidation of the administrative functions of various human rights commissioners into </w:t>
      </w:r>
      <w:r w:rsidR="00504687">
        <w:t>VEOHRC.</w:t>
      </w:r>
      <w:r w:rsidR="00727510" w:rsidRPr="00302604">
        <w:t xml:space="preserve"> </w:t>
      </w:r>
    </w:p>
    <w:p w14:paraId="4930AF3F" w14:textId="7B03717D" w:rsidR="00BD234C" w:rsidRPr="00943495" w:rsidRDefault="00504687" w:rsidP="00943495">
      <w:pPr>
        <w:pStyle w:val="ListParagraph"/>
        <w:numPr>
          <w:ilvl w:val="0"/>
          <w:numId w:val="80"/>
        </w:numPr>
        <w:ind w:left="714" w:hanging="357"/>
        <w:contextualSpacing w:val="0"/>
      </w:pPr>
      <w:r>
        <w:t>F</w:t>
      </w:r>
      <w:r w:rsidR="00727510" w:rsidRPr="00302604">
        <w:t xml:space="preserve">or public bodies which are either no longer relevant or with the wrong scale, reducing funding, limiting scope of their activities and having part of their functions and/or services be delegated or contracted to other public bodies which are better resourced </w:t>
      </w:r>
      <w:r w:rsidR="00727510" w:rsidRPr="00302604">
        <w:lastRenderedPageBreak/>
        <w:t>and managed</w:t>
      </w:r>
      <w:r w:rsidR="00727510">
        <w:t>. For example, the consolidation and transfer of functions from Launch Victoria to Invest Victoria.</w:t>
      </w:r>
    </w:p>
    <w:p w14:paraId="1891EF0F" w14:textId="26910658" w:rsidR="00760B06" w:rsidRPr="00823225" w:rsidRDefault="00760B06" w:rsidP="0045193C">
      <w:pPr>
        <w:spacing w:before="160" w:after="80"/>
        <w:rPr>
          <w:rFonts w:asciiTheme="majorHAnsi" w:hAnsiTheme="majorHAnsi"/>
          <w:b/>
          <w:bCs/>
          <w:color w:val="0F4761" w:themeColor="accent1" w:themeShade="BF"/>
          <w:sz w:val="32"/>
          <w:szCs w:val="32"/>
        </w:rPr>
      </w:pPr>
      <w:r w:rsidRPr="00823225">
        <w:rPr>
          <w:rFonts w:asciiTheme="majorHAnsi" w:hAnsiTheme="majorHAnsi"/>
          <w:b/>
          <w:bCs/>
          <w:color w:val="0F4761" w:themeColor="accent1" w:themeShade="BF"/>
          <w:sz w:val="32"/>
          <w:szCs w:val="32"/>
        </w:rPr>
        <w:t>C</w:t>
      </w:r>
      <w:r w:rsidR="00320B6A" w:rsidRPr="00823225">
        <w:rPr>
          <w:rFonts w:asciiTheme="majorHAnsi" w:hAnsiTheme="majorHAnsi"/>
          <w:b/>
          <w:bCs/>
          <w:color w:val="0F4761" w:themeColor="accent1" w:themeShade="BF"/>
          <w:sz w:val="32"/>
          <w:szCs w:val="32"/>
        </w:rPr>
        <w:t>.</w:t>
      </w:r>
      <w:r w:rsidR="00B8373D">
        <w:rPr>
          <w:rFonts w:asciiTheme="majorHAnsi" w:hAnsiTheme="majorHAnsi"/>
          <w:b/>
          <w:bCs/>
          <w:color w:val="0F4761" w:themeColor="accent1" w:themeShade="BF"/>
          <w:sz w:val="32"/>
          <w:szCs w:val="32"/>
        </w:rPr>
        <w:t>6</w:t>
      </w:r>
      <w:r w:rsidR="00320B6A" w:rsidRPr="00823225">
        <w:rPr>
          <w:rFonts w:asciiTheme="majorHAnsi" w:hAnsiTheme="majorHAnsi"/>
          <w:b/>
          <w:bCs/>
          <w:color w:val="0F4761" w:themeColor="accent1" w:themeShade="BF"/>
          <w:sz w:val="32"/>
          <w:szCs w:val="32"/>
        </w:rPr>
        <w:t xml:space="preserve"> Ongoing administration and oversight</w:t>
      </w:r>
    </w:p>
    <w:p w14:paraId="614737CC" w14:textId="0F215225" w:rsidR="006A0772" w:rsidRPr="004243D2" w:rsidRDefault="006A0772" w:rsidP="006A0772">
      <w:pPr>
        <w:rPr>
          <w:rFonts w:ascii="Arial" w:hAnsi="Arial" w:cs="Arial"/>
          <w:szCs w:val="22"/>
        </w:rPr>
      </w:pPr>
      <w:r w:rsidRPr="00BD1C94">
        <w:rPr>
          <w:szCs w:val="22"/>
        </w:rPr>
        <w:t>Victoria should strengthen its approach to oversee and manage entities. It should implement best practice governance structures, enhance visibility and monitoring through data, conduct first-principles necessity reviews, and sunset entities by default once their purpose is fulfilled. </w:t>
      </w:r>
      <w:r w:rsidRPr="00E4291D">
        <w:rPr>
          <w:rFonts w:eastAsia="Aptos" w:cs="Aptos"/>
          <w:color w:val="000000" w:themeColor="text1"/>
          <w:szCs w:val="22"/>
        </w:rPr>
        <w:t>Recommended reforms are outlined below</w:t>
      </w:r>
      <w:r>
        <w:rPr>
          <w:rFonts w:eastAsia="Aptos" w:cs="Aptos"/>
          <w:color w:val="000000" w:themeColor="text1"/>
          <w:szCs w:val="22"/>
        </w:rPr>
        <w:t>.</w:t>
      </w:r>
    </w:p>
    <w:p w14:paraId="0B9A567A" w14:textId="0823CD05" w:rsidR="00114969" w:rsidRPr="00114969" w:rsidRDefault="006A0772" w:rsidP="00D207B3">
      <w:pPr>
        <w:pStyle w:val="ListParagraph"/>
        <w:numPr>
          <w:ilvl w:val="0"/>
          <w:numId w:val="75"/>
        </w:numPr>
        <w:ind w:left="714" w:hanging="357"/>
        <w:contextualSpacing w:val="0"/>
        <w:rPr>
          <w:color w:val="000000" w:themeColor="text1"/>
          <w:szCs w:val="22"/>
        </w:rPr>
      </w:pPr>
      <w:r w:rsidRPr="00470717">
        <w:rPr>
          <w:b/>
          <w:bCs/>
          <w:color w:val="000000" w:themeColor="text1"/>
          <w:szCs w:val="22"/>
        </w:rPr>
        <w:t>Refresh guidelines for entity establishment</w:t>
      </w:r>
      <w:r w:rsidRPr="00470717">
        <w:rPr>
          <w:color w:val="000000" w:themeColor="text1"/>
          <w:szCs w:val="22"/>
        </w:rPr>
        <w:t>. The government should update and publish guidance, currently articulated through a Premier’s Circular, to assess the necessity of establishing new entities and ensure each entity is fit-for-purpose. Clear guidelines, well implemented and adhered to, will help prevent unnecessary proliferation and reduce administrative costs. This includes reviewing the appropriate governance for an entity and determining if corporate functions could be shared with existing departments or entities. It should start from the position that an entity is not</w:t>
      </w:r>
      <w:r w:rsidR="000F4D12">
        <w:rPr>
          <w:color w:val="000000" w:themeColor="text1"/>
          <w:szCs w:val="22"/>
        </w:rPr>
        <w:t> </w:t>
      </w:r>
      <w:r w:rsidRPr="00470717">
        <w:rPr>
          <w:color w:val="000000" w:themeColor="text1"/>
          <w:szCs w:val="22"/>
        </w:rPr>
        <w:t>necessary.</w:t>
      </w:r>
      <w:r w:rsidRPr="00470717">
        <w:rPr>
          <w:rFonts w:ascii="Arial" w:hAnsi="Arial" w:cs="Arial"/>
          <w:color w:val="000000" w:themeColor="text1"/>
          <w:szCs w:val="22"/>
        </w:rPr>
        <w:t>​​</w:t>
      </w:r>
    </w:p>
    <w:p w14:paraId="6B2FF4FF" w14:textId="3536B743" w:rsidR="006A0772" w:rsidRPr="00114969" w:rsidRDefault="006A0772" w:rsidP="00D207B3">
      <w:pPr>
        <w:pStyle w:val="ListParagraph"/>
        <w:numPr>
          <w:ilvl w:val="0"/>
          <w:numId w:val="75"/>
        </w:numPr>
        <w:ind w:left="714" w:hanging="357"/>
        <w:contextualSpacing w:val="0"/>
        <w:rPr>
          <w:color w:val="000000" w:themeColor="text1"/>
          <w:szCs w:val="22"/>
        </w:rPr>
      </w:pPr>
      <w:r w:rsidRPr="00114969">
        <w:rPr>
          <w:b/>
          <w:bCs/>
          <w:szCs w:val="22"/>
        </w:rPr>
        <w:t>D</w:t>
      </w:r>
      <w:r w:rsidRPr="00114969">
        <w:rPr>
          <w:b/>
          <w:bCs/>
          <w:color w:val="000000" w:themeColor="text1"/>
          <w:szCs w:val="22"/>
        </w:rPr>
        <w:t>efault to a single executive governance model, and where boards are needed, streamline them over time</w:t>
      </w:r>
      <w:r w:rsidRPr="00114969">
        <w:rPr>
          <w:color w:val="000000" w:themeColor="text1"/>
          <w:szCs w:val="22"/>
        </w:rPr>
        <w:t>.</w:t>
      </w:r>
      <w:r w:rsidRPr="00114969">
        <w:rPr>
          <w:b/>
          <w:bCs/>
          <w:color w:val="000000" w:themeColor="text1"/>
          <w:szCs w:val="22"/>
        </w:rPr>
        <w:t xml:space="preserve"> </w:t>
      </w:r>
      <w:r w:rsidRPr="00114969">
        <w:rPr>
          <w:color w:val="000000" w:themeColor="text1"/>
          <w:szCs w:val="22"/>
        </w:rPr>
        <w:t>Boards are frequently adopted as the default governance structure without sufficient consideration of their appropriateness or effectiveness as a</w:t>
      </w:r>
      <w:r w:rsidR="000F4D12">
        <w:rPr>
          <w:color w:val="000000" w:themeColor="text1"/>
          <w:szCs w:val="22"/>
        </w:rPr>
        <w:t> </w:t>
      </w:r>
      <w:r w:rsidRPr="00114969">
        <w:rPr>
          <w:color w:val="000000" w:themeColor="text1"/>
          <w:szCs w:val="22"/>
        </w:rPr>
        <w:t>governance method, resulting in increased administrative costs and slowed decision-making. When established, these boards typically consist of 8 or more members and many of them classified as Group B or C boards, despite best practice guidance recommending 6-12 members for public sector boards and 6-8 for mid-size ASX companies.</w:t>
      </w:r>
      <w:r w:rsidRPr="004243D2">
        <w:rPr>
          <w:rStyle w:val="FootnoteReference"/>
          <w:color w:val="000000" w:themeColor="text1"/>
          <w:szCs w:val="22"/>
        </w:rPr>
        <w:footnoteReference w:id="27"/>
      </w:r>
      <w:r w:rsidRPr="00114969">
        <w:rPr>
          <w:rFonts w:ascii="Arial" w:hAnsi="Arial" w:cs="Arial"/>
          <w:color w:val="000000" w:themeColor="text1"/>
          <w:szCs w:val="22"/>
        </w:rPr>
        <w:t xml:space="preserve">​ </w:t>
      </w:r>
    </w:p>
    <w:p w14:paraId="29D6CAF5" w14:textId="77777777" w:rsidR="006A0772" w:rsidRPr="004243D2" w:rsidRDefault="006A0772" w:rsidP="006A0772">
      <w:pPr>
        <w:pStyle w:val="ListParagraph"/>
        <w:ind w:left="714"/>
        <w:contextualSpacing w:val="0"/>
        <w:rPr>
          <w:rFonts w:ascii="Arial" w:hAnsi="Arial" w:cs="Arial"/>
          <w:color w:val="000000" w:themeColor="text1"/>
          <w:szCs w:val="22"/>
          <w:lang w:val="en-US"/>
        </w:rPr>
      </w:pPr>
      <w:r w:rsidRPr="004243D2">
        <w:rPr>
          <w:color w:val="000000" w:themeColor="text1"/>
          <w:szCs w:val="22"/>
        </w:rPr>
        <w:t xml:space="preserve">Victoria should implement best-practice governance for its entities, by defaulting to a single executive governance model for efficient decision-making, except where robust public accountability and integrity </w:t>
      </w:r>
      <w:proofErr w:type="gramStart"/>
      <w:r w:rsidRPr="004243D2">
        <w:rPr>
          <w:color w:val="000000" w:themeColor="text1"/>
          <w:szCs w:val="22"/>
        </w:rPr>
        <w:t>needs</w:t>
      </w:r>
      <w:proofErr w:type="gramEnd"/>
      <w:r w:rsidRPr="004243D2">
        <w:rPr>
          <w:color w:val="000000" w:themeColor="text1"/>
          <w:szCs w:val="22"/>
        </w:rPr>
        <w:t xml:space="preserve"> demand collective oversight. </w:t>
      </w:r>
      <w:r w:rsidRPr="004243D2">
        <w:rPr>
          <w:rFonts w:ascii="Arial" w:hAnsi="Arial" w:cs="Arial"/>
          <w:color w:val="000000" w:themeColor="text1"/>
          <w:szCs w:val="22"/>
          <w:lang w:val="en-US"/>
        </w:rPr>
        <w:t>​</w:t>
      </w:r>
    </w:p>
    <w:p w14:paraId="2AA04100" w14:textId="77777777" w:rsidR="00470717" w:rsidRDefault="006A0772" w:rsidP="00470717">
      <w:pPr>
        <w:pStyle w:val="ListParagraph"/>
        <w:ind w:left="714"/>
        <w:contextualSpacing w:val="0"/>
        <w:rPr>
          <w:color w:val="000000" w:themeColor="text1"/>
          <w:szCs w:val="22"/>
        </w:rPr>
      </w:pPr>
      <w:r w:rsidRPr="004243D2">
        <w:rPr>
          <w:color w:val="000000" w:themeColor="text1"/>
          <w:szCs w:val="22"/>
        </w:rPr>
        <w:t>When boards are necessary, Victoria should move towards smaller, fit-for-purpose boards sized according to operational complexity to enhance collaboration, strengthen accountability, improve efficiency, and reduce costs. Reductions in board size should be implemented progressively as member tenures </w:t>
      </w:r>
      <w:proofErr w:type="gramStart"/>
      <w:r w:rsidRPr="004243D2">
        <w:rPr>
          <w:color w:val="000000" w:themeColor="text1"/>
          <w:szCs w:val="22"/>
        </w:rPr>
        <w:t>expire</w:t>
      </w:r>
      <w:proofErr w:type="gramEnd"/>
      <w:r w:rsidRPr="004243D2">
        <w:rPr>
          <w:color w:val="000000" w:themeColor="text1"/>
          <w:szCs w:val="22"/>
        </w:rPr>
        <w:t> and boards are refreshed.</w:t>
      </w:r>
    </w:p>
    <w:p w14:paraId="763349BB" w14:textId="77777777" w:rsidR="006A0772" w:rsidRPr="00470717" w:rsidRDefault="006A0772" w:rsidP="00D207B3">
      <w:pPr>
        <w:pStyle w:val="ListParagraph"/>
        <w:numPr>
          <w:ilvl w:val="0"/>
          <w:numId w:val="75"/>
        </w:numPr>
        <w:contextualSpacing w:val="0"/>
        <w:rPr>
          <w:rFonts w:ascii="Arial" w:hAnsi="Arial" w:cs="Arial"/>
          <w:color w:val="000000" w:themeColor="text1"/>
          <w:szCs w:val="22"/>
          <w:lang w:val="en-US"/>
        </w:rPr>
      </w:pPr>
      <w:r w:rsidRPr="00470717">
        <w:rPr>
          <w:b/>
          <w:bCs/>
          <w:color w:val="000000" w:themeColor="text1"/>
          <w:szCs w:val="22"/>
        </w:rPr>
        <w:t>Improve entity data collection and reporting</w:t>
      </w:r>
      <w:r w:rsidRPr="00470717">
        <w:rPr>
          <w:color w:val="000000" w:themeColor="text1"/>
          <w:szCs w:val="22"/>
        </w:rPr>
        <w:t>.</w:t>
      </w:r>
      <w:r w:rsidRPr="00470717">
        <w:rPr>
          <w:b/>
          <w:bCs/>
          <w:color w:val="000000" w:themeColor="text1"/>
          <w:szCs w:val="22"/>
        </w:rPr>
        <w:t xml:space="preserve"> </w:t>
      </w:r>
      <w:r w:rsidRPr="00470717">
        <w:rPr>
          <w:color w:val="000000" w:themeColor="text1"/>
          <w:szCs w:val="22"/>
        </w:rPr>
        <w:t>While the VPSC has a list of many entities and tracks FTE over time, Victoria lacks a comprehensive database of all government entities with operational and financial information. Without that key information, monitoring and informed decisions about the efficacy of those entities is challenging, affecting the overall efficiency of government.</w:t>
      </w:r>
      <w:r w:rsidRPr="00470717">
        <w:rPr>
          <w:rFonts w:ascii="Arial" w:hAnsi="Arial" w:cs="Arial"/>
          <w:color w:val="000000" w:themeColor="text1"/>
          <w:szCs w:val="22"/>
          <w:lang w:val="en-US"/>
        </w:rPr>
        <w:t xml:space="preserve">​ </w:t>
      </w:r>
    </w:p>
    <w:p w14:paraId="28A078B5" w14:textId="428B3157" w:rsidR="006A0772" w:rsidRPr="004243D2" w:rsidRDefault="006A0772" w:rsidP="006A0772">
      <w:pPr>
        <w:pStyle w:val="ListParagraph"/>
        <w:ind w:left="714"/>
        <w:contextualSpacing w:val="0"/>
        <w:rPr>
          <w:rFonts w:ascii="Arial" w:hAnsi="Arial" w:cs="Arial"/>
          <w:color w:val="000000" w:themeColor="text1"/>
          <w:szCs w:val="22"/>
          <w:lang w:val="en-US"/>
        </w:rPr>
      </w:pPr>
      <w:r w:rsidRPr="004243D2">
        <w:rPr>
          <w:color w:val="000000" w:themeColor="text1"/>
          <w:szCs w:val="22"/>
        </w:rPr>
        <w:t xml:space="preserve">Despite mandatory reporting for most (if not all) entities, these reports are often not consolidated and do not provide the data required to assess the relevance or necessity </w:t>
      </w:r>
      <w:r w:rsidRPr="004243D2">
        <w:rPr>
          <w:color w:val="000000" w:themeColor="text1"/>
          <w:szCs w:val="22"/>
        </w:rPr>
        <w:lastRenderedPageBreak/>
        <w:t>of the entity. Reporting is not scaled to the size or complexity of the entity, disproportionately burdening smaller entities (estimated up to 15</w:t>
      </w:r>
      <w:r w:rsidR="003F406F">
        <w:rPr>
          <w:color w:val="000000" w:themeColor="text1"/>
          <w:szCs w:val="22"/>
        </w:rPr>
        <w:t xml:space="preserve"> per cent</w:t>
      </w:r>
      <w:r w:rsidRPr="004243D2">
        <w:rPr>
          <w:color w:val="000000" w:themeColor="text1"/>
          <w:szCs w:val="22"/>
        </w:rPr>
        <w:t xml:space="preserve"> of operational</w:t>
      </w:r>
      <w:r w:rsidR="00F16022">
        <w:rPr>
          <w:color w:val="000000" w:themeColor="text1"/>
          <w:szCs w:val="22"/>
        </w:rPr>
        <w:t> </w:t>
      </w:r>
      <w:r w:rsidRPr="004243D2">
        <w:rPr>
          <w:color w:val="000000" w:themeColor="text1"/>
          <w:szCs w:val="22"/>
        </w:rPr>
        <w:t>time).</w:t>
      </w:r>
      <w:r w:rsidRPr="004243D2">
        <w:rPr>
          <w:rFonts w:ascii="Arial" w:hAnsi="Arial" w:cs="Arial"/>
          <w:color w:val="000000" w:themeColor="text1"/>
          <w:szCs w:val="22"/>
          <w:lang w:val="en-US"/>
        </w:rPr>
        <w:t xml:space="preserve">​ </w:t>
      </w:r>
    </w:p>
    <w:p w14:paraId="2F436F47" w14:textId="70F0B2EA" w:rsidR="0057356B" w:rsidRDefault="006A0772" w:rsidP="0057356B">
      <w:pPr>
        <w:pStyle w:val="ListParagraph"/>
        <w:ind w:left="714"/>
        <w:contextualSpacing w:val="0"/>
        <w:rPr>
          <w:color w:val="000000" w:themeColor="text1"/>
          <w:szCs w:val="22"/>
        </w:rPr>
      </w:pPr>
      <w:r w:rsidRPr="004243D2">
        <w:rPr>
          <w:color w:val="000000" w:themeColor="text1"/>
          <w:szCs w:val="22"/>
        </w:rPr>
        <w:t>Victoria should collect the right data better</w:t>
      </w:r>
      <w:r w:rsidRPr="004243D2">
        <w:rPr>
          <w:b/>
          <w:bCs/>
          <w:color w:val="000000" w:themeColor="text1"/>
          <w:szCs w:val="22"/>
        </w:rPr>
        <w:t> </w:t>
      </w:r>
      <w:r w:rsidRPr="004243D2">
        <w:rPr>
          <w:color w:val="000000" w:themeColor="text1"/>
          <w:szCs w:val="22"/>
        </w:rPr>
        <w:t>to have an accurate picture of all its entities. It should consider establishing a central database that captures all entities and extracts the most relevant metrics for evaluating performance and operational necessity.</w:t>
      </w:r>
      <w:r w:rsidRPr="004243D2">
        <w:rPr>
          <w:rFonts w:ascii="Arial" w:hAnsi="Arial" w:cs="Arial"/>
          <w:color w:val="000000" w:themeColor="text1"/>
          <w:szCs w:val="22"/>
          <w:lang w:val="en-US"/>
        </w:rPr>
        <w:t xml:space="preserve"> </w:t>
      </w:r>
      <w:r w:rsidRPr="004243D2">
        <w:rPr>
          <w:color w:val="000000" w:themeColor="text1"/>
          <w:szCs w:val="22"/>
        </w:rPr>
        <w:t>In addition, reporting requirements should be reformed to make them fit-for-purpose for entities across different sizes and complexities. Right-sizing reporting requirements will reduce their disproportionate administrative burden and redirect resources to service delivery for citizens, businesses and government.</w:t>
      </w:r>
    </w:p>
    <w:p w14:paraId="4910C11F" w14:textId="5D0CB2D1" w:rsidR="006A0772" w:rsidRPr="0057356B" w:rsidRDefault="006A0772" w:rsidP="00D207B3">
      <w:pPr>
        <w:pStyle w:val="ListParagraph"/>
        <w:numPr>
          <w:ilvl w:val="0"/>
          <w:numId w:val="75"/>
        </w:numPr>
        <w:contextualSpacing w:val="0"/>
        <w:rPr>
          <w:color w:val="000000" w:themeColor="text1"/>
          <w:szCs w:val="22"/>
        </w:rPr>
      </w:pPr>
      <w:r w:rsidRPr="0057356B">
        <w:rPr>
          <w:b/>
          <w:bCs/>
          <w:color w:val="000000" w:themeColor="text1"/>
          <w:szCs w:val="22"/>
          <w:lang w:val="en-US"/>
        </w:rPr>
        <w:t>Enforce entity review and sunset by default</w:t>
      </w:r>
      <w:r w:rsidRPr="0057356B">
        <w:rPr>
          <w:color w:val="000000" w:themeColor="text1"/>
          <w:szCs w:val="22"/>
          <w:lang w:val="en-US"/>
        </w:rPr>
        <w:t>.</w:t>
      </w:r>
      <w:r w:rsidRPr="0057356B">
        <w:rPr>
          <w:b/>
          <w:bCs/>
          <w:color w:val="000000" w:themeColor="text1"/>
          <w:szCs w:val="22"/>
          <w:lang w:val="en-US"/>
        </w:rPr>
        <w:t xml:space="preserve"> </w:t>
      </w:r>
      <w:r w:rsidRPr="0057356B">
        <w:rPr>
          <w:color w:val="000000" w:themeColor="text1"/>
          <w:szCs w:val="22"/>
        </w:rPr>
        <w:t>Victoria does not undertake regular reviews of entities to ensure they remain relevant and necessary for the effective operation of government. Where reviews are undertaken, they are not necessarily based on first-principles assessment of need and relevance.</w:t>
      </w:r>
      <w:r w:rsidRPr="0057356B">
        <w:rPr>
          <w:rFonts w:ascii="Arial" w:hAnsi="Arial" w:cs="Arial"/>
          <w:color w:val="000000" w:themeColor="text1"/>
          <w:szCs w:val="22"/>
          <w:lang w:val="en-US"/>
        </w:rPr>
        <w:t xml:space="preserve"> </w:t>
      </w:r>
      <w:r w:rsidRPr="0057356B">
        <w:rPr>
          <w:color w:val="000000" w:themeColor="text1"/>
          <w:szCs w:val="22"/>
        </w:rPr>
        <w:t>In addition, Victoria rarely sets and adheres to sunset dates for its entities, resulting in the large proliferation of entities and misaligned resource allocation with government priorities.</w:t>
      </w:r>
      <w:r w:rsidRPr="0057356B">
        <w:rPr>
          <w:rFonts w:ascii="Arial" w:hAnsi="Arial" w:cs="Arial"/>
          <w:color w:val="000000" w:themeColor="text1"/>
          <w:szCs w:val="22"/>
          <w:lang w:val="en-US"/>
        </w:rPr>
        <w:t xml:space="preserve">​ </w:t>
      </w:r>
    </w:p>
    <w:p w14:paraId="22CDA34C" w14:textId="77777777" w:rsidR="006A0772" w:rsidRPr="004243D2" w:rsidRDefault="006A0772" w:rsidP="006A0772">
      <w:pPr>
        <w:pStyle w:val="ListParagraph"/>
        <w:ind w:left="714"/>
        <w:contextualSpacing w:val="0"/>
        <w:rPr>
          <w:rFonts w:ascii="Arial" w:hAnsi="Arial" w:cs="Arial"/>
          <w:color w:val="000000" w:themeColor="text1"/>
          <w:szCs w:val="22"/>
          <w:lang w:val="en-US"/>
        </w:rPr>
      </w:pPr>
      <w:r w:rsidRPr="004243D2">
        <w:rPr>
          <w:color w:val="000000" w:themeColor="text1"/>
          <w:szCs w:val="22"/>
        </w:rPr>
        <w:t>Victoria should set sunset dates for entities of no more than 5 years following establishment. The default position should be that entities should be wound down upon their sunset date unless there is a clear demonstration of continued relevance and effectiveness in fulfilling its mandate.</w:t>
      </w:r>
      <w:r w:rsidRPr="004243D2">
        <w:rPr>
          <w:rFonts w:ascii="Arial" w:hAnsi="Arial" w:cs="Arial"/>
          <w:color w:val="000000" w:themeColor="text1"/>
          <w:szCs w:val="22"/>
          <w:lang w:val="en-US"/>
        </w:rPr>
        <w:t xml:space="preserve">​ </w:t>
      </w:r>
    </w:p>
    <w:p w14:paraId="45FE56B4" w14:textId="4556A75A" w:rsidR="006A0772" w:rsidRPr="004243D2" w:rsidRDefault="006A0772" w:rsidP="006A0772">
      <w:pPr>
        <w:pStyle w:val="ListParagraph"/>
        <w:ind w:left="714"/>
        <w:contextualSpacing w:val="0"/>
        <w:rPr>
          <w:color w:val="000000" w:themeColor="text1"/>
          <w:szCs w:val="22"/>
        </w:rPr>
      </w:pPr>
      <w:r w:rsidRPr="004243D2">
        <w:rPr>
          <w:color w:val="000000" w:themeColor="text1"/>
          <w:szCs w:val="22"/>
        </w:rPr>
        <w:t>Victoria should undertake regular first-principles reviews on the continued need and relevance of entities. A review of an entity should be undertaken in advance of the 5-year sunset date if it is considered necessary to remain, and if it remains, at least every 3</w:t>
      </w:r>
      <w:r w:rsidR="004332D8">
        <w:rPr>
          <w:color w:val="000000" w:themeColor="text1"/>
          <w:szCs w:val="22"/>
        </w:rPr>
        <w:t> </w:t>
      </w:r>
      <w:r w:rsidRPr="004243D2">
        <w:rPr>
          <w:color w:val="000000" w:themeColor="text1"/>
          <w:szCs w:val="22"/>
        </w:rPr>
        <w:t>years thereafter.</w:t>
      </w:r>
      <w:r w:rsidRPr="004243D2">
        <w:rPr>
          <w:rFonts w:ascii="Arial" w:hAnsi="Arial" w:cs="Arial"/>
          <w:color w:val="000000" w:themeColor="text1"/>
          <w:szCs w:val="22"/>
          <w:lang w:val="en-US"/>
        </w:rPr>
        <w:t xml:space="preserve"> </w:t>
      </w:r>
      <w:r w:rsidRPr="004243D2">
        <w:rPr>
          <w:color w:val="000000" w:themeColor="text1"/>
          <w:szCs w:val="22"/>
        </w:rPr>
        <w:t>This will prevent the ongoing proliferation of entities, ensuring that entities are aligned with current government priorities, and support optimised resource allocation to hig</w:t>
      </w:r>
      <w:r>
        <w:rPr>
          <w:color w:val="000000" w:themeColor="text1"/>
          <w:szCs w:val="22"/>
        </w:rPr>
        <w:t xml:space="preserve">h </w:t>
      </w:r>
      <w:r w:rsidRPr="004243D2">
        <w:rPr>
          <w:color w:val="000000" w:themeColor="text1"/>
          <w:szCs w:val="22"/>
        </w:rPr>
        <w:t>priority areas.</w:t>
      </w:r>
    </w:p>
    <w:p w14:paraId="3A26741E" w14:textId="4788F463" w:rsidR="00943495" w:rsidRDefault="006A0772" w:rsidP="00943495">
      <w:pPr>
        <w:pStyle w:val="ListParagraph"/>
        <w:numPr>
          <w:ilvl w:val="0"/>
          <w:numId w:val="76"/>
        </w:numPr>
        <w:contextualSpacing w:val="0"/>
        <w:rPr>
          <w:color w:val="000000" w:themeColor="text1"/>
          <w:szCs w:val="22"/>
        </w:rPr>
      </w:pPr>
      <w:r w:rsidRPr="004243D2">
        <w:rPr>
          <w:b/>
          <w:bCs/>
          <w:color w:val="000000" w:themeColor="text1"/>
          <w:szCs w:val="22"/>
        </w:rPr>
        <w:t>Extend review</w:t>
      </w:r>
      <w:r>
        <w:rPr>
          <w:b/>
          <w:bCs/>
          <w:color w:val="000000" w:themeColor="text1"/>
          <w:szCs w:val="22"/>
        </w:rPr>
        <w:t>s</w:t>
      </w:r>
      <w:r w:rsidRPr="004243D2">
        <w:rPr>
          <w:b/>
          <w:bCs/>
          <w:color w:val="000000" w:themeColor="text1"/>
          <w:szCs w:val="22"/>
        </w:rPr>
        <w:t xml:space="preserve"> to other forms of </w:t>
      </w:r>
      <w:r w:rsidRPr="006A5EC2">
        <w:rPr>
          <w:b/>
          <w:bCs/>
          <w:color w:val="000000" w:themeColor="text1"/>
        </w:rPr>
        <w:t>public sector entit</w:t>
      </w:r>
      <w:r>
        <w:rPr>
          <w:b/>
          <w:bCs/>
          <w:color w:val="000000" w:themeColor="text1"/>
        </w:rPr>
        <w:t>ies</w:t>
      </w:r>
      <w:r w:rsidRPr="004243D2">
        <w:rPr>
          <w:color w:val="000000" w:themeColor="text1"/>
          <w:szCs w:val="22"/>
        </w:rPr>
        <w:t>.</w:t>
      </w:r>
      <w:r w:rsidRPr="004243D2">
        <w:rPr>
          <w:b/>
          <w:bCs/>
          <w:color w:val="000000" w:themeColor="text1"/>
          <w:szCs w:val="22"/>
        </w:rPr>
        <w:t xml:space="preserve"> </w:t>
      </w:r>
      <w:r w:rsidRPr="004243D2">
        <w:rPr>
          <w:color w:val="000000" w:themeColor="text1"/>
          <w:szCs w:val="22"/>
        </w:rPr>
        <w:t>Certain types of entities – such as statutory roles and branded divisions within departments which operate at varying degrees of distance and accountability – do not fit neatly into existing VPSC categories. By limiting the view of what an entity is, Victoria risks overlooking the opportunity to consider the broader system.</w:t>
      </w:r>
      <w:r w:rsidRPr="004243D2">
        <w:rPr>
          <w:rFonts w:ascii="Arial" w:hAnsi="Arial" w:cs="Arial"/>
          <w:color w:val="000000" w:themeColor="text1"/>
          <w:szCs w:val="22"/>
          <w:lang w:val="en-US"/>
        </w:rPr>
        <w:t xml:space="preserve"> </w:t>
      </w:r>
      <w:r w:rsidRPr="004243D2">
        <w:rPr>
          <w:color w:val="000000" w:themeColor="text1"/>
          <w:szCs w:val="22"/>
        </w:rPr>
        <w:t>This would not resolve the underlying issue of entities being created and imposing significant direct and indirect costs on government.</w:t>
      </w:r>
      <w:r w:rsidRPr="004243D2">
        <w:rPr>
          <w:rFonts w:ascii="Arial" w:hAnsi="Arial" w:cs="Arial"/>
          <w:color w:val="000000" w:themeColor="text1"/>
          <w:szCs w:val="22"/>
          <w:lang w:val="en-US"/>
        </w:rPr>
        <w:t xml:space="preserve"> </w:t>
      </w:r>
      <w:r w:rsidRPr="004243D2">
        <w:rPr>
          <w:color w:val="000000" w:themeColor="text1"/>
          <w:szCs w:val="22"/>
        </w:rPr>
        <w:t>Victoria should build upon the work in this Review and extend reviews</w:t>
      </w:r>
      <w:r>
        <w:rPr>
          <w:color w:val="000000" w:themeColor="text1"/>
          <w:szCs w:val="22"/>
        </w:rPr>
        <w:t xml:space="preserve"> of continued relevance and necessity</w:t>
      </w:r>
      <w:r w:rsidRPr="004243D2">
        <w:rPr>
          <w:color w:val="000000" w:themeColor="text1"/>
          <w:szCs w:val="22"/>
        </w:rPr>
        <w:t xml:space="preserve"> to other forms of public sector entity </w:t>
      </w:r>
      <w:r w:rsidR="00405022" w:rsidRPr="004243D2">
        <w:rPr>
          <w:color w:val="000000" w:themeColor="text1"/>
          <w:szCs w:val="22"/>
        </w:rPr>
        <w:t>proliferation</w:t>
      </w:r>
      <w:r w:rsidR="00405022">
        <w:rPr>
          <w:color w:val="000000" w:themeColor="text1"/>
          <w:szCs w:val="22"/>
        </w:rPr>
        <w:t>.</w:t>
      </w:r>
    </w:p>
    <w:p w14:paraId="631F4223" w14:textId="77777777" w:rsidR="00405022" w:rsidRDefault="00405022" w:rsidP="00405022">
      <w:pPr>
        <w:pStyle w:val="ListParagraph"/>
        <w:contextualSpacing w:val="0"/>
        <w:rPr>
          <w:color w:val="000000" w:themeColor="text1"/>
          <w:szCs w:val="22"/>
        </w:rPr>
      </w:pPr>
    </w:p>
    <w:p w14:paraId="0827CD2F" w14:textId="77777777" w:rsidR="00CB4F16" w:rsidRDefault="00CB4F16" w:rsidP="006D78DD">
      <w:pPr>
        <w:pStyle w:val="Heading1"/>
      </w:pPr>
      <w:bookmarkStart w:id="132" w:name="_Toc202524017"/>
      <w:r>
        <w:br w:type="page"/>
      </w:r>
    </w:p>
    <w:p w14:paraId="0D7B41E1" w14:textId="5CA384BA" w:rsidR="006D78DD" w:rsidRDefault="006D78DD" w:rsidP="006D78DD">
      <w:pPr>
        <w:pStyle w:val="Heading1"/>
      </w:pPr>
      <w:bookmarkStart w:id="133" w:name="_Toc214912035"/>
      <w:r>
        <w:lastRenderedPageBreak/>
        <w:t>Abbreviations and glossary of key terms</w:t>
      </w:r>
      <w:bookmarkEnd w:id="132"/>
      <w:bookmarkEnd w:id="133"/>
    </w:p>
    <w:p w14:paraId="4C9B04EB" w14:textId="77777777" w:rsidR="006D78DD" w:rsidRPr="007511D6" w:rsidRDefault="006D78DD" w:rsidP="007511D6">
      <w:pPr>
        <w:spacing w:before="160" w:after="80"/>
        <w:rPr>
          <w:rFonts w:asciiTheme="majorHAnsi" w:hAnsiTheme="majorHAnsi"/>
          <w:b/>
          <w:color w:val="0F4761" w:themeColor="accent1" w:themeShade="BF"/>
          <w:sz w:val="32"/>
          <w:szCs w:val="32"/>
        </w:rPr>
      </w:pPr>
      <w:r w:rsidRPr="007511D6">
        <w:rPr>
          <w:rFonts w:asciiTheme="majorHAnsi" w:hAnsiTheme="majorHAnsi"/>
          <w:b/>
          <w:color w:val="0F4761" w:themeColor="accent1" w:themeShade="BF"/>
          <w:sz w:val="32"/>
          <w:szCs w:val="32"/>
        </w:rPr>
        <w:t>Abbreviations</w:t>
      </w:r>
    </w:p>
    <w:tbl>
      <w:tblPr>
        <w:tblW w:w="9356" w:type="dxa"/>
        <w:tblLook w:val="04A0" w:firstRow="1" w:lastRow="0" w:firstColumn="1" w:lastColumn="0" w:noHBand="0" w:noVBand="1"/>
      </w:tblPr>
      <w:tblGrid>
        <w:gridCol w:w="1198"/>
        <w:gridCol w:w="8158"/>
      </w:tblGrid>
      <w:tr w:rsidR="00BA6F42" w:rsidRPr="000263D7" w14:paraId="20BD52D9" w14:textId="77777777" w:rsidTr="005F5E02">
        <w:trPr>
          <w:trHeight w:val="300"/>
        </w:trPr>
        <w:tc>
          <w:tcPr>
            <w:tcW w:w="1198" w:type="dxa"/>
            <w:tcBorders>
              <w:top w:val="nil"/>
              <w:left w:val="nil"/>
              <w:bottom w:val="nil"/>
              <w:right w:val="nil"/>
            </w:tcBorders>
            <w:noWrap/>
            <w:vAlign w:val="center"/>
          </w:tcPr>
          <w:p w14:paraId="4CFBF023" w14:textId="6B531639" w:rsidR="00BA6F42" w:rsidRPr="007511D6" w:rsidRDefault="00BA6F42" w:rsidP="001749D2">
            <w:pPr>
              <w:spacing w:after="0" w:line="240" w:lineRule="auto"/>
              <w:rPr>
                <w:rFonts w:eastAsia="Times New Roman" w:cs="Times New Roman"/>
                <w:b/>
                <w:szCs w:val="22"/>
                <w:lang w:eastAsia="en-AU"/>
              </w:rPr>
            </w:pPr>
            <w:r>
              <w:rPr>
                <w:rFonts w:eastAsia="Times New Roman" w:cs="Times New Roman"/>
                <w:b/>
                <w:szCs w:val="22"/>
                <w:lang w:eastAsia="en-AU"/>
              </w:rPr>
              <w:t>ABS</w:t>
            </w:r>
          </w:p>
        </w:tc>
        <w:tc>
          <w:tcPr>
            <w:tcW w:w="8158" w:type="dxa"/>
            <w:tcBorders>
              <w:top w:val="nil"/>
              <w:left w:val="nil"/>
              <w:bottom w:val="nil"/>
              <w:right w:val="nil"/>
            </w:tcBorders>
            <w:noWrap/>
            <w:vAlign w:val="center"/>
          </w:tcPr>
          <w:p w14:paraId="78383E5C" w14:textId="434648D4" w:rsidR="00BA6F42" w:rsidRPr="007511D6" w:rsidRDefault="00F35779" w:rsidP="001749D2">
            <w:pPr>
              <w:spacing w:after="0" w:line="240" w:lineRule="auto"/>
              <w:rPr>
                <w:rFonts w:eastAsia="Times New Roman" w:cs="Times New Roman"/>
                <w:szCs w:val="22"/>
                <w:lang w:eastAsia="en-AU"/>
              </w:rPr>
            </w:pPr>
            <w:r w:rsidRPr="00F35779">
              <w:rPr>
                <w:rFonts w:eastAsia="Times New Roman" w:cs="Times New Roman"/>
                <w:szCs w:val="22"/>
                <w:lang w:eastAsia="en-AU"/>
              </w:rPr>
              <w:t>Australian Bureau of Statistics</w:t>
            </w:r>
          </w:p>
        </w:tc>
      </w:tr>
      <w:tr w:rsidR="006D78DD" w:rsidRPr="000263D7" w14:paraId="11F1CF07" w14:textId="77777777" w:rsidTr="005F5E02">
        <w:trPr>
          <w:trHeight w:val="300"/>
        </w:trPr>
        <w:tc>
          <w:tcPr>
            <w:tcW w:w="1198" w:type="dxa"/>
            <w:tcBorders>
              <w:top w:val="nil"/>
              <w:left w:val="nil"/>
              <w:bottom w:val="nil"/>
              <w:right w:val="nil"/>
            </w:tcBorders>
            <w:noWrap/>
            <w:vAlign w:val="center"/>
            <w:hideMark/>
          </w:tcPr>
          <w:p w14:paraId="31F2003C"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AI</w:t>
            </w:r>
          </w:p>
        </w:tc>
        <w:tc>
          <w:tcPr>
            <w:tcW w:w="8158" w:type="dxa"/>
            <w:tcBorders>
              <w:top w:val="nil"/>
              <w:left w:val="nil"/>
              <w:bottom w:val="nil"/>
              <w:right w:val="nil"/>
            </w:tcBorders>
            <w:noWrap/>
            <w:vAlign w:val="center"/>
            <w:hideMark/>
          </w:tcPr>
          <w:p w14:paraId="2BFFDDEE"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Artificial intelligence </w:t>
            </w:r>
          </w:p>
        </w:tc>
      </w:tr>
      <w:tr w:rsidR="006D78DD" w:rsidRPr="000263D7" w14:paraId="369C9AC5" w14:textId="77777777" w:rsidTr="005F5E02">
        <w:trPr>
          <w:trHeight w:val="300"/>
        </w:trPr>
        <w:tc>
          <w:tcPr>
            <w:tcW w:w="1198" w:type="dxa"/>
            <w:tcBorders>
              <w:top w:val="nil"/>
              <w:left w:val="nil"/>
              <w:bottom w:val="nil"/>
              <w:right w:val="nil"/>
            </w:tcBorders>
            <w:noWrap/>
            <w:vAlign w:val="center"/>
            <w:hideMark/>
          </w:tcPr>
          <w:p w14:paraId="049FF1AD"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AO</w:t>
            </w:r>
          </w:p>
        </w:tc>
        <w:tc>
          <w:tcPr>
            <w:tcW w:w="8158" w:type="dxa"/>
            <w:tcBorders>
              <w:top w:val="nil"/>
              <w:left w:val="nil"/>
              <w:bottom w:val="nil"/>
              <w:right w:val="nil"/>
            </w:tcBorders>
            <w:noWrap/>
            <w:vAlign w:val="center"/>
            <w:hideMark/>
          </w:tcPr>
          <w:p w14:paraId="07071AD2"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Officer of the Order of Australia</w:t>
            </w:r>
          </w:p>
        </w:tc>
      </w:tr>
      <w:tr w:rsidR="006D78DD" w:rsidRPr="000263D7" w14:paraId="771CE851" w14:textId="77777777" w:rsidTr="005F5E02">
        <w:trPr>
          <w:trHeight w:val="300"/>
        </w:trPr>
        <w:tc>
          <w:tcPr>
            <w:tcW w:w="1198" w:type="dxa"/>
            <w:tcBorders>
              <w:top w:val="nil"/>
              <w:left w:val="nil"/>
              <w:bottom w:val="nil"/>
              <w:right w:val="nil"/>
            </w:tcBorders>
            <w:noWrap/>
            <w:vAlign w:val="center"/>
            <w:hideMark/>
          </w:tcPr>
          <w:p w14:paraId="30EA3F0D"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API</w:t>
            </w:r>
          </w:p>
        </w:tc>
        <w:tc>
          <w:tcPr>
            <w:tcW w:w="8158" w:type="dxa"/>
            <w:tcBorders>
              <w:top w:val="nil"/>
              <w:left w:val="nil"/>
              <w:bottom w:val="nil"/>
              <w:right w:val="nil"/>
            </w:tcBorders>
            <w:noWrap/>
            <w:vAlign w:val="center"/>
            <w:hideMark/>
          </w:tcPr>
          <w:p w14:paraId="25819424"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Application Programming Interface </w:t>
            </w:r>
          </w:p>
        </w:tc>
      </w:tr>
      <w:tr w:rsidR="006D78DD" w:rsidRPr="000263D7" w14:paraId="2CE68A14" w14:textId="77777777" w:rsidTr="005F5E02">
        <w:trPr>
          <w:trHeight w:val="300"/>
        </w:trPr>
        <w:tc>
          <w:tcPr>
            <w:tcW w:w="1198" w:type="dxa"/>
            <w:tcBorders>
              <w:top w:val="nil"/>
              <w:left w:val="nil"/>
              <w:bottom w:val="nil"/>
              <w:right w:val="nil"/>
            </w:tcBorders>
            <w:noWrap/>
            <w:vAlign w:val="center"/>
            <w:hideMark/>
          </w:tcPr>
          <w:p w14:paraId="2B0950F5"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APS</w:t>
            </w:r>
          </w:p>
        </w:tc>
        <w:tc>
          <w:tcPr>
            <w:tcW w:w="8158" w:type="dxa"/>
            <w:tcBorders>
              <w:top w:val="nil"/>
              <w:left w:val="nil"/>
              <w:bottom w:val="nil"/>
              <w:right w:val="nil"/>
            </w:tcBorders>
            <w:noWrap/>
            <w:vAlign w:val="center"/>
            <w:hideMark/>
          </w:tcPr>
          <w:p w14:paraId="1F737F47"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Australian Public Service </w:t>
            </w:r>
          </w:p>
        </w:tc>
      </w:tr>
      <w:tr w:rsidR="00813CE0" w:rsidRPr="000263D7" w14:paraId="5906530B" w14:textId="77777777" w:rsidTr="005F5E02">
        <w:trPr>
          <w:trHeight w:val="300"/>
        </w:trPr>
        <w:tc>
          <w:tcPr>
            <w:tcW w:w="1198" w:type="dxa"/>
            <w:tcBorders>
              <w:top w:val="nil"/>
              <w:left w:val="nil"/>
              <w:bottom w:val="nil"/>
              <w:right w:val="nil"/>
            </w:tcBorders>
            <w:noWrap/>
            <w:vAlign w:val="center"/>
          </w:tcPr>
          <w:p w14:paraId="142F93C3" w14:textId="5EC89FFB" w:rsidR="00813CE0" w:rsidRPr="007511D6" w:rsidRDefault="00A01804">
            <w:pPr>
              <w:spacing w:after="0" w:line="240" w:lineRule="auto"/>
              <w:rPr>
                <w:rFonts w:eastAsia="Times New Roman" w:cs="Times New Roman"/>
                <w:b/>
                <w:szCs w:val="22"/>
                <w:lang w:eastAsia="en-AU"/>
              </w:rPr>
            </w:pPr>
            <w:r w:rsidRPr="00A01804">
              <w:rPr>
                <w:rFonts w:eastAsia="Times New Roman" w:cs="Times New Roman"/>
                <w:b/>
                <w:szCs w:val="22"/>
                <w:lang w:eastAsia="en-AU"/>
              </w:rPr>
              <w:t>APSC</w:t>
            </w:r>
          </w:p>
        </w:tc>
        <w:tc>
          <w:tcPr>
            <w:tcW w:w="8158" w:type="dxa"/>
            <w:tcBorders>
              <w:top w:val="nil"/>
              <w:left w:val="nil"/>
              <w:bottom w:val="nil"/>
              <w:right w:val="nil"/>
            </w:tcBorders>
            <w:noWrap/>
            <w:vAlign w:val="center"/>
          </w:tcPr>
          <w:p w14:paraId="00445891" w14:textId="51AE4197" w:rsidR="00813CE0" w:rsidRPr="007511D6" w:rsidRDefault="00A01804">
            <w:pPr>
              <w:spacing w:after="0" w:line="240" w:lineRule="auto"/>
              <w:rPr>
                <w:rFonts w:eastAsia="Times New Roman" w:cs="Times New Roman"/>
                <w:szCs w:val="22"/>
                <w:lang w:eastAsia="en-AU"/>
              </w:rPr>
            </w:pPr>
            <w:r w:rsidRPr="00A01804">
              <w:rPr>
                <w:rFonts w:eastAsia="Times New Roman" w:cs="Times New Roman"/>
                <w:szCs w:val="22"/>
                <w:lang w:eastAsia="en-AU"/>
              </w:rPr>
              <w:t>Australian Public Service Commission</w:t>
            </w:r>
          </w:p>
        </w:tc>
      </w:tr>
      <w:tr w:rsidR="006D78DD" w:rsidRPr="000263D7" w14:paraId="45A0750A" w14:textId="77777777" w:rsidTr="005F5E02">
        <w:trPr>
          <w:trHeight w:val="300"/>
        </w:trPr>
        <w:tc>
          <w:tcPr>
            <w:tcW w:w="1198" w:type="dxa"/>
            <w:tcBorders>
              <w:top w:val="nil"/>
              <w:left w:val="nil"/>
              <w:bottom w:val="nil"/>
              <w:right w:val="nil"/>
            </w:tcBorders>
            <w:noWrap/>
            <w:vAlign w:val="center"/>
            <w:hideMark/>
          </w:tcPr>
          <w:p w14:paraId="5D6166E3" w14:textId="77777777" w:rsidR="006D78DD" w:rsidRPr="007511D6" w:rsidRDefault="006D78DD">
            <w:pPr>
              <w:spacing w:after="0" w:line="240" w:lineRule="auto"/>
              <w:rPr>
                <w:rFonts w:eastAsia="Times New Roman" w:cs="Times New Roman"/>
                <w:color w:val="000000"/>
                <w:szCs w:val="22"/>
                <w:lang w:eastAsia="en-AU"/>
              </w:rPr>
            </w:pPr>
          </w:p>
        </w:tc>
        <w:tc>
          <w:tcPr>
            <w:tcW w:w="8158" w:type="dxa"/>
            <w:tcBorders>
              <w:top w:val="nil"/>
              <w:left w:val="nil"/>
              <w:bottom w:val="nil"/>
              <w:right w:val="nil"/>
            </w:tcBorders>
            <w:noWrap/>
            <w:vAlign w:val="center"/>
            <w:hideMark/>
          </w:tcPr>
          <w:p w14:paraId="7CB4F824" w14:textId="77777777" w:rsidR="006D78DD" w:rsidRPr="007511D6" w:rsidRDefault="006D78DD">
            <w:pPr>
              <w:spacing w:after="0" w:line="240" w:lineRule="auto"/>
              <w:rPr>
                <w:rFonts w:eastAsia="Times New Roman" w:cs="Times New Roman"/>
                <w:szCs w:val="22"/>
                <w:lang w:eastAsia="en-AU"/>
              </w:rPr>
            </w:pPr>
          </w:p>
        </w:tc>
      </w:tr>
      <w:tr w:rsidR="006D78DD" w:rsidRPr="000263D7" w14:paraId="3A03E198" w14:textId="77777777" w:rsidTr="005F5E02">
        <w:trPr>
          <w:trHeight w:val="300"/>
        </w:trPr>
        <w:tc>
          <w:tcPr>
            <w:tcW w:w="1198" w:type="dxa"/>
            <w:tcBorders>
              <w:top w:val="nil"/>
              <w:left w:val="nil"/>
              <w:bottom w:val="nil"/>
              <w:right w:val="nil"/>
            </w:tcBorders>
            <w:noWrap/>
            <w:vAlign w:val="center"/>
            <w:hideMark/>
          </w:tcPr>
          <w:p w14:paraId="37B6D321"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BBF</w:t>
            </w:r>
          </w:p>
        </w:tc>
        <w:tc>
          <w:tcPr>
            <w:tcW w:w="8158" w:type="dxa"/>
            <w:tcBorders>
              <w:top w:val="nil"/>
              <w:left w:val="nil"/>
              <w:bottom w:val="nil"/>
              <w:right w:val="nil"/>
            </w:tcBorders>
            <w:noWrap/>
            <w:vAlign w:val="center"/>
            <w:hideMark/>
          </w:tcPr>
          <w:p w14:paraId="7BCE724D"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Better Boating Fund </w:t>
            </w:r>
          </w:p>
        </w:tc>
      </w:tr>
      <w:tr w:rsidR="001B0D12" w:rsidRPr="000263D7" w14:paraId="13987690" w14:textId="77777777" w:rsidTr="005F5E02">
        <w:trPr>
          <w:trHeight w:val="300"/>
        </w:trPr>
        <w:tc>
          <w:tcPr>
            <w:tcW w:w="1198" w:type="dxa"/>
            <w:tcBorders>
              <w:top w:val="nil"/>
              <w:left w:val="nil"/>
              <w:bottom w:val="nil"/>
              <w:right w:val="nil"/>
            </w:tcBorders>
            <w:noWrap/>
            <w:vAlign w:val="center"/>
          </w:tcPr>
          <w:p w14:paraId="56136E4D" w14:textId="55E04903" w:rsidR="001B0D12" w:rsidRPr="007511D6" w:rsidRDefault="001B0D12" w:rsidP="001B0D12">
            <w:pPr>
              <w:spacing w:after="0" w:line="240" w:lineRule="auto"/>
              <w:rPr>
                <w:rFonts w:eastAsia="Times New Roman" w:cs="Times New Roman"/>
                <w:b/>
                <w:szCs w:val="22"/>
                <w:lang w:eastAsia="en-AU"/>
              </w:rPr>
            </w:pPr>
            <w:r w:rsidRPr="007511D6">
              <w:rPr>
                <w:rFonts w:eastAsia="Times New Roman" w:cs="Times New Roman"/>
                <w:b/>
                <w:szCs w:val="22"/>
                <w:lang w:eastAsia="en-AU"/>
              </w:rPr>
              <w:t>BV</w:t>
            </w:r>
          </w:p>
        </w:tc>
        <w:tc>
          <w:tcPr>
            <w:tcW w:w="8158" w:type="dxa"/>
            <w:tcBorders>
              <w:top w:val="nil"/>
              <w:left w:val="nil"/>
              <w:bottom w:val="nil"/>
              <w:right w:val="nil"/>
            </w:tcBorders>
            <w:noWrap/>
            <w:vAlign w:val="center"/>
          </w:tcPr>
          <w:p w14:paraId="427B69D9" w14:textId="487139F1" w:rsidR="001B0D12" w:rsidRPr="007511D6" w:rsidRDefault="005D5EFE" w:rsidP="001B0D12">
            <w:pPr>
              <w:spacing w:after="0" w:line="240" w:lineRule="auto"/>
              <w:rPr>
                <w:rFonts w:eastAsia="Times New Roman" w:cs="Times New Roman"/>
                <w:szCs w:val="22"/>
                <w:lang w:eastAsia="en-AU"/>
              </w:rPr>
            </w:pPr>
            <w:r>
              <w:rPr>
                <w:rFonts w:eastAsia="Times New Roman" w:cs="Times New Roman"/>
                <w:szCs w:val="22"/>
                <w:lang w:eastAsia="en-AU"/>
              </w:rPr>
              <w:t>Brea</w:t>
            </w:r>
            <w:r w:rsidR="001B0D12" w:rsidRPr="007511D6">
              <w:rPr>
                <w:rFonts w:eastAsia="Times New Roman" w:cs="Times New Roman"/>
                <w:szCs w:val="22"/>
                <w:lang w:eastAsia="en-AU"/>
              </w:rPr>
              <w:t xml:space="preserve">kthrough Victoria </w:t>
            </w:r>
          </w:p>
        </w:tc>
      </w:tr>
      <w:tr w:rsidR="006D78DD" w:rsidRPr="000263D7" w14:paraId="50478D3E" w14:textId="77777777" w:rsidTr="005F5E02">
        <w:trPr>
          <w:trHeight w:val="300"/>
        </w:trPr>
        <w:tc>
          <w:tcPr>
            <w:tcW w:w="1198" w:type="dxa"/>
            <w:tcBorders>
              <w:top w:val="nil"/>
              <w:left w:val="nil"/>
              <w:bottom w:val="nil"/>
              <w:right w:val="nil"/>
            </w:tcBorders>
            <w:noWrap/>
            <w:vAlign w:val="center"/>
            <w:hideMark/>
          </w:tcPr>
          <w:p w14:paraId="00686F22" w14:textId="77777777" w:rsidR="006D78DD" w:rsidRPr="007511D6" w:rsidRDefault="006D78DD">
            <w:pPr>
              <w:spacing w:after="0" w:line="240" w:lineRule="auto"/>
              <w:rPr>
                <w:rFonts w:eastAsia="Times New Roman" w:cs="Times New Roman"/>
                <w:color w:val="000000"/>
                <w:szCs w:val="22"/>
                <w:lang w:eastAsia="en-AU"/>
              </w:rPr>
            </w:pPr>
          </w:p>
        </w:tc>
        <w:tc>
          <w:tcPr>
            <w:tcW w:w="8158" w:type="dxa"/>
            <w:tcBorders>
              <w:top w:val="nil"/>
              <w:left w:val="nil"/>
              <w:bottom w:val="nil"/>
              <w:right w:val="nil"/>
            </w:tcBorders>
            <w:noWrap/>
            <w:vAlign w:val="center"/>
            <w:hideMark/>
          </w:tcPr>
          <w:p w14:paraId="417C153D" w14:textId="77777777" w:rsidR="006D78DD" w:rsidRPr="007511D6" w:rsidRDefault="006D78DD">
            <w:pPr>
              <w:spacing w:after="0" w:line="240" w:lineRule="auto"/>
              <w:rPr>
                <w:rFonts w:eastAsia="Times New Roman" w:cs="Times New Roman"/>
                <w:szCs w:val="22"/>
                <w:lang w:eastAsia="en-AU"/>
              </w:rPr>
            </w:pPr>
          </w:p>
        </w:tc>
      </w:tr>
      <w:tr w:rsidR="00EE1575" w:rsidRPr="000263D7" w14:paraId="046C288F" w14:textId="77777777" w:rsidTr="005F5E02">
        <w:trPr>
          <w:trHeight w:val="300"/>
        </w:trPr>
        <w:tc>
          <w:tcPr>
            <w:tcW w:w="1198" w:type="dxa"/>
            <w:tcBorders>
              <w:top w:val="nil"/>
              <w:left w:val="nil"/>
              <w:bottom w:val="nil"/>
              <w:right w:val="nil"/>
            </w:tcBorders>
            <w:noWrap/>
            <w:vAlign w:val="center"/>
          </w:tcPr>
          <w:p w14:paraId="7BCB1832" w14:textId="4913D0F0" w:rsidR="00EE1575" w:rsidRPr="007511D6" w:rsidRDefault="00EE1575">
            <w:pPr>
              <w:spacing w:after="0" w:line="240" w:lineRule="auto"/>
              <w:rPr>
                <w:rFonts w:eastAsia="Times New Roman" w:cs="Times New Roman"/>
                <w:b/>
                <w:szCs w:val="22"/>
                <w:lang w:eastAsia="en-AU"/>
              </w:rPr>
            </w:pPr>
            <w:r>
              <w:rPr>
                <w:rFonts w:eastAsia="Times New Roman" w:cs="Times New Roman"/>
                <w:b/>
                <w:szCs w:val="22"/>
                <w:lang w:eastAsia="en-AU"/>
              </w:rPr>
              <w:t>CEO</w:t>
            </w:r>
          </w:p>
        </w:tc>
        <w:tc>
          <w:tcPr>
            <w:tcW w:w="8158" w:type="dxa"/>
            <w:tcBorders>
              <w:top w:val="nil"/>
              <w:left w:val="nil"/>
              <w:bottom w:val="nil"/>
              <w:right w:val="nil"/>
            </w:tcBorders>
            <w:noWrap/>
            <w:vAlign w:val="center"/>
          </w:tcPr>
          <w:p w14:paraId="396C2249" w14:textId="31A02EFD" w:rsidR="00EE1575" w:rsidRPr="007511D6" w:rsidRDefault="00EE1575">
            <w:pPr>
              <w:spacing w:after="0" w:line="240" w:lineRule="auto"/>
              <w:rPr>
                <w:rFonts w:eastAsia="Times New Roman" w:cs="Times New Roman"/>
                <w:szCs w:val="22"/>
                <w:lang w:eastAsia="en-AU"/>
              </w:rPr>
            </w:pPr>
            <w:r>
              <w:rPr>
                <w:rFonts w:eastAsia="Aptos" w:cs="Aptos"/>
                <w:color w:val="000000" w:themeColor="text1"/>
                <w:szCs w:val="22"/>
              </w:rPr>
              <w:t>Chief Executive Officer</w:t>
            </w:r>
          </w:p>
        </w:tc>
      </w:tr>
      <w:tr w:rsidR="006D78DD" w:rsidRPr="000263D7" w14:paraId="0FF4818E" w14:textId="77777777" w:rsidTr="005F5E02">
        <w:trPr>
          <w:trHeight w:val="300"/>
        </w:trPr>
        <w:tc>
          <w:tcPr>
            <w:tcW w:w="1198" w:type="dxa"/>
            <w:tcBorders>
              <w:top w:val="nil"/>
              <w:left w:val="nil"/>
              <w:bottom w:val="nil"/>
              <w:right w:val="nil"/>
            </w:tcBorders>
            <w:noWrap/>
            <w:vAlign w:val="center"/>
            <w:hideMark/>
          </w:tcPr>
          <w:p w14:paraId="640261B5"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CGC</w:t>
            </w:r>
          </w:p>
        </w:tc>
        <w:tc>
          <w:tcPr>
            <w:tcW w:w="8158" w:type="dxa"/>
            <w:tcBorders>
              <w:top w:val="nil"/>
              <w:left w:val="nil"/>
              <w:bottom w:val="nil"/>
              <w:right w:val="nil"/>
            </w:tcBorders>
            <w:noWrap/>
            <w:vAlign w:val="center"/>
            <w:hideMark/>
          </w:tcPr>
          <w:p w14:paraId="4A6B42F5"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Commonwealth Grants Commission </w:t>
            </w:r>
          </w:p>
        </w:tc>
      </w:tr>
      <w:tr w:rsidR="006D78DD" w:rsidRPr="000263D7" w14:paraId="297DD8AD" w14:textId="77777777" w:rsidTr="005F5E02">
        <w:trPr>
          <w:trHeight w:val="300"/>
        </w:trPr>
        <w:tc>
          <w:tcPr>
            <w:tcW w:w="1198" w:type="dxa"/>
            <w:tcBorders>
              <w:top w:val="nil"/>
              <w:left w:val="nil"/>
              <w:bottom w:val="nil"/>
              <w:right w:val="nil"/>
            </w:tcBorders>
            <w:noWrap/>
            <w:vAlign w:val="center"/>
            <w:hideMark/>
          </w:tcPr>
          <w:p w14:paraId="321AE22E"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CMA</w:t>
            </w:r>
          </w:p>
        </w:tc>
        <w:tc>
          <w:tcPr>
            <w:tcW w:w="8158" w:type="dxa"/>
            <w:tcBorders>
              <w:top w:val="nil"/>
              <w:left w:val="nil"/>
              <w:bottom w:val="nil"/>
              <w:right w:val="nil"/>
            </w:tcBorders>
            <w:noWrap/>
            <w:vAlign w:val="center"/>
            <w:hideMark/>
          </w:tcPr>
          <w:p w14:paraId="4C63BE06"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Catchment Management Authority </w:t>
            </w:r>
          </w:p>
        </w:tc>
      </w:tr>
      <w:tr w:rsidR="006D78DD" w:rsidRPr="000263D7" w14:paraId="7DC75531" w14:textId="77777777" w:rsidTr="005F5E02">
        <w:trPr>
          <w:trHeight w:val="300"/>
        </w:trPr>
        <w:tc>
          <w:tcPr>
            <w:tcW w:w="1198" w:type="dxa"/>
            <w:tcBorders>
              <w:top w:val="nil"/>
              <w:left w:val="nil"/>
              <w:bottom w:val="nil"/>
              <w:right w:val="nil"/>
            </w:tcBorders>
            <w:noWrap/>
            <w:vAlign w:val="center"/>
            <w:hideMark/>
          </w:tcPr>
          <w:p w14:paraId="484076A9"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CSBA</w:t>
            </w:r>
          </w:p>
        </w:tc>
        <w:tc>
          <w:tcPr>
            <w:tcW w:w="8158" w:type="dxa"/>
            <w:tcBorders>
              <w:top w:val="nil"/>
              <w:left w:val="nil"/>
              <w:bottom w:val="nil"/>
              <w:right w:val="nil"/>
            </w:tcBorders>
            <w:noWrap/>
            <w:vAlign w:val="center"/>
            <w:hideMark/>
          </w:tcPr>
          <w:p w14:paraId="6C150756"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Community Safety Building Authority</w:t>
            </w:r>
          </w:p>
        </w:tc>
      </w:tr>
      <w:tr w:rsidR="006D78DD" w:rsidRPr="000263D7" w14:paraId="7E6B9325" w14:textId="77777777" w:rsidTr="005F5E02">
        <w:trPr>
          <w:trHeight w:val="300"/>
        </w:trPr>
        <w:tc>
          <w:tcPr>
            <w:tcW w:w="1198" w:type="dxa"/>
            <w:tcBorders>
              <w:top w:val="nil"/>
              <w:left w:val="nil"/>
              <w:bottom w:val="nil"/>
              <w:right w:val="nil"/>
            </w:tcBorders>
            <w:noWrap/>
            <w:vAlign w:val="center"/>
            <w:hideMark/>
          </w:tcPr>
          <w:p w14:paraId="631C28D1"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CSO</w:t>
            </w:r>
          </w:p>
        </w:tc>
        <w:tc>
          <w:tcPr>
            <w:tcW w:w="8158" w:type="dxa"/>
            <w:tcBorders>
              <w:top w:val="nil"/>
              <w:left w:val="nil"/>
              <w:bottom w:val="nil"/>
              <w:right w:val="nil"/>
            </w:tcBorders>
            <w:noWrap/>
            <w:vAlign w:val="center"/>
            <w:hideMark/>
          </w:tcPr>
          <w:p w14:paraId="4A56C90B"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Community Service Organisation</w:t>
            </w:r>
          </w:p>
        </w:tc>
      </w:tr>
      <w:tr w:rsidR="006D78DD" w:rsidRPr="000263D7" w14:paraId="4862BA74" w14:textId="77777777" w:rsidTr="005F5E02">
        <w:trPr>
          <w:trHeight w:val="300"/>
        </w:trPr>
        <w:tc>
          <w:tcPr>
            <w:tcW w:w="1198" w:type="dxa"/>
            <w:tcBorders>
              <w:top w:val="nil"/>
              <w:left w:val="nil"/>
              <w:bottom w:val="nil"/>
              <w:right w:val="nil"/>
            </w:tcBorders>
            <w:noWrap/>
            <w:vAlign w:val="center"/>
            <w:hideMark/>
          </w:tcPr>
          <w:p w14:paraId="7FF8DEB6"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CSV</w:t>
            </w:r>
          </w:p>
        </w:tc>
        <w:tc>
          <w:tcPr>
            <w:tcW w:w="8158" w:type="dxa"/>
            <w:tcBorders>
              <w:top w:val="nil"/>
              <w:left w:val="nil"/>
              <w:bottom w:val="nil"/>
              <w:right w:val="nil"/>
            </w:tcBorders>
            <w:noWrap/>
            <w:vAlign w:val="center"/>
            <w:hideMark/>
          </w:tcPr>
          <w:p w14:paraId="0984D818"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Court Services Victoria </w:t>
            </w:r>
          </w:p>
        </w:tc>
      </w:tr>
      <w:tr w:rsidR="006D78DD" w:rsidRPr="000263D7" w14:paraId="49D76638" w14:textId="77777777" w:rsidTr="005F5E02">
        <w:trPr>
          <w:trHeight w:val="300"/>
        </w:trPr>
        <w:tc>
          <w:tcPr>
            <w:tcW w:w="1198" w:type="dxa"/>
            <w:tcBorders>
              <w:top w:val="nil"/>
              <w:left w:val="nil"/>
              <w:bottom w:val="nil"/>
              <w:right w:val="nil"/>
            </w:tcBorders>
            <w:noWrap/>
            <w:vAlign w:val="center"/>
            <w:hideMark/>
          </w:tcPr>
          <w:p w14:paraId="0E97D4A7" w14:textId="77777777" w:rsidR="006D78DD" w:rsidRPr="007511D6" w:rsidRDefault="006D78DD">
            <w:pPr>
              <w:spacing w:after="0" w:line="240" w:lineRule="auto"/>
              <w:rPr>
                <w:rFonts w:eastAsia="Times New Roman" w:cs="Times New Roman"/>
                <w:color w:val="000000"/>
                <w:szCs w:val="22"/>
                <w:lang w:eastAsia="en-AU"/>
              </w:rPr>
            </w:pPr>
          </w:p>
        </w:tc>
        <w:tc>
          <w:tcPr>
            <w:tcW w:w="8158" w:type="dxa"/>
            <w:tcBorders>
              <w:top w:val="nil"/>
              <w:left w:val="nil"/>
              <w:bottom w:val="nil"/>
              <w:right w:val="nil"/>
            </w:tcBorders>
            <w:noWrap/>
            <w:vAlign w:val="center"/>
            <w:hideMark/>
          </w:tcPr>
          <w:p w14:paraId="71C5BC58" w14:textId="77777777" w:rsidR="006D78DD" w:rsidRPr="007511D6" w:rsidRDefault="006D78DD">
            <w:pPr>
              <w:spacing w:after="0" w:line="240" w:lineRule="auto"/>
              <w:rPr>
                <w:rFonts w:eastAsia="Times New Roman" w:cs="Times New Roman"/>
                <w:szCs w:val="22"/>
                <w:lang w:eastAsia="en-AU"/>
              </w:rPr>
            </w:pPr>
          </w:p>
        </w:tc>
      </w:tr>
      <w:tr w:rsidR="006D78DD" w:rsidRPr="000263D7" w14:paraId="1EDE10D5" w14:textId="77777777" w:rsidTr="005F5E02">
        <w:trPr>
          <w:trHeight w:val="300"/>
        </w:trPr>
        <w:tc>
          <w:tcPr>
            <w:tcW w:w="1198" w:type="dxa"/>
            <w:tcBorders>
              <w:top w:val="nil"/>
              <w:left w:val="nil"/>
              <w:bottom w:val="nil"/>
              <w:right w:val="nil"/>
            </w:tcBorders>
            <w:noWrap/>
            <w:vAlign w:val="center"/>
            <w:hideMark/>
          </w:tcPr>
          <w:p w14:paraId="67793BB2"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DCAF</w:t>
            </w:r>
          </w:p>
        </w:tc>
        <w:tc>
          <w:tcPr>
            <w:tcW w:w="8158" w:type="dxa"/>
            <w:tcBorders>
              <w:top w:val="nil"/>
              <w:left w:val="nil"/>
              <w:bottom w:val="nil"/>
              <w:right w:val="nil"/>
            </w:tcBorders>
            <w:noWrap/>
            <w:vAlign w:val="center"/>
            <w:hideMark/>
          </w:tcPr>
          <w:p w14:paraId="30F41533" w14:textId="7D33F799" w:rsidR="006D78DD" w:rsidRPr="007511D6" w:rsidRDefault="006D78DD">
            <w:pPr>
              <w:spacing w:after="0" w:line="240" w:lineRule="auto"/>
              <w:rPr>
                <w:rFonts w:eastAsia="Times New Roman" w:cs="Times New Roman"/>
                <w:color w:val="000000"/>
                <w:szCs w:val="22"/>
                <w:lang w:eastAsia="en-AU"/>
              </w:rPr>
            </w:pPr>
            <w:proofErr w:type="spellStart"/>
            <w:r w:rsidRPr="007511D6">
              <w:rPr>
                <w:rFonts w:eastAsia="Times New Roman" w:cs="Times New Roman"/>
                <w:szCs w:val="22"/>
                <w:lang w:eastAsia="en-AU"/>
              </w:rPr>
              <w:t>DisabilityCare</w:t>
            </w:r>
            <w:proofErr w:type="spellEnd"/>
            <w:r w:rsidRPr="007511D6">
              <w:rPr>
                <w:rFonts w:eastAsia="Times New Roman" w:cs="Times New Roman"/>
                <w:szCs w:val="22"/>
                <w:lang w:eastAsia="en-AU"/>
              </w:rPr>
              <w:t xml:space="preserve"> Australia Fund </w:t>
            </w:r>
          </w:p>
        </w:tc>
      </w:tr>
      <w:tr w:rsidR="006D78DD" w:rsidRPr="000263D7" w14:paraId="3BAA811A" w14:textId="77777777" w:rsidTr="005F5E02">
        <w:trPr>
          <w:trHeight w:val="300"/>
        </w:trPr>
        <w:tc>
          <w:tcPr>
            <w:tcW w:w="1198" w:type="dxa"/>
            <w:tcBorders>
              <w:top w:val="nil"/>
              <w:left w:val="nil"/>
              <w:bottom w:val="nil"/>
              <w:right w:val="nil"/>
            </w:tcBorders>
            <w:noWrap/>
            <w:vAlign w:val="center"/>
            <w:hideMark/>
          </w:tcPr>
          <w:p w14:paraId="483883E9" w14:textId="77777777" w:rsidR="006D78DD" w:rsidRPr="007511D6" w:rsidRDefault="006D78DD">
            <w:pPr>
              <w:spacing w:after="0" w:line="240" w:lineRule="auto"/>
              <w:rPr>
                <w:rFonts w:eastAsia="Times New Roman" w:cs="Times New Roman"/>
                <w:b/>
                <w:color w:val="000000"/>
                <w:szCs w:val="22"/>
                <w:lang w:eastAsia="en-AU"/>
              </w:rPr>
            </w:pPr>
            <w:proofErr w:type="spellStart"/>
            <w:r w:rsidRPr="007511D6">
              <w:rPr>
                <w:rFonts w:eastAsia="Times New Roman" w:cs="Times New Roman"/>
                <w:b/>
                <w:szCs w:val="22"/>
                <w:lang w:eastAsia="en-AU"/>
              </w:rPr>
              <w:t>DiSS</w:t>
            </w:r>
            <w:proofErr w:type="spellEnd"/>
          </w:p>
        </w:tc>
        <w:tc>
          <w:tcPr>
            <w:tcW w:w="8158" w:type="dxa"/>
            <w:tcBorders>
              <w:top w:val="nil"/>
              <w:left w:val="nil"/>
              <w:bottom w:val="nil"/>
              <w:right w:val="nil"/>
            </w:tcBorders>
            <w:noWrap/>
            <w:vAlign w:val="center"/>
            <w:hideMark/>
          </w:tcPr>
          <w:p w14:paraId="3B2954E4"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Doctors in Secondary Schools </w:t>
            </w:r>
          </w:p>
        </w:tc>
      </w:tr>
      <w:tr w:rsidR="006D78DD" w:rsidRPr="000263D7" w14:paraId="171CDA77" w14:textId="77777777" w:rsidTr="005F5E02">
        <w:trPr>
          <w:trHeight w:val="300"/>
        </w:trPr>
        <w:tc>
          <w:tcPr>
            <w:tcW w:w="1198" w:type="dxa"/>
            <w:tcBorders>
              <w:top w:val="nil"/>
              <w:left w:val="nil"/>
              <w:bottom w:val="nil"/>
              <w:right w:val="nil"/>
            </w:tcBorders>
            <w:noWrap/>
            <w:vAlign w:val="center"/>
            <w:hideMark/>
          </w:tcPr>
          <w:p w14:paraId="172786DC" w14:textId="77777777" w:rsidR="006D78DD" w:rsidRPr="007511D6" w:rsidRDefault="006D78DD">
            <w:pPr>
              <w:spacing w:after="0" w:line="240" w:lineRule="auto"/>
              <w:rPr>
                <w:rFonts w:eastAsia="Times New Roman" w:cs="Times New Roman"/>
                <w:color w:val="000000"/>
                <w:szCs w:val="22"/>
                <w:lang w:eastAsia="en-AU"/>
              </w:rPr>
            </w:pPr>
          </w:p>
        </w:tc>
        <w:tc>
          <w:tcPr>
            <w:tcW w:w="8158" w:type="dxa"/>
            <w:tcBorders>
              <w:top w:val="nil"/>
              <w:left w:val="nil"/>
              <w:bottom w:val="nil"/>
              <w:right w:val="nil"/>
            </w:tcBorders>
            <w:noWrap/>
            <w:vAlign w:val="center"/>
            <w:hideMark/>
          </w:tcPr>
          <w:p w14:paraId="626D532D" w14:textId="77777777" w:rsidR="006D78DD" w:rsidRPr="007511D6" w:rsidRDefault="006D78DD">
            <w:pPr>
              <w:spacing w:after="0" w:line="240" w:lineRule="auto"/>
              <w:rPr>
                <w:rFonts w:eastAsia="Times New Roman" w:cs="Times New Roman"/>
                <w:szCs w:val="22"/>
                <w:lang w:eastAsia="en-AU"/>
              </w:rPr>
            </w:pPr>
          </w:p>
        </w:tc>
      </w:tr>
      <w:tr w:rsidR="006D78DD" w:rsidRPr="000263D7" w14:paraId="442C8158" w14:textId="77777777" w:rsidTr="005F5E02">
        <w:trPr>
          <w:trHeight w:val="300"/>
        </w:trPr>
        <w:tc>
          <w:tcPr>
            <w:tcW w:w="1198" w:type="dxa"/>
            <w:tcBorders>
              <w:top w:val="nil"/>
              <w:left w:val="nil"/>
              <w:bottom w:val="nil"/>
              <w:right w:val="nil"/>
            </w:tcBorders>
            <w:noWrap/>
            <w:vAlign w:val="center"/>
            <w:hideMark/>
          </w:tcPr>
          <w:p w14:paraId="48F5B709" w14:textId="77777777" w:rsidR="006D78DD" w:rsidRPr="007511D6" w:rsidRDefault="006D78DD">
            <w:pPr>
              <w:spacing w:after="0" w:line="240" w:lineRule="auto"/>
              <w:rPr>
                <w:rFonts w:eastAsia="Times New Roman" w:cs="Times New Roman"/>
                <w:szCs w:val="22"/>
                <w:lang w:eastAsia="en-AU"/>
              </w:rPr>
            </w:pPr>
          </w:p>
        </w:tc>
        <w:tc>
          <w:tcPr>
            <w:tcW w:w="8158" w:type="dxa"/>
            <w:tcBorders>
              <w:top w:val="nil"/>
              <w:left w:val="nil"/>
              <w:bottom w:val="nil"/>
              <w:right w:val="nil"/>
            </w:tcBorders>
            <w:noWrap/>
            <w:vAlign w:val="center"/>
            <w:hideMark/>
          </w:tcPr>
          <w:p w14:paraId="157BA9C4"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Victorian Government Departments</w:t>
            </w:r>
          </w:p>
        </w:tc>
      </w:tr>
      <w:tr w:rsidR="006D78DD" w:rsidRPr="000263D7" w14:paraId="5E69EC4E" w14:textId="77777777" w:rsidTr="005F5E02">
        <w:trPr>
          <w:trHeight w:val="300"/>
        </w:trPr>
        <w:tc>
          <w:tcPr>
            <w:tcW w:w="1198" w:type="dxa"/>
            <w:tcBorders>
              <w:top w:val="nil"/>
              <w:left w:val="nil"/>
              <w:bottom w:val="nil"/>
              <w:right w:val="nil"/>
            </w:tcBorders>
            <w:noWrap/>
            <w:vAlign w:val="center"/>
            <w:hideMark/>
          </w:tcPr>
          <w:p w14:paraId="7A6AEF32"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DE</w:t>
            </w:r>
          </w:p>
        </w:tc>
        <w:tc>
          <w:tcPr>
            <w:tcW w:w="8158" w:type="dxa"/>
            <w:tcBorders>
              <w:top w:val="nil"/>
              <w:left w:val="nil"/>
              <w:bottom w:val="nil"/>
              <w:right w:val="nil"/>
            </w:tcBorders>
            <w:noWrap/>
            <w:vAlign w:val="center"/>
            <w:hideMark/>
          </w:tcPr>
          <w:p w14:paraId="73675662"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Department of Education </w:t>
            </w:r>
          </w:p>
        </w:tc>
      </w:tr>
      <w:tr w:rsidR="006D78DD" w:rsidRPr="000263D7" w14:paraId="4521F675" w14:textId="77777777" w:rsidTr="005F5E02">
        <w:trPr>
          <w:trHeight w:val="300"/>
        </w:trPr>
        <w:tc>
          <w:tcPr>
            <w:tcW w:w="1198" w:type="dxa"/>
            <w:tcBorders>
              <w:top w:val="nil"/>
              <w:left w:val="nil"/>
              <w:bottom w:val="nil"/>
              <w:right w:val="nil"/>
            </w:tcBorders>
            <w:noWrap/>
            <w:vAlign w:val="center"/>
            <w:hideMark/>
          </w:tcPr>
          <w:p w14:paraId="209B4C2C"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DEECA</w:t>
            </w:r>
          </w:p>
        </w:tc>
        <w:tc>
          <w:tcPr>
            <w:tcW w:w="8158" w:type="dxa"/>
            <w:tcBorders>
              <w:top w:val="nil"/>
              <w:left w:val="nil"/>
              <w:bottom w:val="nil"/>
              <w:right w:val="nil"/>
            </w:tcBorders>
            <w:noWrap/>
            <w:vAlign w:val="center"/>
            <w:hideMark/>
          </w:tcPr>
          <w:p w14:paraId="00C5F3AD"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Department of Energy, Environment and Climate Action </w:t>
            </w:r>
          </w:p>
        </w:tc>
      </w:tr>
      <w:tr w:rsidR="006D78DD" w:rsidRPr="000263D7" w14:paraId="55E7AD64" w14:textId="77777777" w:rsidTr="005F5E02">
        <w:trPr>
          <w:trHeight w:val="300"/>
        </w:trPr>
        <w:tc>
          <w:tcPr>
            <w:tcW w:w="1198" w:type="dxa"/>
            <w:tcBorders>
              <w:top w:val="nil"/>
              <w:left w:val="nil"/>
              <w:bottom w:val="nil"/>
              <w:right w:val="nil"/>
            </w:tcBorders>
            <w:noWrap/>
            <w:vAlign w:val="center"/>
            <w:hideMark/>
          </w:tcPr>
          <w:p w14:paraId="42F8D2B4"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DFFH</w:t>
            </w:r>
          </w:p>
        </w:tc>
        <w:tc>
          <w:tcPr>
            <w:tcW w:w="8158" w:type="dxa"/>
            <w:tcBorders>
              <w:top w:val="nil"/>
              <w:left w:val="nil"/>
              <w:bottom w:val="nil"/>
              <w:right w:val="nil"/>
            </w:tcBorders>
            <w:noWrap/>
            <w:vAlign w:val="center"/>
            <w:hideMark/>
          </w:tcPr>
          <w:p w14:paraId="5EB80D6B"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Department of Families, Fairness and Housing</w:t>
            </w:r>
          </w:p>
        </w:tc>
      </w:tr>
      <w:tr w:rsidR="006D78DD" w:rsidRPr="000263D7" w14:paraId="5EB56602" w14:textId="77777777" w:rsidTr="005F5E02">
        <w:trPr>
          <w:trHeight w:val="300"/>
        </w:trPr>
        <w:tc>
          <w:tcPr>
            <w:tcW w:w="1198" w:type="dxa"/>
            <w:tcBorders>
              <w:top w:val="nil"/>
              <w:left w:val="nil"/>
              <w:bottom w:val="nil"/>
              <w:right w:val="nil"/>
            </w:tcBorders>
            <w:noWrap/>
            <w:vAlign w:val="center"/>
            <w:hideMark/>
          </w:tcPr>
          <w:p w14:paraId="33F3C845"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DGS</w:t>
            </w:r>
          </w:p>
        </w:tc>
        <w:tc>
          <w:tcPr>
            <w:tcW w:w="8158" w:type="dxa"/>
            <w:tcBorders>
              <w:top w:val="nil"/>
              <w:left w:val="nil"/>
              <w:bottom w:val="nil"/>
              <w:right w:val="nil"/>
            </w:tcBorders>
            <w:noWrap/>
            <w:vAlign w:val="center"/>
            <w:hideMark/>
          </w:tcPr>
          <w:p w14:paraId="2A56CAF8"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Department of Government Services </w:t>
            </w:r>
          </w:p>
        </w:tc>
      </w:tr>
      <w:tr w:rsidR="006D78DD" w:rsidRPr="000263D7" w14:paraId="22A4419F" w14:textId="77777777" w:rsidTr="005F5E02">
        <w:trPr>
          <w:trHeight w:val="300"/>
        </w:trPr>
        <w:tc>
          <w:tcPr>
            <w:tcW w:w="1198" w:type="dxa"/>
            <w:tcBorders>
              <w:top w:val="nil"/>
              <w:left w:val="nil"/>
              <w:bottom w:val="nil"/>
              <w:right w:val="nil"/>
            </w:tcBorders>
            <w:noWrap/>
            <w:vAlign w:val="center"/>
            <w:hideMark/>
          </w:tcPr>
          <w:p w14:paraId="7017335D"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DH</w:t>
            </w:r>
          </w:p>
        </w:tc>
        <w:tc>
          <w:tcPr>
            <w:tcW w:w="8158" w:type="dxa"/>
            <w:tcBorders>
              <w:top w:val="nil"/>
              <w:left w:val="nil"/>
              <w:bottom w:val="nil"/>
              <w:right w:val="nil"/>
            </w:tcBorders>
            <w:noWrap/>
            <w:vAlign w:val="center"/>
            <w:hideMark/>
          </w:tcPr>
          <w:p w14:paraId="451A726B"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Department of Health </w:t>
            </w:r>
          </w:p>
        </w:tc>
      </w:tr>
      <w:tr w:rsidR="006D78DD" w:rsidRPr="000263D7" w14:paraId="39348D25" w14:textId="77777777" w:rsidTr="005F5E02">
        <w:trPr>
          <w:trHeight w:val="300"/>
        </w:trPr>
        <w:tc>
          <w:tcPr>
            <w:tcW w:w="1198" w:type="dxa"/>
            <w:tcBorders>
              <w:top w:val="nil"/>
              <w:left w:val="nil"/>
              <w:bottom w:val="nil"/>
              <w:right w:val="nil"/>
            </w:tcBorders>
            <w:noWrap/>
            <w:vAlign w:val="center"/>
            <w:hideMark/>
          </w:tcPr>
          <w:p w14:paraId="127646EF"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DJCS</w:t>
            </w:r>
          </w:p>
        </w:tc>
        <w:tc>
          <w:tcPr>
            <w:tcW w:w="8158" w:type="dxa"/>
            <w:tcBorders>
              <w:top w:val="nil"/>
              <w:left w:val="nil"/>
              <w:bottom w:val="nil"/>
              <w:right w:val="nil"/>
            </w:tcBorders>
            <w:noWrap/>
            <w:vAlign w:val="center"/>
            <w:hideMark/>
          </w:tcPr>
          <w:p w14:paraId="5E8BEDF4"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Department of Justice and Community Safety </w:t>
            </w:r>
          </w:p>
        </w:tc>
      </w:tr>
      <w:tr w:rsidR="006D78DD" w:rsidRPr="000263D7" w14:paraId="46C14F29" w14:textId="77777777" w:rsidTr="005F5E02">
        <w:trPr>
          <w:trHeight w:val="300"/>
        </w:trPr>
        <w:tc>
          <w:tcPr>
            <w:tcW w:w="1198" w:type="dxa"/>
            <w:tcBorders>
              <w:top w:val="nil"/>
              <w:left w:val="nil"/>
              <w:bottom w:val="nil"/>
              <w:right w:val="nil"/>
            </w:tcBorders>
            <w:noWrap/>
            <w:vAlign w:val="center"/>
            <w:hideMark/>
          </w:tcPr>
          <w:p w14:paraId="3017A6AC"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 xml:space="preserve">DJSIR </w:t>
            </w:r>
          </w:p>
        </w:tc>
        <w:tc>
          <w:tcPr>
            <w:tcW w:w="8158" w:type="dxa"/>
            <w:tcBorders>
              <w:top w:val="nil"/>
              <w:left w:val="nil"/>
              <w:bottom w:val="nil"/>
              <w:right w:val="nil"/>
            </w:tcBorders>
            <w:noWrap/>
            <w:vAlign w:val="center"/>
            <w:hideMark/>
          </w:tcPr>
          <w:p w14:paraId="1661F359"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Department of Jobs, Skills, Industry and Regions </w:t>
            </w:r>
          </w:p>
        </w:tc>
      </w:tr>
      <w:tr w:rsidR="006D78DD" w:rsidRPr="000263D7" w14:paraId="4523A32F" w14:textId="77777777" w:rsidTr="005F5E02">
        <w:trPr>
          <w:trHeight w:val="300"/>
        </w:trPr>
        <w:tc>
          <w:tcPr>
            <w:tcW w:w="1198" w:type="dxa"/>
            <w:tcBorders>
              <w:top w:val="nil"/>
              <w:left w:val="nil"/>
              <w:bottom w:val="nil"/>
              <w:right w:val="nil"/>
            </w:tcBorders>
            <w:noWrap/>
            <w:vAlign w:val="center"/>
            <w:hideMark/>
          </w:tcPr>
          <w:p w14:paraId="0106A9B8"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DPC</w:t>
            </w:r>
          </w:p>
        </w:tc>
        <w:tc>
          <w:tcPr>
            <w:tcW w:w="8158" w:type="dxa"/>
            <w:tcBorders>
              <w:top w:val="nil"/>
              <w:left w:val="nil"/>
              <w:bottom w:val="nil"/>
              <w:right w:val="nil"/>
            </w:tcBorders>
            <w:noWrap/>
            <w:vAlign w:val="center"/>
            <w:hideMark/>
          </w:tcPr>
          <w:p w14:paraId="77A9B8CE"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Department of Premier and Cabinet </w:t>
            </w:r>
          </w:p>
        </w:tc>
      </w:tr>
      <w:tr w:rsidR="006D78DD" w:rsidRPr="000263D7" w14:paraId="587A4C3A" w14:textId="77777777" w:rsidTr="005F5E02">
        <w:trPr>
          <w:trHeight w:val="300"/>
        </w:trPr>
        <w:tc>
          <w:tcPr>
            <w:tcW w:w="1198" w:type="dxa"/>
            <w:tcBorders>
              <w:top w:val="nil"/>
              <w:left w:val="nil"/>
              <w:bottom w:val="nil"/>
              <w:right w:val="nil"/>
            </w:tcBorders>
            <w:noWrap/>
            <w:vAlign w:val="center"/>
            <w:hideMark/>
          </w:tcPr>
          <w:p w14:paraId="03381A1E"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DTF</w:t>
            </w:r>
          </w:p>
        </w:tc>
        <w:tc>
          <w:tcPr>
            <w:tcW w:w="8158" w:type="dxa"/>
            <w:tcBorders>
              <w:top w:val="nil"/>
              <w:left w:val="nil"/>
              <w:bottom w:val="nil"/>
              <w:right w:val="nil"/>
            </w:tcBorders>
            <w:noWrap/>
            <w:vAlign w:val="center"/>
            <w:hideMark/>
          </w:tcPr>
          <w:p w14:paraId="1A4EB4C9"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Department of Treasury and Finance </w:t>
            </w:r>
          </w:p>
        </w:tc>
      </w:tr>
      <w:tr w:rsidR="006D78DD" w:rsidRPr="000263D7" w14:paraId="64B45B51" w14:textId="77777777" w:rsidTr="005F5E02">
        <w:trPr>
          <w:trHeight w:val="300"/>
        </w:trPr>
        <w:tc>
          <w:tcPr>
            <w:tcW w:w="1198" w:type="dxa"/>
            <w:tcBorders>
              <w:top w:val="nil"/>
              <w:left w:val="nil"/>
              <w:bottom w:val="nil"/>
              <w:right w:val="nil"/>
            </w:tcBorders>
            <w:noWrap/>
            <w:vAlign w:val="center"/>
            <w:hideMark/>
          </w:tcPr>
          <w:p w14:paraId="66CB294E"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DTP</w:t>
            </w:r>
          </w:p>
        </w:tc>
        <w:tc>
          <w:tcPr>
            <w:tcW w:w="8158" w:type="dxa"/>
            <w:tcBorders>
              <w:top w:val="nil"/>
              <w:left w:val="nil"/>
              <w:bottom w:val="nil"/>
              <w:right w:val="nil"/>
            </w:tcBorders>
            <w:noWrap/>
            <w:vAlign w:val="center"/>
            <w:hideMark/>
          </w:tcPr>
          <w:p w14:paraId="1AFC862E"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Department of Transport and Planning </w:t>
            </w:r>
          </w:p>
        </w:tc>
      </w:tr>
      <w:tr w:rsidR="006D78DD" w:rsidRPr="000263D7" w14:paraId="602873CB" w14:textId="77777777" w:rsidTr="005F5E02">
        <w:trPr>
          <w:trHeight w:val="300"/>
        </w:trPr>
        <w:tc>
          <w:tcPr>
            <w:tcW w:w="1198" w:type="dxa"/>
            <w:tcBorders>
              <w:top w:val="nil"/>
              <w:left w:val="nil"/>
              <w:bottom w:val="nil"/>
              <w:right w:val="nil"/>
            </w:tcBorders>
            <w:noWrap/>
            <w:vAlign w:val="center"/>
            <w:hideMark/>
          </w:tcPr>
          <w:p w14:paraId="76200CA3" w14:textId="77777777" w:rsidR="006D78DD" w:rsidRPr="007511D6" w:rsidRDefault="006D78DD">
            <w:pPr>
              <w:spacing w:after="0" w:line="240" w:lineRule="auto"/>
              <w:rPr>
                <w:rFonts w:eastAsia="Times New Roman" w:cs="Times New Roman"/>
                <w:color w:val="000000"/>
                <w:szCs w:val="22"/>
                <w:lang w:eastAsia="en-AU"/>
              </w:rPr>
            </w:pPr>
          </w:p>
        </w:tc>
        <w:tc>
          <w:tcPr>
            <w:tcW w:w="8158" w:type="dxa"/>
            <w:tcBorders>
              <w:top w:val="nil"/>
              <w:left w:val="nil"/>
              <w:bottom w:val="nil"/>
              <w:right w:val="nil"/>
            </w:tcBorders>
            <w:noWrap/>
            <w:vAlign w:val="center"/>
            <w:hideMark/>
          </w:tcPr>
          <w:p w14:paraId="4691BDBA" w14:textId="77777777" w:rsidR="006D78DD" w:rsidRPr="007511D6" w:rsidRDefault="006D78DD">
            <w:pPr>
              <w:spacing w:after="0" w:line="240" w:lineRule="auto"/>
              <w:rPr>
                <w:rFonts w:eastAsia="Times New Roman" w:cs="Times New Roman"/>
                <w:szCs w:val="22"/>
                <w:lang w:eastAsia="en-AU"/>
              </w:rPr>
            </w:pPr>
          </w:p>
        </w:tc>
      </w:tr>
      <w:tr w:rsidR="006D78DD" w:rsidRPr="000263D7" w14:paraId="37151856" w14:textId="77777777" w:rsidTr="005F5E02">
        <w:trPr>
          <w:trHeight w:val="300"/>
        </w:trPr>
        <w:tc>
          <w:tcPr>
            <w:tcW w:w="1198" w:type="dxa"/>
            <w:tcBorders>
              <w:top w:val="nil"/>
              <w:left w:val="nil"/>
              <w:bottom w:val="nil"/>
              <w:right w:val="nil"/>
            </w:tcBorders>
            <w:noWrap/>
            <w:vAlign w:val="center"/>
            <w:hideMark/>
          </w:tcPr>
          <w:p w14:paraId="3C481307"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EAL</w:t>
            </w:r>
          </w:p>
        </w:tc>
        <w:tc>
          <w:tcPr>
            <w:tcW w:w="8158" w:type="dxa"/>
            <w:tcBorders>
              <w:top w:val="nil"/>
              <w:left w:val="nil"/>
              <w:bottom w:val="nil"/>
              <w:right w:val="nil"/>
            </w:tcBorders>
            <w:noWrap/>
            <w:vAlign w:val="center"/>
            <w:hideMark/>
          </w:tcPr>
          <w:p w14:paraId="340ECE82"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English as an Additional Language </w:t>
            </w:r>
          </w:p>
        </w:tc>
      </w:tr>
      <w:tr w:rsidR="006D78DD" w:rsidRPr="000263D7" w14:paraId="05B9083F" w14:textId="77777777" w:rsidTr="005F5E02">
        <w:trPr>
          <w:trHeight w:val="300"/>
        </w:trPr>
        <w:tc>
          <w:tcPr>
            <w:tcW w:w="1198" w:type="dxa"/>
            <w:tcBorders>
              <w:top w:val="nil"/>
              <w:left w:val="nil"/>
              <w:bottom w:val="nil"/>
              <w:right w:val="nil"/>
            </w:tcBorders>
            <w:noWrap/>
            <w:vAlign w:val="center"/>
            <w:hideMark/>
          </w:tcPr>
          <w:p w14:paraId="3F535D2E"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ECE</w:t>
            </w:r>
          </w:p>
        </w:tc>
        <w:tc>
          <w:tcPr>
            <w:tcW w:w="8158" w:type="dxa"/>
            <w:tcBorders>
              <w:top w:val="nil"/>
              <w:left w:val="nil"/>
              <w:bottom w:val="nil"/>
              <w:right w:val="nil"/>
            </w:tcBorders>
            <w:noWrap/>
            <w:vAlign w:val="center"/>
            <w:hideMark/>
          </w:tcPr>
          <w:p w14:paraId="7C2A818D"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Early Childhood Education </w:t>
            </w:r>
          </w:p>
        </w:tc>
      </w:tr>
      <w:tr w:rsidR="006D78DD" w:rsidRPr="000263D7" w14:paraId="56003A12" w14:textId="77777777" w:rsidTr="005F5E02">
        <w:trPr>
          <w:trHeight w:val="300"/>
        </w:trPr>
        <w:tc>
          <w:tcPr>
            <w:tcW w:w="1198" w:type="dxa"/>
            <w:tcBorders>
              <w:top w:val="nil"/>
              <w:left w:val="nil"/>
              <w:bottom w:val="nil"/>
              <w:right w:val="nil"/>
            </w:tcBorders>
            <w:noWrap/>
            <w:vAlign w:val="center"/>
            <w:hideMark/>
          </w:tcPr>
          <w:p w14:paraId="267DFC7B"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ECEC</w:t>
            </w:r>
          </w:p>
        </w:tc>
        <w:tc>
          <w:tcPr>
            <w:tcW w:w="8158" w:type="dxa"/>
            <w:tcBorders>
              <w:top w:val="nil"/>
              <w:left w:val="nil"/>
              <w:bottom w:val="nil"/>
              <w:right w:val="nil"/>
            </w:tcBorders>
            <w:noWrap/>
            <w:vAlign w:val="center"/>
            <w:hideMark/>
          </w:tcPr>
          <w:p w14:paraId="4A4BB8E0"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Early Childhood Education and Care </w:t>
            </w:r>
          </w:p>
        </w:tc>
      </w:tr>
      <w:tr w:rsidR="006D78DD" w:rsidRPr="000263D7" w14:paraId="20A84AF0" w14:textId="77777777" w:rsidTr="005F5E02">
        <w:trPr>
          <w:trHeight w:val="300"/>
        </w:trPr>
        <w:tc>
          <w:tcPr>
            <w:tcW w:w="1198" w:type="dxa"/>
            <w:tcBorders>
              <w:top w:val="nil"/>
              <w:left w:val="nil"/>
              <w:bottom w:val="nil"/>
              <w:right w:val="nil"/>
            </w:tcBorders>
            <w:noWrap/>
            <w:vAlign w:val="center"/>
            <w:hideMark/>
          </w:tcPr>
          <w:p w14:paraId="61C0B66E"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ELCC</w:t>
            </w:r>
          </w:p>
        </w:tc>
        <w:tc>
          <w:tcPr>
            <w:tcW w:w="8158" w:type="dxa"/>
            <w:tcBorders>
              <w:top w:val="nil"/>
              <w:left w:val="nil"/>
              <w:bottom w:val="nil"/>
              <w:right w:val="nil"/>
            </w:tcBorders>
            <w:noWrap/>
            <w:vAlign w:val="center"/>
            <w:hideMark/>
          </w:tcPr>
          <w:p w14:paraId="39237766"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Early Learning and Childcare Centres </w:t>
            </w:r>
          </w:p>
        </w:tc>
      </w:tr>
      <w:tr w:rsidR="006D78DD" w:rsidRPr="000263D7" w14:paraId="6025B5C5" w14:textId="77777777" w:rsidTr="005F5E02">
        <w:trPr>
          <w:trHeight w:val="300"/>
        </w:trPr>
        <w:tc>
          <w:tcPr>
            <w:tcW w:w="1198" w:type="dxa"/>
            <w:tcBorders>
              <w:top w:val="nil"/>
              <w:left w:val="nil"/>
              <w:bottom w:val="nil"/>
              <w:right w:val="nil"/>
            </w:tcBorders>
            <w:noWrap/>
            <w:vAlign w:val="center"/>
            <w:hideMark/>
          </w:tcPr>
          <w:p w14:paraId="734FAC94"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EMV</w:t>
            </w:r>
          </w:p>
        </w:tc>
        <w:tc>
          <w:tcPr>
            <w:tcW w:w="8158" w:type="dxa"/>
            <w:tcBorders>
              <w:top w:val="nil"/>
              <w:left w:val="nil"/>
              <w:bottom w:val="nil"/>
              <w:right w:val="nil"/>
            </w:tcBorders>
            <w:noWrap/>
            <w:vAlign w:val="center"/>
            <w:hideMark/>
          </w:tcPr>
          <w:p w14:paraId="529CB056"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Emergency Management Victoria </w:t>
            </w:r>
          </w:p>
        </w:tc>
      </w:tr>
      <w:tr w:rsidR="006D78DD" w:rsidRPr="000263D7" w14:paraId="49055C88" w14:textId="77777777" w:rsidTr="005F5E02">
        <w:trPr>
          <w:trHeight w:val="300"/>
        </w:trPr>
        <w:tc>
          <w:tcPr>
            <w:tcW w:w="1198" w:type="dxa"/>
            <w:tcBorders>
              <w:top w:val="nil"/>
              <w:left w:val="nil"/>
              <w:bottom w:val="nil"/>
              <w:right w:val="nil"/>
            </w:tcBorders>
            <w:noWrap/>
            <w:vAlign w:val="center"/>
            <w:hideMark/>
          </w:tcPr>
          <w:p w14:paraId="21BB414D"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EPA</w:t>
            </w:r>
          </w:p>
        </w:tc>
        <w:tc>
          <w:tcPr>
            <w:tcW w:w="8158" w:type="dxa"/>
            <w:tcBorders>
              <w:top w:val="nil"/>
              <w:left w:val="nil"/>
              <w:bottom w:val="nil"/>
              <w:right w:val="nil"/>
            </w:tcBorders>
            <w:noWrap/>
            <w:vAlign w:val="center"/>
            <w:hideMark/>
          </w:tcPr>
          <w:p w14:paraId="27C4EEAE"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Environment Protection Authority</w:t>
            </w:r>
          </w:p>
        </w:tc>
      </w:tr>
      <w:tr w:rsidR="006D78DD" w:rsidRPr="000263D7" w14:paraId="1972115E" w14:textId="77777777" w:rsidTr="005F5E02">
        <w:trPr>
          <w:trHeight w:val="300"/>
        </w:trPr>
        <w:tc>
          <w:tcPr>
            <w:tcW w:w="1198" w:type="dxa"/>
            <w:tcBorders>
              <w:top w:val="nil"/>
              <w:left w:val="nil"/>
              <w:bottom w:val="nil"/>
              <w:right w:val="nil"/>
            </w:tcBorders>
            <w:noWrap/>
            <w:vAlign w:val="center"/>
            <w:hideMark/>
          </w:tcPr>
          <w:p w14:paraId="6DBBA6A5"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ERV</w:t>
            </w:r>
          </w:p>
        </w:tc>
        <w:tc>
          <w:tcPr>
            <w:tcW w:w="8158" w:type="dxa"/>
            <w:tcBorders>
              <w:top w:val="nil"/>
              <w:left w:val="nil"/>
              <w:bottom w:val="nil"/>
              <w:right w:val="nil"/>
            </w:tcBorders>
            <w:noWrap/>
            <w:vAlign w:val="center"/>
            <w:hideMark/>
          </w:tcPr>
          <w:p w14:paraId="52F4EE98"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Emergency Recovery Victoria </w:t>
            </w:r>
          </w:p>
        </w:tc>
      </w:tr>
      <w:tr w:rsidR="006D78DD" w:rsidRPr="000263D7" w14:paraId="3220977C" w14:textId="77777777" w:rsidTr="005F5E02">
        <w:trPr>
          <w:trHeight w:val="300"/>
        </w:trPr>
        <w:tc>
          <w:tcPr>
            <w:tcW w:w="1198" w:type="dxa"/>
            <w:tcBorders>
              <w:top w:val="nil"/>
              <w:left w:val="nil"/>
              <w:bottom w:val="nil"/>
              <w:right w:val="nil"/>
            </w:tcBorders>
            <w:noWrap/>
            <w:vAlign w:val="center"/>
            <w:hideMark/>
          </w:tcPr>
          <w:p w14:paraId="4810F5F3" w14:textId="77777777" w:rsidR="006D78DD" w:rsidRPr="007511D6" w:rsidRDefault="006D78DD">
            <w:pPr>
              <w:spacing w:after="0" w:line="240" w:lineRule="auto"/>
              <w:rPr>
                <w:rFonts w:eastAsia="Times New Roman" w:cs="Times New Roman"/>
                <w:color w:val="000000"/>
                <w:szCs w:val="22"/>
                <w:lang w:eastAsia="en-AU"/>
              </w:rPr>
            </w:pPr>
          </w:p>
        </w:tc>
        <w:tc>
          <w:tcPr>
            <w:tcW w:w="8158" w:type="dxa"/>
            <w:tcBorders>
              <w:top w:val="nil"/>
              <w:left w:val="nil"/>
              <w:bottom w:val="nil"/>
              <w:right w:val="nil"/>
            </w:tcBorders>
            <w:noWrap/>
            <w:vAlign w:val="center"/>
            <w:hideMark/>
          </w:tcPr>
          <w:p w14:paraId="4DB84AF6" w14:textId="77777777" w:rsidR="006D78DD" w:rsidRPr="007511D6" w:rsidRDefault="006D78DD">
            <w:pPr>
              <w:spacing w:after="0" w:line="240" w:lineRule="auto"/>
              <w:rPr>
                <w:rFonts w:eastAsia="Times New Roman" w:cs="Times New Roman"/>
                <w:szCs w:val="22"/>
                <w:lang w:eastAsia="en-AU"/>
              </w:rPr>
            </w:pPr>
          </w:p>
        </w:tc>
      </w:tr>
      <w:tr w:rsidR="00A43F67" w:rsidRPr="000263D7" w14:paraId="1CE5C33B" w14:textId="77777777" w:rsidTr="005F5E02">
        <w:trPr>
          <w:trHeight w:val="300"/>
        </w:trPr>
        <w:tc>
          <w:tcPr>
            <w:tcW w:w="1198" w:type="dxa"/>
            <w:tcBorders>
              <w:top w:val="nil"/>
              <w:left w:val="nil"/>
              <w:bottom w:val="nil"/>
              <w:right w:val="nil"/>
            </w:tcBorders>
            <w:noWrap/>
            <w:vAlign w:val="center"/>
          </w:tcPr>
          <w:p w14:paraId="5CA706A6" w14:textId="12CB2296" w:rsidR="00A43F67" w:rsidRPr="007511D6" w:rsidRDefault="00A43F67">
            <w:pPr>
              <w:spacing w:after="0" w:line="240" w:lineRule="auto"/>
              <w:rPr>
                <w:rFonts w:eastAsia="Times New Roman" w:cs="Times New Roman"/>
                <w:b/>
                <w:szCs w:val="22"/>
                <w:lang w:eastAsia="en-AU"/>
              </w:rPr>
            </w:pPr>
            <w:r>
              <w:rPr>
                <w:rFonts w:eastAsia="Times New Roman" w:cs="Times New Roman"/>
                <w:b/>
                <w:szCs w:val="22"/>
                <w:lang w:eastAsia="en-AU"/>
              </w:rPr>
              <w:t>FMA</w:t>
            </w:r>
          </w:p>
        </w:tc>
        <w:tc>
          <w:tcPr>
            <w:tcW w:w="8158" w:type="dxa"/>
            <w:tcBorders>
              <w:top w:val="nil"/>
              <w:left w:val="nil"/>
              <w:bottom w:val="nil"/>
              <w:right w:val="nil"/>
            </w:tcBorders>
            <w:noWrap/>
            <w:vAlign w:val="center"/>
          </w:tcPr>
          <w:p w14:paraId="0EB6FBC7" w14:textId="6E91EEAA" w:rsidR="00A43F67" w:rsidRPr="007511D6" w:rsidRDefault="00492E42">
            <w:pPr>
              <w:spacing w:after="0" w:line="240" w:lineRule="auto"/>
              <w:rPr>
                <w:rFonts w:eastAsia="Times New Roman" w:cs="Times New Roman"/>
                <w:szCs w:val="22"/>
                <w:lang w:eastAsia="en-AU"/>
              </w:rPr>
            </w:pPr>
            <w:r>
              <w:rPr>
                <w:rFonts w:eastAsia="Times New Roman" w:cs="Times New Roman"/>
                <w:szCs w:val="22"/>
                <w:lang w:eastAsia="en-AU"/>
              </w:rPr>
              <w:t>Financial Management Act 1994</w:t>
            </w:r>
          </w:p>
        </w:tc>
      </w:tr>
      <w:tr w:rsidR="006D78DD" w:rsidRPr="000263D7" w14:paraId="3F556CF9" w14:textId="77777777" w:rsidTr="005F5E02">
        <w:trPr>
          <w:trHeight w:val="300"/>
        </w:trPr>
        <w:tc>
          <w:tcPr>
            <w:tcW w:w="1198" w:type="dxa"/>
            <w:tcBorders>
              <w:top w:val="nil"/>
              <w:left w:val="nil"/>
              <w:bottom w:val="nil"/>
              <w:right w:val="nil"/>
            </w:tcBorders>
            <w:noWrap/>
            <w:vAlign w:val="center"/>
            <w:hideMark/>
          </w:tcPr>
          <w:p w14:paraId="27603AE7"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lastRenderedPageBreak/>
              <w:t>FTE</w:t>
            </w:r>
          </w:p>
        </w:tc>
        <w:tc>
          <w:tcPr>
            <w:tcW w:w="8158" w:type="dxa"/>
            <w:tcBorders>
              <w:top w:val="nil"/>
              <w:left w:val="nil"/>
              <w:bottom w:val="nil"/>
              <w:right w:val="nil"/>
            </w:tcBorders>
            <w:noWrap/>
            <w:vAlign w:val="center"/>
            <w:hideMark/>
          </w:tcPr>
          <w:p w14:paraId="31C07501"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Full-time equivalent </w:t>
            </w:r>
          </w:p>
        </w:tc>
      </w:tr>
      <w:tr w:rsidR="006D78DD" w:rsidRPr="000263D7" w14:paraId="5328CADE" w14:textId="77777777" w:rsidTr="005F5E02">
        <w:trPr>
          <w:trHeight w:val="300"/>
        </w:trPr>
        <w:tc>
          <w:tcPr>
            <w:tcW w:w="1198" w:type="dxa"/>
            <w:tcBorders>
              <w:top w:val="nil"/>
              <w:left w:val="nil"/>
              <w:bottom w:val="nil"/>
              <w:right w:val="nil"/>
            </w:tcBorders>
            <w:noWrap/>
            <w:vAlign w:val="center"/>
            <w:hideMark/>
          </w:tcPr>
          <w:p w14:paraId="4B425C7B" w14:textId="77777777" w:rsidR="006D78DD" w:rsidRPr="007511D6" w:rsidRDefault="006D78DD">
            <w:pPr>
              <w:spacing w:after="0" w:line="240" w:lineRule="auto"/>
              <w:rPr>
                <w:rFonts w:eastAsia="Times New Roman" w:cs="Times New Roman"/>
                <w:color w:val="000000"/>
                <w:szCs w:val="22"/>
                <w:lang w:eastAsia="en-AU"/>
              </w:rPr>
            </w:pPr>
          </w:p>
        </w:tc>
        <w:tc>
          <w:tcPr>
            <w:tcW w:w="8158" w:type="dxa"/>
            <w:tcBorders>
              <w:top w:val="nil"/>
              <w:left w:val="nil"/>
              <w:bottom w:val="nil"/>
              <w:right w:val="nil"/>
            </w:tcBorders>
            <w:noWrap/>
            <w:vAlign w:val="center"/>
            <w:hideMark/>
          </w:tcPr>
          <w:p w14:paraId="4BE2B439" w14:textId="77777777" w:rsidR="006D78DD" w:rsidRPr="007511D6" w:rsidRDefault="006D78DD">
            <w:pPr>
              <w:spacing w:after="0" w:line="240" w:lineRule="auto"/>
              <w:rPr>
                <w:rFonts w:eastAsia="Times New Roman" w:cs="Times New Roman"/>
                <w:szCs w:val="22"/>
                <w:lang w:eastAsia="en-AU"/>
              </w:rPr>
            </w:pPr>
          </w:p>
        </w:tc>
      </w:tr>
      <w:tr w:rsidR="006D78DD" w:rsidRPr="000263D7" w14:paraId="14483CA0" w14:textId="77777777" w:rsidTr="005F5E02">
        <w:trPr>
          <w:trHeight w:val="300"/>
        </w:trPr>
        <w:tc>
          <w:tcPr>
            <w:tcW w:w="1198" w:type="dxa"/>
            <w:tcBorders>
              <w:top w:val="nil"/>
              <w:left w:val="nil"/>
              <w:bottom w:val="nil"/>
              <w:right w:val="nil"/>
            </w:tcBorders>
            <w:noWrap/>
            <w:vAlign w:val="center"/>
            <w:hideMark/>
          </w:tcPr>
          <w:p w14:paraId="5EFB9085"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GED</w:t>
            </w:r>
          </w:p>
        </w:tc>
        <w:tc>
          <w:tcPr>
            <w:tcW w:w="8158" w:type="dxa"/>
            <w:tcBorders>
              <w:top w:val="nil"/>
              <w:left w:val="nil"/>
              <w:bottom w:val="nil"/>
              <w:right w:val="nil"/>
            </w:tcBorders>
            <w:noWrap/>
            <w:vAlign w:val="center"/>
            <w:hideMark/>
          </w:tcPr>
          <w:p w14:paraId="73E43167"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General Efficiency Dividend </w:t>
            </w:r>
          </w:p>
        </w:tc>
      </w:tr>
      <w:tr w:rsidR="006D78DD" w:rsidRPr="000263D7" w14:paraId="04460C9A" w14:textId="77777777" w:rsidTr="005F5E02">
        <w:trPr>
          <w:trHeight w:val="300"/>
        </w:trPr>
        <w:tc>
          <w:tcPr>
            <w:tcW w:w="1198" w:type="dxa"/>
            <w:tcBorders>
              <w:top w:val="nil"/>
              <w:left w:val="nil"/>
              <w:bottom w:val="nil"/>
              <w:right w:val="nil"/>
            </w:tcBorders>
            <w:noWrap/>
            <w:vAlign w:val="center"/>
            <w:hideMark/>
          </w:tcPr>
          <w:p w14:paraId="324A7182"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GII</w:t>
            </w:r>
          </w:p>
        </w:tc>
        <w:tc>
          <w:tcPr>
            <w:tcW w:w="8158" w:type="dxa"/>
            <w:tcBorders>
              <w:top w:val="nil"/>
              <w:left w:val="nil"/>
              <w:bottom w:val="nil"/>
              <w:right w:val="nil"/>
            </w:tcBorders>
            <w:noWrap/>
            <w:vAlign w:val="center"/>
            <w:hideMark/>
          </w:tcPr>
          <w:p w14:paraId="6CF16895"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Government Infrastructure Investment </w:t>
            </w:r>
          </w:p>
        </w:tc>
      </w:tr>
      <w:tr w:rsidR="006D78DD" w:rsidRPr="000263D7" w14:paraId="4169D092" w14:textId="77777777" w:rsidTr="005F5E02">
        <w:trPr>
          <w:trHeight w:val="300"/>
        </w:trPr>
        <w:tc>
          <w:tcPr>
            <w:tcW w:w="1198" w:type="dxa"/>
            <w:tcBorders>
              <w:top w:val="nil"/>
              <w:left w:val="nil"/>
              <w:bottom w:val="nil"/>
              <w:right w:val="nil"/>
            </w:tcBorders>
            <w:noWrap/>
            <w:vAlign w:val="center"/>
            <w:hideMark/>
          </w:tcPr>
          <w:p w14:paraId="0E5E15CA"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GSP</w:t>
            </w:r>
          </w:p>
        </w:tc>
        <w:tc>
          <w:tcPr>
            <w:tcW w:w="8158" w:type="dxa"/>
            <w:tcBorders>
              <w:top w:val="nil"/>
              <w:left w:val="nil"/>
              <w:bottom w:val="nil"/>
              <w:right w:val="nil"/>
            </w:tcBorders>
            <w:noWrap/>
            <w:vAlign w:val="center"/>
            <w:hideMark/>
          </w:tcPr>
          <w:p w14:paraId="4A768F71"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Gross State Product</w:t>
            </w:r>
          </w:p>
        </w:tc>
      </w:tr>
      <w:tr w:rsidR="006D78DD" w:rsidRPr="000263D7" w14:paraId="533A7F04" w14:textId="77777777" w:rsidTr="005F5E02">
        <w:trPr>
          <w:trHeight w:val="300"/>
        </w:trPr>
        <w:tc>
          <w:tcPr>
            <w:tcW w:w="1198" w:type="dxa"/>
            <w:tcBorders>
              <w:top w:val="nil"/>
              <w:left w:val="nil"/>
              <w:bottom w:val="nil"/>
              <w:right w:val="nil"/>
            </w:tcBorders>
            <w:noWrap/>
            <w:vAlign w:val="center"/>
            <w:hideMark/>
          </w:tcPr>
          <w:p w14:paraId="137347CF"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GST</w:t>
            </w:r>
          </w:p>
        </w:tc>
        <w:tc>
          <w:tcPr>
            <w:tcW w:w="8158" w:type="dxa"/>
            <w:tcBorders>
              <w:top w:val="nil"/>
              <w:left w:val="nil"/>
              <w:bottom w:val="nil"/>
              <w:right w:val="nil"/>
            </w:tcBorders>
            <w:noWrap/>
            <w:vAlign w:val="center"/>
            <w:hideMark/>
          </w:tcPr>
          <w:p w14:paraId="489690B6" w14:textId="052C639E"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Goods and Service</w:t>
            </w:r>
            <w:r w:rsidR="00995500">
              <w:rPr>
                <w:rFonts w:eastAsia="Times New Roman" w:cs="Times New Roman"/>
                <w:szCs w:val="22"/>
                <w:lang w:eastAsia="en-AU"/>
              </w:rPr>
              <w:t>s</w:t>
            </w:r>
            <w:r w:rsidRPr="007511D6">
              <w:rPr>
                <w:rFonts w:eastAsia="Times New Roman" w:cs="Times New Roman"/>
                <w:szCs w:val="22"/>
                <w:lang w:eastAsia="en-AU"/>
              </w:rPr>
              <w:t xml:space="preserve"> Tax</w:t>
            </w:r>
          </w:p>
        </w:tc>
      </w:tr>
      <w:tr w:rsidR="006D78DD" w:rsidRPr="000263D7" w14:paraId="77A2CC23" w14:textId="77777777" w:rsidTr="005F5E02">
        <w:trPr>
          <w:trHeight w:val="300"/>
        </w:trPr>
        <w:tc>
          <w:tcPr>
            <w:tcW w:w="1198" w:type="dxa"/>
            <w:tcBorders>
              <w:top w:val="nil"/>
              <w:left w:val="nil"/>
              <w:bottom w:val="nil"/>
              <w:right w:val="nil"/>
            </w:tcBorders>
            <w:noWrap/>
            <w:vAlign w:val="center"/>
            <w:hideMark/>
          </w:tcPr>
          <w:p w14:paraId="0627A1AF" w14:textId="77777777" w:rsidR="006D78DD" w:rsidRPr="007511D6" w:rsidRDefault="006D78DD">
            <w:pPr>
              <w:spacing w:after="0" w:line="240" w:lineRule="auto"/>
              <w:rPr>
                <w:rFonts w:eastAsia="Times New Roman" w:cs="Times New Roman"/>
                <w:color w:val="000000"/>
                <w:szCs w:val="22"/>
                <w:lang w:eastAsia="en-AU"/>
              </w:rPr>
            </w:pPr>
          </w:p>
        </w:tc>
        <w:tc>
          <w:tcPr>
            <w:tcW w:w="8158" w:type="dxa"/>
            <w:tcBorders>
              <w:top w:val="nil"/>
              <w:left w:val="nil"/>
              <w:bottom w:val="nil"/>
              <w:right w:val="nil"/>
            </w:tcBorders>
            <w:noWrap/>
            <w:vAlign w:val="center"/>
            <w:hideMark/>
          </w:tcPr>
          <w:p w14:paraId="39727943" w14:textId="77777777" w:rsidR="006D78DD" w:rsidRPr="007511D6" w:rsidRDefault="006D78DD">
            <w:pPr>
              <w:spacing w:after="0" w:line="240" w:lineRule="auto"/>
              <w:rPr>
                <w:rFonts w:eastAsia="Times New Roman" w:cs="Times New Roman"/>
                <w:szCs w:val="22"/>
                <w:lang w:eastAsia="en-AU"/>
              </w:rPr>
            </w:pPr>
          </w:p>
        </w:tc>
      </w:tr>
      <w:tr w:rsidR="006D78DD" w:rsidRPr="000263D7" w14:paraId="5112E637" w14:textId="77777777" w:rsidTr="005F5E02">
        <w:trPr>
          <w:trHeight w:val="300"/>
        </w:trPr>
        <w:tc>
          <w:tcPr>
            <w:tcW w:w="1198" w:type="dxa"/>
            <w:tcBorders>
              <w:top w:val="nil"/>
              <w:left w:val="nil"/>
              <w:bottom w:val="nil"/>
              <w:right w:val="nil"/>
            </w:tcBorders>
            <w:noWrap/>
            <w:vAlign w:val="center"/>
            <w:hideMark/>
          </w:tcPr>
          <w:p w14:paraId="3B7E61E3"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HFE</w:t>
            </w:r>
          </w:p>
        </w:tc>
        <w:tc>
          <w:tcPr>
            <w:tcW w:w="8158" w:type="dxa"/>
            <w:tcBorders>
              <w:top w:val="nil"/>
              <w:left w:val="nil"/>
              <w:bottom w:val="nil"/>
              <w:right w:val="nil"/>
            </w:tcBorders>
            <w:noWrap/>
            <w:vAlign w:val="center"/>
            <w:hideMark/>
          </w:tcPr>
          <w:p w14:paraId="7A7E0F03"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Horizontal Fiscal Equalisation </w:t>
            </w:r>
          </w:p>
        </w:tc>
      </w:tr>
      <w:tr w:rsidR="006D78DD" w:rsidRPr="000263D7" w14:paraId="5C87D6A4" w14:textId="77777777" w:rsidTr="005F5E02">
        <w:trPr>
          <w:trHeight w:val="300"/>
        </w:trPr>
        <w:tc>
          <w:tcPr>
            <w:tcW w:w="1198" w:type="dxa"/>
            <w:tcBorders>
              <w:top w:val="nil"/>
              <w:left w:val="nil"/>
              <w:bottom w:val="nil"/>
              <w:right w:val="nil"/>
            </w:tcBorders>
            <w:noWrap/>
            <w:vAlign w:val="center"/>
            <w:hideMark/>
          </w:tcPr>
          <w:p w14:paraId="5D16BD32"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HR</w:t>
            </w:r>
          </w:p>
        </w:tc>
        <w:tc>
          <w:tcPr>
            <w:tcW w:w="8158" w:type="dxa"/>
            <w:tcBorders>
              <w:top w:val="nil"/>
              <w:left w:val="nil"/>
              <w:bottom w:val="nil"/>
              <w:right w:val="nil"/>
            </w:tcBorders>
            <w:noWrap/>
            <w:vAlign w:val="center"/>
            <w:hideMark/>
          </w:tcPr>
          <w:p w14:paraId="4C65129C"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Human Resources</w:t>
            </w:r>
          </w:p>
        </w:tc>
      </w:tr>
      <w:tr w:rsidR="006D78DD" w:rsidRPr="000263D7" w14:paraId="70773B3A" w14:textId="77777777" w:rsidTr="005F5E02">
        <w:trPr>
          <w:trHeight w:val="300"/>
        </w:trPr>
        <w:tc>
          <w:tcPr>
            <w:tcW w:w="1198" w:type="dxa"/>
            <w:tcBorders>
              <w:top w:val="nil"/>
              <w:left w:val="nil"/>
              <w:bottom w:val="nil"/>
              <w:right w:val="nil"/>
            </w:tcBorders>
            <w:noWrap/>
            <w:vAlign w:val="center"/>
            <w:hideMark/>
          </w:tcPr>
          <w:p w14:paraId="624247F7"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HSV</w:t>
            </w:r>
          </w:p>
        </w:tc>
        <w:tc>
          <w:tcPr>
            <w:tcW w:w="8158" w:type="dxa"/>
            <w:tcBorders>
              <w:top w:val="nil"/>
              <w:left w:val="nil"/>
              <w:bottom w:val="nil"/>
              <w:right w:val="nil"/>
            </w:tcBorders>
            <w:noWrap/>
            <w:vAlign w:val="center"/>
            <w:hideMark/>
          </w:tcPr>
          <w:p w14:paraId="23CFA846" w14:textId="77777777" w:rsidR="006D78DD" w:rsidRPr="007511D6" w:rsidRDefault="006D78DD">
            <w:pPr>
              <w:spacing w:after="0" w:line="240" w:lineRule="auto"/>
              <w:rPr>
                <w:rFonts w:eastAsia="Times New Roman" w:cs="Times New Roman"/>
                <w:color w:val="000000"/>
                <w:szCs w:val="22"/>
                <w:lang w:eastAsia="en-AU"/>
              </w:rPr>
            </w:pPr>
            <w:proofErr w:type="spellStart"/>
            <w:r w:rsidRPr="00B71CE7">
              <w:rPr>
                <w:rFonts w:eastAsia="Times New Roman" w:cs="Times New Roman"/>
                <w:szCs w:val="22"/>
                <w:lang w:eastAsia="en-AU"/>
              </w:rPr>
              <w:t>HealthShare</w:t>
            </w:r>
            <w:proofErr w:type="spellEnd"/>
            <w:r w:rsidRPr="00B71CE7">
              <w:rPr>
                <w:rFonts w:eastAsia="Times New Roman" w:cs="Times New Roman"/>
                <w:szCs w:val="22"/>
                <w:lang w:eastAsia="en-AU"/>
              </w:rPr>
              <w:t xml:space="preserve"> Victoria</w:t>
            </w:r>
            <w:r w:rsidRPr="007511D6">
              <w:rPr>
                <w:rFonts w:eastAsia="Times New Roman" w:cs="Times New Roman"/>
                <w:szCs w:val="22"/>
                <w:lang w:eastAsia="en-AU"/>
              </w:rPr>
              <w:t xml:space="preserve"> </w:t>
            </w:r>
          </w:p>
        </w:tc>
      </w:tr>
      <w:tr w:rsidR="006D78DD" w:rsidRPr="000263D7" w14:paraId="5A6F2E49" w14:textId="77777777" w:rsidTr="005F5E02">
        <w:trPr>
          <w:trHeight w:val="300"/>
        </w:trPr>
        <w:tc>
          <w:tcPr>
            <w:tcW w:w="1198" w:type="dxa"/>
            <w:tcBorders>
              <w:top w:val="nil"/>
              <w:left w:val="nil"/>
              <w:bottom w:val="nil"/>
              <w:right w:val="nil"/>
            </w:tcBorders>
            <w:noWrap/>
            <w:vAlign w:val="center"/>
            <w:hideMark/>
          </w:tcPr>
          <w:p w14:paraId="292809F2" w14:textId="77777777" w:rsidR="006D78DD" w:rsidRPr="007511D6" w:rsidRDefault="006D78DD">
            <w:pPr>
              <w:spacing w:after="0" w:line="240" w:lineRule="auto"/>
              <w:rPr>
                <w:rFonts w:eastAsia="Times New Roman" w:cs="Times New Roman"/>
                <w:color w:val="000000"/>
                <w:szCs w:val="22"/>
                <w:lang w:eastAsia="en-AU"/>
              </w:rPr>
            </w:pPr>
          </w:p>
        </w:tc>
        <w:tc>
          <w:tcPr>
            <w:tcW w:w="8158" w:type="dxa"/>
            <w:tcBorders>
              <w:top w:val="nil"/>
              <w:left w:val="nil"/>
              <w:bottom w:val="nil"/>
              <w:right w:val="nil"/>
            </w:tcBorders>
            <w:noWrap/>
            <w:vAlign w:val="center"/>
            <w:hideMark/>
          </w:tcPr>
          <w:p w14:paraId="001255B8" w14:textId="77777777" w:rsidR="006D78DD" w:rsidRPr="007511D6" w:rsidRDefault="006D78DD">
            <w:pPr>
              <w:spacing w:after="0" w:line="240" w:lineRule="auto"/>
              <w:rPr>
                <w:rFonts w:eastAsia="Times New Roman" w:cs="Times New Roman"/>
                <w:szCs w:val="22"/>
                <w:lang w:eastAsia="en-AU"/>
              </w:rPr>
            </w:pPr>
          </w:p>
        </w:tc>
      </w:tr>
      <w:tr w:rsidR="006D78DD" w:rsidRPr="000263D7" w14:paraId="666B5B85" w14:textId="77777777" w:rsidTr="005F5E02">
        <w:trPr>
          <w:trHeight w:val="300"/>
        </w:trPr>
        <w:tc>
          <w:tcPr>
            <w:tcW w:w="1198" w:type="dxa"/>
            <w:tcBorders>
              <w:top w:val="nil"/>
              <w:left w:val="nil"/>
              <w:bottom w:val="nil"/>
              <w:right w:val="nil"/>
            </w:tcBorders>
            <w:noWrap/>
            <w:vAlign w:val="center"/>
            <w:hideMark/>
          </w:tcPr>
          <w:p w14:paraId="764F9A6F"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ICT </w:t>
            </w:r>
          </w:p>
        </w:tc>
        <w:tc>
          <w:tcPr>
            <w:tcW w:w="8158" w:type="dxa"/>
            <w:tcBorders>
              <w:top w:val="nil"/>
              <w:left w:val="nil"/>
              <w:bottom w:val="nil"/>
              <w:right w:val="nil"/>
            </w:tcBorders>
            <w:noWrap/>
            <w:vAlign w:val="center"/>
            <w:hideMark/>
          </w:tcPr>
          <w:p w14:paraId="66E47BB9"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Information and Communication Technology </w:t>
            </w:r>
          </w:p>
        </w:tc>
      </w:tr>
      <w:tr w:rsidR="006D78DD" w:rsidRPr="000263D7" w14:paraId="29C186F0" w14:textId="77777777" w:rsidTr="005F5E02">
        <w:trPr>
          <w:trHeight w:val="300"/>
        </w:trPr>
        <w:tc>
          <w:tcPr>
            <w:tcW w:w="1198" w:type="dxa"/>
            <w:tcBorders>
              <w:top w:val="nil"/>
              <w:left w:val="nil"/>
              <w:bottom w:val="nil"/>
              <w:right w:val="nil"/>
            </w:tcBorders>
            <w:noWrap/>
            <w:vAlign w:val="center"/>
            <w:hideMark/>
          </w:tcPr>
          <w:p w14:paraId="1A9617F5" w14:textId="77777777" w:rsidR="006D78DD" w:rsidRPr="007511D6" w:rsidRDefault="006D78DD">
            <w:pPr>
              <w:spacing w:after="0" w:line="240" w:lineRule="auto"/>
              <w:rPr>
                <w:rFonts w:eastAsia="Times New Roman" w:cs="Times New Roman"/>
                <w:color w:val="000000"/>
                <w:szCs w:val="22"/>
                <w:lang w:eastAsia="en-AU"/>
              </w:rPr>
            </w:pPr>
          </w:p>
        </w:tc>
        <w:tc>
          <w:tcPr>
            <w:tcW w:w="8158" w:type="dxa"/>
            <w:tcBorders>
              <w:top w:val="nil"/>
              <w:left w:val="nil"/>
              <w:bottom w:val="nil"/>
              <w:right w:val="nil"/>
            </w:tcBorders>
            <w:noWrap/>
            <w:vAlign w:val="center"/>
            <w:hideMark/>
          </w:tcPr>
          <w:p w14:paraId="0B21C64F" w14:textId="77777777" w:rsidR="006D78DD" w:rsidRPr="007511D6" w:rsidRDefault="006D78DD">
            <w:pPr>
              <w:spacing w:after="0" w:line="240" w:lineRule="auto"/>
              <w:rPr>
                <w:rFonts w:eastAsia="Times New Roman" w:cs="Times New Roman"/>
                <w:szCs w:val="22"/>
                <w:lang w:eastAsia="en-AU"/>
              </w:rPr>
            </w:pPr>
          </w:p>
        </w:tc>
      </w:tr>
      <w:tr w:rsidR="006D78DD" w:rsidRPr="000263D7" w14:paraId="7FA8746C" w14:textId="77777777" w:rsidTr="005F5E02">
        <w:trPr>
          <w:trHeight w:val="300"/>
        </w:trPr>
        <w:tc>
          <w:tcPr>
            <w:tcW w:w="1198" w:type="dxa"/>
            <w:tcBorders>
              <w:top w:val="nil"/>
              <w:left w:val="nil"/>
              <w:bottom w:val="nil"/>
              <w:right w:val="nil"/>
            </w:tcBorders>
            <w:noWrap/>
            <w:vAlign w:val="center"/>
            <w:hideMark/>
          </w:tcPr>
          <w:p w14:paraId="00626E8C"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LLEN</w:t>
            </w:r>
          </w:p>
        </w:tc>
        <w:tc>
          <w:tcPr>
            <w:tcW w:w="8158" w:type="dxa"/>
            <w:tcBorders>
              <w:top w:val="nil"/>
              <w:left w:val="nil"/>
              <w:bottom w:val="nil"/>
              <w:right w:val="nil"/>
            </w:tcBorders>
            <w:noWrap/>
            <w:vAlign w:val="center"/>
            <w:hideMark/>
          </w:tcPr>
          <w:p w14:paraId="5B379DAA"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Local Learning and Employment Networks </w:t>
            </w:r>
          </w:p>
        </w:tc>
      </w:tr>
      <w:tr w:rsidR="006D78DD" w:rsidRPr="000263D7" w14:paraId="28849E27" w14:textId="77777777" w:rsidTr="005F5E02">
        <w:trPr>
          <w:trHeight w:val="300"/>
        </w:trPr>
        <w:tc>
          <w:tcPr>
            <w:tcW w:w="1198" w:type="dxa"/>
            <w:tcBorders>
              <w:top w:val="nil"/>
              <w:left w:val="nil"/>
              <w:bottom w:val="nil"/>
              <w:right w:val="nil"/>
            </w:tcBorders>
            <w:noWrap/>
            <w:vAlign w:val="center"/>
            <w:hideMark/>
          </w:tcPr>
          <w:p w14:paraId="7C875083" w14:textId="65F941AD"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LGBTIQ</w:t>
            </w:r>
            <w:r w:rsidR="0065568F">
              <w:rPr>
                <w:rFonts w:eastAsia="Times New Roman" w:cs="Times New Roman"/>
                <w:b/>
                <w:szCs w:val="22"/>
                <w:lang w:eastAsia="en-AU"/>
              </w:rPr>
              <w:t>A</w:t>
            </w:r>
            <w:r w:rsidRPr="007511D6">
              <w:rPr>
                <w:rFonts w:eastAsia="Times New Roman" w:cs="Times New Roman"/>
                <w:b/>
                <w:szCs w:val="22"/>
                <w:lang w:eastAsia="en-AU"/>
              </w:rPr>
              <w:t>+</w:t>
            </w:r>
          </w:p>
        </w:tc>
        <w:tc>
          <w:tcPr>
            <w:tcW w:w="8158" w:type="dxa"/>
            <w:tcBorders>
              <w:top w:val="nil"/>
              <w:left w:val="nil"/>
              <w:bottom w:val="nil"/>
              <w:right w:val="nil"/>
            </w:tcBorders>
            <w:noWrap/>
            <w:vAlign w:val="center"/>
            <w:hideMark/>
          </w:tcPr>
          <w:p w14:paraId="6E28A667" w14:textId="7134672A"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Lesbian, Gay, Bisexual, Transgender, Intersex, Queer</w:t>
            </w:r>
            <w:r w:rsidR="00F3095A" w:rsidRPr="00F3095A">
              <w:rPr>
                <w:rFonts w:eastAsia="Times New Roman" w:cs="Times New Roman"/>
                <w:szCs w:val="22"/>
                <w:lang w:eastAsia="en-AU"/>
              </w:rPr>
              <w:t xml:space="preserve">/Questioning, </w:t>
            </w:r>
            <w:r w:rsidRPr="007511D6">
              <w:rPr>
                <w:rFonts w:eastAsia="Times New Roman" w:cs="Times New Roman"/>
                <w:szCs w:val="22"/>
                <w:lang w:eastAsia="en-AU"/>
              </w:rPr>
              <w:t xml:space="preserve">Asexual </w:t>
            </w:r>
            <w:r w:rsidR="00F3095A" w:rsidRPr="00F3095A">
              <w:rPr>
                <w:rFonts w:eastAsia="Times New Roman" w:cs="Times New Roman"/>
                <w:szCs w:val="22"/>
                <w:lang w:eastAsia="en-AU"/>
              </w:rPr>
              <w:t>and other diverse sexualities and genders</w:t>
            </w:r>
          </w:p>
        </w:tc>
      </w:tr>
      <w:tr w:rsidR="00D91DF8" w:rsidRPr="000263D7" w14:paraId="701A3770" w14:textId="77777777" w:rsidTr="005F5E02">
        <w:trPr>
          <w:trHeight w:val="300"/>
        </w:trPr>
        <w:tc>
          <w:tcPr>
            <w:tcW w:w="1198" w:type="dxa"/>
            <w:tcBorders>
              <w:top w:val="nil"/>
              <w:left w:val="nil"/>
              <w:bottom w:val="nil"/>
              <w:right w:val="nil"/>
            </w:tcBorders>
            <w:noWrap/>
            <w:vAlign w:val="center"/>
          </w:tcPr>
          <w:p w14:paraId="1B3AC45E" w14:textId="77777777" w:rsidR="00D91DF8" w:rsidRPr="007511D6" w:rsidRDefault="00D91DF8">
            <w:pPr>
              <w:spacing w:after="0" w:line="240" w:lineRule="auto"/>
              <w:rPr>
                <w:rFonts w:eastAsia="Times New Roman" w:cs="Times New Roman"/>
                <w:b/>
                <w:szCs w:val="22"/>
                <w:lang w:eastAsia="en-AU"/>
              </w:rPr>
            </w:pPr>
          </w:p>
        </w:tc>
        <w:tc>
          <w:tcPr>
            <w:tcW w:w="8158" w:type="dxa"/>
            <w:tcBorders>
              <w:top w:val="nil"/>
              <w:left w:val="nil"/>
              <w:bottom w:val="nil"/>
              <w:right w:val="nil"/>
            </w:tcBorders>
            <w:noWrap/>
            <w:vAlign w:val="center"/>
          </w:tcPr>
          <w:p w14:paraId="388C0EA2" w14:textId="77777777" w:rsidR="00D91DF8" w:rsidRPr="007511D6" w:rsidRDefault="00D91DF8">
            <w:pPr>
              <w:spacing w:after="0" w:line="240" w:lineRule="auto"/>
              <w:rPr>
                <w:rFonts w:eastAsia="Times New Roman" w:cs="Times New Roman"/>
                <w:szCs w:val="22"/>
                <w:lang w:eastAsia="en-AU"/>
              </w:rPr>
            </w:pPr>
          </w:p>
        </w:tc>
      </w:tr>
      <w:tr w:rsidR="006D78DD" w:rsidRPr="000263D7" w14:paraId="4B41BB3E" w14:textId="77777777" w:rsidTr="005F5E02">
        <w:trPr>
          <w:trHeight w:val="300"/>
        </w:trPr>
        <w:tc>
          <w:tcPr>
            <w:tcW w:w="1198" w:type="dxa"/>
            <w:tcBorders>
              <w:top w:val="nil"/>
              <w:left w:val="nil"/>
              <w:bottom w:val="nil"/>
              <w:right w:val="nil"/>
            </w:tcBorders>
            <w:noWrap/>
            <w:vAlign w:val="center"/>
            <w:hideMark/>
          </w:tcPr>
          <w:p w14:paraId="2BC926BC"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MP</w:t>
            </w:r>
          </w:p>
        </w:tc>
        <w:tc>
          <w:tcPr>
            <w:tcW w:w="8158" w:type="dxa"/>
            <w:tcBorders>
              <w:top w:val="nil"/>
              <w:left w:val="nil"/>
              <w:bottom w:val="nil"/>
              <w:right w:val="nil"/>
            </w:tcBorders>
            <w:noWrap/>
            <w:vAlign w:val="center"/>
            <w:hideMark/>
          </w:tcPr>
          <w:p w14:paraId="5EDFD02A"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Member of Parliament </w:t>
            </w:r>
          </w:p>
        </w:tc>
      </w:tr>
      <w:tr w:rsidR="00D91DF8" w:rsidRPr="000263D7" w14:paraId="57172FEF" w14:textId="77777777" w:rsidTr="005F5E02">
        <w:trPr>
          <w:trHeight w:val="300"/>
        </w:trPr>
        <w:tc>
          <w:tcPr>
            <w:tcW w:w="1198" w:type="dxa"/>
            <w:tcBorders>
              <w:top w:val="nil"/>
              <w:left w:val="nil"/>
              <w:bottom w:val="nil"/>
              <w:right w:val="nil"/>
            </w:tcBorders>
            <w:noWrap/>
            <w:vAlign w:val="center"/>
          </w:tcPr>
          <w:p w14:paraId="0248B717" w14:textId="77777777" w:rsidR="00D91DF8" w:rsidRPr="007511D6" w:rsidRDefault="00D91DF8">
            <w:pPr>
              <w:spacing w:after="0" w:line="240" w:lineRule="auto"/>
              <w:rPr>
                <w:rFonts w:eastAsia="Times New Roman" w:cs="Times New Roman"/>
                <w:b/>
                <w:szCs w:val="22"/>
                <w:lang w:eastAsia="en-AU"/>
              </w:rPr>
            </w:pPr>
          </w:p>
        </w:tc>
        <w:tc>
          <w:tcPr>
            <w:tcW w:w="8158" w:type="dxa"/>
            <w:tcBorders>
              <w:top w:val="nil"/>
              <w:left w:val="nil"/>
              <w:bottom w:val="nil"/>
              <w:right w:val="nil"/>
            </w:tcBorders>
            <w:noWrap/>
            <w:vAlign w:val="center"/>
          </w:tcPr>
          <w:p w14:paraId="3AA495E4" w14:textId="77777777" w:rsidR="00D91DF8" w:rsidRPr="007511D6" w:rsidRDefault="00D91DF8">
            <w:pPr>
              <w:spacing w:after="0" w:line="240" w:lineRule="auto"/>
              <w:rPr>
                <w:rFonts w:eastAsia="Times New Roman" w:cs="Times New Roman"/>
                <w:szCs w:val="22"/>
                <w:lang w:eastAsia="en-AU"/>
              </w:rPr>
            </w:pPr>
          </w:p>
        </w:tc>
      </w:tr>
      <w:tr w:rsidR="006D78DD" w:rsidRPr="000263D7" w14:paraId="21FDFDB8" w14:textId="77777777" w:rsidTr="005F5E02">
        <w:trPr>
          <w:trHeight w:val="300"/>
        </w:trPr>
        <w:tc>
          <w:tcPr>
            <w:tcW w:w="1198" w:type="dxa"/>
            <w:tcBorders>
              <w:top w:val="nil"/>
              <w:left w:val="nil"/>
              <w:bottom w:val="nil"/>
              <w:right w:val="nil"/>
            </w:tcBorders>
            <w:noWrap/>
            <w:vAlign w:val="center"/>
            <w:hideMark/>
          </w:tcPr>
          <w:p w14:paraId="33B90726"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NDIS</w:t>
            </w:r>
          </w:p>
        </w:tc>
        <w:tc>
          <w:tcPr>
            <w:tcW w:w="8158" w:type="dxa"/>
            <w:tcBorders>
              <w:top w:val="nil"/>
              <w:left w:val="nil"/>
              <w:bottom w:val="nil"/>
              <w:right w:val="nil"/>
            </w:tcBorders>
            <w:noWrap/>
            <w:vAlign w:val="center"/>
            <w:hideMark/>
          </w:tcPr>
          <w:p w14:paraId="5C541D89"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National Disability Insurance Scheme </w:t>
            </w:r>
          </w:p>
        </w:tc>
      </w:tr>
      <w:tr w:rsidR="006D78DD" w:rsidRPr="000263D7" w14:paraId="5704945A" w14:textId="77777777" w:rsidTr="005F5E02">
        <w:trPr>
          <w:trHeight w:val="300"/>
        </w:trPr>
        <w:tc>
          <w:tcPr>
            <w:tcW w:w="1198" w:type="dxa"/>
            <w:tcBorders>
              <w:top w:val="nil"/>
              <w:left w:val="nil"/>
              <w:bottom w:val="nil"/>
              <w:right w:val="nil"/>
            </w:tcBorders>
            <w:noWrap/>
            <w:vAlign w:val="center"/>
            <w:hideMark/>
          </w:tcPr>
          <w:p w14:paraId="27FB335E"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NHRA</w:t>
            </w:r>
          </w:p>
        </w:tc>
        <w:tc>
          <w:tcPr>
            <w:tcW w:w="8158" w:type="dxa"/>
            <w:tcBorders>
              <w:top w:val="nil"/>
              <w:left w:val="nil"/>
              <w:bottom w:val="nil"/>
              <w:right w:val="nil"/>
            </w:tcBorders>
            <w:noWrap/>
            <w:vAlign w:val="center"/>
            <w:hideMark/>
          </w:tcPr>
          <w:p w14:paraId="6AEE677A"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National Health Reform Agreement</w:t>
            </w:r>
          </w:p>
        </w:tc>
      </w:tr>
      <w:tr w:rsidR="006D78DD" w:rsidRPr="000263D7" w14:paraId="42DA700A" w14:textId="77777777" w:rsidTr="005F5E02">
        <w:trPr>
          <w:trHeight w:val="300"/>
        </w:trPr>
        <w:tc>
          <w:tcPr>
            <w:tcW w:w="1198" w:type="dxa"/>
            <w:tcBorders>
              <w:top w:val="nil"/>
              <w:left w:val="nil"/>
              <w:bottom w:val="nil"/>
              <w:right w:val="nil"/>
            </w:tcBorders>
            <w:noWrap/>
            <w:vAlign w:val="center"/>
            <w:hideMark/>
          </w:tcPr>
          <w:p w14:paraId="2EA151BF" w14:textId="77777777" w:rsidR="006D78DD" w:rsidRPr="007511D6" w:rsidRDefault="006D78DD">
            <w:pPr>
              <w:spacing w:after="0" w:line="240" w:lineRule="auto"/>
              <w:rPr>
                <w:rFonts w:eastAsia="Times New Roman" w:cs="Times New Roman"/>
                <w:color w:val="000000"/>
                <w:szCs w:val="22"/>
                <w:lang w:eastAsia="en-AU"/>
              </w:rPr>
            </w:pPr>
          </w:p>
        </w:tc>
        <w:tc>
          <w:tcPr>
            <w:tcW w:w="8158" w:type="dxa"/>
            <w:tcBorders>
              <w:top w:val="nil"/>
              <w:left w:val="nil"/>
              <w:bottom w:val="nil"/>
              <w:right w:val="nil"/>
            </w:tcBorders>
            <w:noWrap/>
            <w:vAlign w:val="center"/>
            <w:hideMark/>
          </w:tcPr>
          <w:p w14:paraId="7DC9D417" w14:textId="77777777" w:rsidR="006D78DD" w:rsidRPr="007511D6" w:rsidRDefault="006D78DD">
            <w:pPr>
              <w:spacing w:after="0" w:line="240" w:lineRule="auto"/>
              <w:rPr>
                <w:rFonts w:eastAsia="Times New Roman" w:cs="Times New Roman"/>
                <w:szCs w:val="22"/>
                <w:lang w:eastAsia="en-AU"/>
              </w:rPr>
            </w:pPr>
          </w:p>
        </w:tc>
      </w:tr>
      <w:tr w:rsidR="006D78DD" w:rsidRPr="000263D7" w14:paraId="1DFF02C1" w14:textId="77777777" w:rsidTr="005F5E02">
        <w:trPr>
          <w:trHeight w:val="300"/>
        </w:trPr>
        <w:tc>
          <w:tcPr>
            <w:tcW w:w="1198" w:type="dxa"/>
            <w:tcBorders>
              <w:top w:val="nil"/>
              <w:left w:val="nil"/>
              <w:bottom w:val="nil"/>
              <w:right w:val="nil"/>
            </w:tcBorders>
            <w:noWrap/>
            <w:vAlign w:val="center"/>
            <w:hideMark/>
          </w:tcPr>
          <w:p w14:paraId="510908DF"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OH&amp;S</w:t>
            </w:r>
          </w:p>
        </w:tc>
        <w:tc>
          <w:tcPr>
            <w:tcW w:w="8158" w:type="dxa"/>
            <w:tcBorders>
              <w:top w:val="nil"/>
              <w:left w:val="nil"/>
              <w:bottom w:val="nil"/>
              <w:right w:val="nil"/>
            </w:tcBorders>
            <w:noWrap/>
            <w:vAlign w:val="center"/>
            <w:hideMark/>
          </w:tcPr>
          <w:p w14:paraId="62A639A9"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Occupational Health and Safety </w:t>
            </w:r>
          </w:p>
        </w:tc>
      </w:tr>
      <w:tr w:rsidR="006D78DD" w:rsidRPr="000263D7" w14:paraId="6BBA7EC5" w14:textId="77777777" w:rsidTr="005F5E02">
        <w:trPr>
          <w:trHeight w:val="300"/>
        </w:trPr>
        <w:tc>
          <w:tcPr>
            <w:tcW w:w="1198" w:type="dxa"/>
            <w:tcBorders>
              <w:top w:val="nil"/>
              <w:left w:val="nil"/>
              <w:bottom w:val="nil"/>
              <w:right w:val="nil"/>
            </w:tcBorders>
            <w:noWrap/>
            <w:vAlign w:val="center"/>
            <w:hideMark/>
          </w:tcPr>
          <w:p w14:paraId="5B197157"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OTCD</w:t>
            </w:r>
          </w:p>
        </w:tc>
        <w:tc>
          <w:tcPr>
            <w:tcW w:w="8158" w:type="dxa"/>
            <w:tcBorders>
              <w:top w:val="nil"/>
              <w:left w:val="nil"/>
              <w:bottom w:val="nil"/>
              <w:right w:val="nil"/>
            </w:tcBorders>
            <w:noWrap/>
            <w:vAlign w:val="center"/>
            <w:hideMark/>
          </w:tcPr>
          <w:p w14:paraId="7A1DFE87"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Office of TAFE Coordination and Delivery </w:t>
            </w:r>
          </w:p>
        </w:tc>
      </w:tr>
      <w:tr w:rsidR="006D78DD" w:rsidRPr="000263D7" w14:paraId="107156DF" w14:textId="77777777" w:rsidTr="005F5E02">
        <w:trPr>
          <w:trHeight w:val="300"/>
        </w:trPr>
        <w:tc>
          <w:tcPr>
            <w:tcW w:w="1198" w:type="dxa"/>
            <w:tcBorders>
              <w:top w:val="nil"/>
              <w:left w:val="nil"/>
              <w:bottom w:val="nil"/>
              <w:right w:val="nil"/>
            </w:tcBorders>
            <w:noWrap/>
            <w:vAlign w:val="center"/>
            <w:hideMark/>
          </w:tcPr>
          <w:p w14:paraId="6C9E43F9" w14:textId="77777777" w:rsidR="006D78DD" w:rsidRPr="007511D6" w:rsidRDefault="006D78DD">
            <w:pPr>
              <w:spacing w:after="0" w:line="240" w:lineRule="auto"/>
              <w:rPr>
                <w:rFonts w:eastAsia="Times New Roman" w:cs="Times New Roman"/>
                <w:color w:val="000000"/>
                <w:szCs w:val="22"/>
                <w:lang w:eastAsia="en-AU"/>
              </w:rPr>
            </w:pPr>
          </w:p>
        </w:tc>
        <w:tc>
          <w:tcPr>
            <w:tcW w:w="8158" w:type="dxa"/>
            <w:tcBorders>
              <w:top w:val="nil"/>
              <w:left w:val="nil"/>
              <w:bottom w:val="nil"/>
              <w:right w:val="nil"/>
            </w:tcBorders>
            <w:noWrap/>
            <w:vAlign w:val="center"/>
            <w:hideMark/>
          </w:tcPr>
          <w:p w14:paraId="0EA2A3C4" w14:textId="77777777" w:rsidR="006D78DD" w:rsidRPr="007511D6" w:rsidRDefault="006D78DD">
            <w:pPr>
              <w:spacing w:after="0" w:line="240" w:lineRule="auto"/>
              <w:rPr>
                <w:rFonts w:eastAsia="Times New Roman" w:cs="Times New Roman"/>
                <w:szCs w:val="22"/>
                <w:lang w:eastAsia="en-AU"/>
              </w:rPr>
            </w:pPr>
          </w:p>
        </w:tc>
      </w:tr>
      <w:tr w:rsidR="006D78DD" w:rsidRPr="000263D7" w14:paraId="50D4BFAF" w14:textId="77777777" w:rsidTr="005F5E02">
        <w:trPr>
          <w:trHeight w:val="300"/>
        </w:trPr>
        <w:tc>
          <w:tcPr>
            <w:tcW w:w="1198" w:type="dxa"/>
            <w:tcBorders>
              <w:top w:val="nil"/>
              <w:left w:val="nil"/>
              <w:bottom w:val="nil"/>
              <w:right w:val="nil"/>
            </w:tcBorders>
            <w:noWrap/>
            <w:vAlign w:val="center"/>
            <w:hideMark/>
          </w:tcPr>
          <w:p w14:paraId="671E531F"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PAEC</w:t>
            </w:r>
          </w:p>
        </w:tc>
        <w:tc>
          <w:tcPr>
            <w:tcW w:w="8158" w:type="dxa"/>
            <w:tcBorders>
              <w:top w:val="nil"/>
              <w:left w:val="nil"/>
              <w:bottom w:val="nil"/>
              <w:right w:val="nil"/>
            </w:tcBorders>
            <w:noWrap/>
            <w:vAlign w:val="center"/>
            <w:hideMark/>
          </w:tcPr>
          <w:p w14:paraId="1167A940"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Public Accounts and Estimates Committee </w:t>
            </w:r>
          </w:p>
        </w:tc>
      </w:tr>
      <w:tr w:rsidR="006D78DD" w:rsidRPr="000263D7" w14:paraId="606AB56C" w14:textId="77777777" w:rsidTr="005F5E02">
        <w:trPr>
          <w:trHeight w:val="300"/>
        </w:trPr>
        <w:tc>
          <w:tcPr>
            <w:tcW w:w="1198" w:type="dxa"/>
            <w:tcBorders>
              <w:top w:val="nil"/>
              <w:left w:val="nil"/>
              <w:bottom w:val="nil"/>
              <w:right w:val="nil"/>
            </w:tcBorders>
            <w:noWrap/>
            <w:vAlign w:val="center"/>
            <w:hideMark/>
          </w:tcPr>
          <w:p w14:paraId="0CCA88B3" w14:textId="77777777" w:rsidR="006D78DD" w:rsidRPr="007511D6" w:rsidRDefault="006D78DD">
            <w:pPr>
              <w:spacing w:after="0" w:line="240" w:lineRule="auto"/>
              <w:rPr>
                <w:rFonts w:eastAsia="Times New Roman" w:cs="Times New Roman"/>
                <w:color w:val="000000"/>
                <w:szCs w:val="22"/>
                <w:lang w:eastAsia="en-AU"/>
              </w:rPr>
            </w:pPr>
          </w:p>
        </w:tc>
        <w:tc>
          <w:tcPr>
            <w:tcW w:w="8158" w:type="dxa"/>
            <w:tcBorders>
              <w:top w:val="nil"/>
              <w:left w:val="nil"/>
              <w:bottom w:val="nil"/>
              <w:right w:val="nil"/>
            </w:tcBorders>
            <w:noWrap/>
            <w:vAlign w:val="center"/>
            <w:hideMark/>
          </w:tcPr>
          <w:p w14:paraId="50EAF2A0" w14:textId="77777777" w:rsidR="006D78DD" w:rsidRPr="007511D6" w:rsidRDefault="006D78DD">
            <w:pPr>
              <w:spacing w:after="0" w:line="240" w:lineRule="auto"/>
              <w:rPr>
                <w:rFonts w:eastAsia="Times New Roman" w:cs="Times New Roman"/>
                <w:szCs w:val="22"/>
                <w:lang w:eastAsia="en-AU"/>
              </w:rPr>
            </w:pPr>
          </w:p>
        </w:tc>
      </w:tr>
      <w:tr w:rsidR="006D78DD" w:rsidRPr="000263D7" w14:paraId="4818703D" w14:textId="77777777" w:rsidTr="005F5E02">
        <w:trPr>
          <w:trHeight w:val="300"/>
        </w:trPr>
        <w:tc>
          <w:tcPr>
            <w:tcW w:w="1198" w:type="dxa"/>
            <w:tcBorders>
              <w:top w:val="nil"/>
              <w:left w:val="nil"/>
              <w:bottom w:val="nil"/>
              <w:right w:val="nil"/>
            </w:tcBorders>
            <w:noWrap/>
            <w:vAlign w:val="center"/>
            <w:hideMark/>
          </w:tcPr>
          <w:p w14:paraId="5776D1CD"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RMF</w:t>
            </w:r>
          </w:p>
        </w:tc>
        <w:tc>
          <w:tcPr>
            <w:tcW w:w="8158" w:type="dxa"/>
            <w:tcBorders>
              <w:top w:val="nil"/>
              <w:left w:val="nil"/>
              <w:bottom w:val="nil"/>
              <w:right w:val="nil"/>
            </w:tcBorders>
            <w:noWrap/>
            <w:vAlign w:val="center"/>
            <w:hideMark/>
          </w:tcPr>
          <w:p w14:paraId="045B92B9"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Resource Management Framework</w:t>
            </w:r>
          </w:p>
        </w:tc>
      </w:tr>
      <w:tr w:rsidR="006D78DD" w:rsidRPr="000263D7" w14:paraId="45FA53A8" w14:textId="77777777" w:rsidTr="005F5E02">
        <w:trPr>
          <w:trHeight w:val="300"/>
        </w:trPr>
        <w:tc>
          <w:tcPr>
            <w:tcW w:w="1198" w:type="dxa"/>
            <w:tcBorders>
              <w:top w:val="nil"/>
              <w:left w:val="nil"/>
              <w:bottom w:val="nil"/>
              <w:right w:val="nil"/>
            </w:tcBorders>
            <w:noWrap/>
            <w:vAlign w:val="center"/>
            <w:hideMark/>
          </w:tcPr>
          <w:p w14:paraId="6C96B45E" w14:textId="77777777" w:rsidR="006D78DD" w:rsidRPr="007511D6" w:rsidRDefault="006D78DD">
            <w:pPr>
              <w:spacing w:after="0" w:line="240" w:lineRule="auto"/>
              <w:rPr>
                <w:rFonts w:eastAsia="Times New Roman" w:cs="Times New Roman"/>
                <w:color w:val="000000"/>
                <w:szCs w:val="22"/>
                <w:lang w:eastAsia="en-AU"/>
              </w:rPr>
            </w:pPr>
          </w:p>
        </w:tc>
        <w:tc>
          <w:tcPr>
            <w:tcW w:w="8158" w:type="dxa"/>
            <w:tcBorders>
              <w:top w:val="nil"/>
              <w:left w:val="nil"/>
              <w:bottom w:val="nil"/>
              <w:right w:val="nil"/>
            </w:tcBorders>
            <w:noWrap/>
            <w:vAlign w:val="center"/>
            <w:hideMark/>
          </w:tcPr>
          <w:p w14:paraId="6C925CAD" w14:textId="77777777" w:rsidR="006D78DD" w:rsidRPr="007511D6" w:rsidRDefault="006D78DD">
            <w:pPr>
              <w:spacing w:after="0" w:line="240" w:lineRule="auto"/>
              <w:rPr>
                <w:rFonts w:eastAsia="Times New Roman" w:cs="Times New Roman"/>
                <w:szCs w:val="22"/>
                <w:lang w:eastAsia="en-AU"/>
              </w:rPr>
            </w:pPr>
          </w:p>
        </w:tc>
      </w:tr>
      <w:tr w:rsidR="006D78DD" w:rsidRPr="000263D7" w14:paraId="4C29FC25" w14:textId="77777777" w:rsidTr="005F5E02">
        <w:trPr>
          <w:trHeight w:val="300"/>
        </w:trPr>
        <w:tc>
          <w:tcPr>
            <w:tcW w:w="1198" w:type="dxa"/>
            <w:tcBorders>
              <w:top w:val="nil"/>
              <w:left w:val="nil"/>
              <w:bottom w:val="nil"/>
              <w:right w:val="nil"/>
            </w:tcBorders>
            <w:noWrap/>
            <w:vAlign w:val="center"/>
            <w:hideMark/>
          </w:tcPr>
          <w:p w14:paraId="2F6822C8"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SES</w:t>
            </w:r>
          </w:p>
        </w:tc>
        <w:tc>
          <w:tcPr>
            <w:tcW w:w="8158" w:type="dxa"/>
            <w:tcBorders>
              <w:top w:val="nil"/>
              <w:left w:val="nil"/>
              <w:bottom w:val="nil"/>
              <w:right w:val="nil"/>
            </w:tcBorders>
            <w:noWrap/>
            <w:vAlign w:val="center"/>
            <w:hideMark/>
          </w:tcPr>
          <w:p w14:paraId="490B28D3"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Senior Executive Service </w:t>
            </w:r>
          </w:p>
        </w:tc>
      </w:tr>
      <w:tr w:rsidR="006D78DD" w:rsidRPr="000263D7" w14:paraId="33F1824E" w14:textId="77777777" w:rsidTr="005F5E02">
        <w:trPr>
          <w:trHeight w:val="300"/>
        </w:trPr>
        <w:tc>
          <w:tcPr>
            <w:tcW w:w="1198" w:type="dxa"/>
            <w:tcBorders>
              <w:top w:val="nil"/>
              <w:left w:val="nil"/>
              <w:bottom w:val="nil"/>
              <w:right w:val="nil"/>
            </w:tcBorders>
            <w:noWrap/>
            <w:vAlign w:val="center"/>
            <w:hideMark/>
          </w:tcPr>
          <w:p w14:paraId="01BAFAF3"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SIMP</w:t>
            </w:r>
          </w:p>
        </w:tc>
        <w:tc>
          <w:tcPr>
            <w:tcW w:w="8158" w:type="dxa"/>
            <w:tcBorders>
              <w:top w:val="nil"/>
              <w:left w:val="nil"/>
              <w:bottom w:val="nil"/>
              <w:right w:val="nil"/>
            </w:tcBorders>
            <w:noWrap/>
            <w:vAlign w:val="center"/>
            <w:hideMark/>
          </w:tcPr>
          <w:p w14:paraId="7D39F824"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Secondary Instrumental Music Program </w:t>
            </w:r>
          </w:p>
        </w:tc>
      </w:tr>
      <w:tr w:rsidR="006D78DD" w:rsidRPr="000263D7" w14:paraId="2FCD51EB" w14:textId="77777777" w:rsidTr="005F5E02">
        <w:trPr>
          <w:trHeight w:val="300"/>
        </w:trPr>
        <w:tc>
          <w:tcPr>
            <w:tcW w:w="1198" w:type="dxa"/>
            <w:tcBorders>
              <w:top w:val="nil"/>
              <w:left w:val="nil"/>
              <w:bottom w:val="nil"/>
              <w:right w:val="nil"/>
            </w:tcBorders>
            <w:noWrap/>
            <w:vAlign w:val="center"/>
            <w:hideMark/>
          </w:tcPr>
          <w:p w14:paraId="5320B33E"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SMS</w:t>
            </w:r>
          </w:p>
        </w:tc>
        <w:tc>
          <w:tcPr>
            <w:tcW w:w="8158" w:type="dxa"/>
            <w:tcBorders>
              <w:top w:val="nil"/>
              <w:left w:val="nil"/>
              <w:bottom w:val="nil"/>
              <w:right w:val="nil"/>
            </w:tcBorders>
            <w:noWrap/>
            <w:vAlign w:val="center"/>
            <w:hideMark/>
          </w:tcPr>
          <w:p w14:paraId="28892140"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Student Management System </w:t>
            </w:r>
          </w:p>
        </w:tc>
      </w:tr>
      <w:tr w:rsidR="006D78DD" w:rsidRPr="000263D7" w14:paraId="3C118DE2" w14:textId="77777777" w:rsidTr="005F5E02">
        <w:trPr>
          <w:trHeight w:val="300"/>
        </w:trPr>
        <w:tc>
          <w:tcPr>
            <w:tcW w:w="1198" w:type="dxa"/>
            <w:tcBorders>
              <w:top w:val="nil"/>
              <w:left w:val="nil"/>
              <w:bottom w:val="nil"/>
              <w:right w:val="nil"/>
            </w:tcBorders>
            <w:noWrap/>
            <w:vAlign w:val="center"/>
            <w:hideMark/>
          </w:tcPr>
          <w:p w14:paraId="72CC6AA7" w14:textId="744A6D7F" w:rsidR="006D78DD" w:rsidRPr="007511D6" w:rsidRDefault="006D78DD">
            <w:pPr>
              <w:spacing w:after="0" w:line="240" w:lineRule="auto"/>
              <w:rPr>
                <w:rFonts w:eastAsia="Times New Roman" w:cs="Times New Roman"/>
                <w:b/>
                <w:color w:val="000000"/>
                <w:szCs w:val="22"/>
                <w:lang w:eastAsia="en-AU"/>
              </w:rPr>
            </w:pPr>
          </w:p>
        </w:tc>
        <w:tc>
          <w:tcPr>
            <w:tcW w:w="8158" w:type="dxa"/>
            <w:tcBorders>
              <w:top w:val="nil"/>
              <w:left w:val="nil"/>
              <w:bottom w:val="nil"/>
              <w:right w:val="nil"/>
            </w:tcBorders>
            <w:noWrap/>
            <w:vAlign w:val="center"/>
            <w:hideMark/>
          </w:tcPr>
          <w:p w14:paraId="2724710C" w14:textId="568A1B01"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 </w:t>
            </w:r>
          </w:p>
        </w:tc>
      </w:tr>
      <w:tr w:rsidR="006D78DD" w:rsidRPr="000263D7" w14:paraId="031A8E9F" w14:textId="77777777" w:rsidTr="005F5E02">
        <w:trPr>
          <w:trHeight w:val="300"/>
        </w:trPr>
        <w:tc>
          <w:tcPr>
            <w:tcW w:w="1198" w:type="dxa"/>
            <w:tcBorders>
              <w:top w:val="nil"/>
              <w:left w:val="nil"/>
              <w:bottom w:val="nil"/>
              <w:right w:val="nil"/>
            </w:tcBorders>
            <w:noWrap/>
            <w:vAlign w:val="center"/>
            <w:hideMark/>
          </w:tcPr>
          <w:p w14:paraId="087CFD9B"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SRP</w:t>
            </w:r>
          </w:p>
        </w:tc>
        <w:tc>
          <w:tcPr>
            <w:tcW w:w="8158" w:type="dxa"/>
            <w:tcBorders>
              <w:top w:val="nil"/>
              <w:left w:val="nil"/>
              <w:bottom w:val="nil"/>
              <w:right w:val="nil"/>
            </w:tcBorders>
            <w:noWrap/>
            <w:vAlign w:val="center"/>
            <w:hideMark/>
          </w:tcPr>
          <w:p w14:paraId="3E19E95E"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Student Resource Package </w:t>
            </w:r>
          </w:p>
        </w:tc>
      </w:tr>
      <w:tr w:rsidR="006D78DD" w:rsidRPr="000263D7" w14:paraId="3A48424F" w14:textId="77777777" w:rsidTr="005F5E02">
        <w:trPr>
          <w:trHeight w:val="300"/>
        </w:trPr>
        <w:tc>
          <w:tcPr>
            <w:tcW w:w="1198" w:type="dxa"/>
            <w:tcBorders>
              <w:top w:val="nil"/>
              <w:left w:val="nil"/>
              <w:bottom w:val="nil"/>
              <w:right w:val="nil"/>
            </w:tcBorders>
            <w:noWrap/>
            <w:vAlign w:val="center"/>
            <w:hideMark/>
          </w:tcPr>
          <w:p w14:paraId="2CDE2A94"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STS</w:t>
            </w:r>
          </w:p>
        </w:tc>
        <w:tc>
          <w:tcPr>
            <w:tcW w:w="8158" w:type="dxa"/>
            <w:tcBorders>
              <w:top w:val="nil"/>
              <w:left w:val="nil"/>
              <w:bottom w:val="nil"/>
              <w:right w:val="nil"/>
            </w:tcBorders>
            <w:noWrap/>
            <w:vAlign w:val="center"/>
            <w:hideMark/>
          </w:tcPr>
          <w:p w14:paraId="621427D0"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Senior Technical Specialist</w:t>
            </w:r>
          </w:p>
        </w:tc>
      </w:tr>
      <w:tr w:rsidR="006D78DD" w:rsidRPr="000263D7" w14:paraId="2C8A8613" w14:textId="77777777" w:rsidTr="005F5E02">
        <w:trPr>
          <w:trHeight w:val="300"/>
        </w:trPr>
        <w:tc>
          <w:tcPr>
            <w:tcW w:w="1198" w:type="dxa"/>
            <w:tcBorders>
              <w:top w:val="nil"/>
              <w:left w:val="nil"/>
              <w:bottom w:val="nil"/>
              <w:right w:val="nil"/>
            </w:tcBorders>
            <w:noWrap/>
            <w:vAlign w:val="center"/>
            <w:hideMark/>
          </w:tcPr>
          <w:p w14:paraId="0124B22F"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SSR</w:t>
            </w:r>
          </w:p>
        </w:tc>
        <w:tc>
          <w:tcPr>
            <w:tcW w:w="8158" w:type="dxa"/>
            <w:tcBorders>
              <w:top w:val="nil"/>
              <w:left w:val="nil"/>
              <w:bottom w:val="nil"/>
              <w:right w:val="nil"/>
            </w:tcBorders>
            <w:noWrap/>
            <w:vAlign w:val="center"/>
            <w:hideMark/>
          </w:tcPr>
          <w:p w14:paraId="77D4749C"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Social Services Regulator</w:t>
            </w:r>
          </w:p>
        </w:tc>
      </w:tr>
      <w:tr w:rsidR="006D78DD" w:rsidRPr="000263D7" w14:paraId="6AB7F445" w14:textId="77777777" w:rsidTr="005F5E02">
        <w:trPr>
          <w:trHeight w:val="300"/>
        </w:trPr>
        <w:tc>
          <w:tcPr>
            <w:tcW w:w="1198" w:type="dxa"/>
            <w:tcBorders>
              <w:top w:val="nil"/>
              <w:left w:val="nil"/>
              <w:bottom w:val="nil"/>
              <w:right w:val="nil"/>
            </w:tcBorders>
            <w:noWrap/>
            <w:vAlign w:val="center"/>
            <w:hideMark/>
          </w:tcPr>
          <w:p w14:paraId="59466097"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SV</w:t>
            </w:r>
          </w:p>
        </w:tc>
        <w:tc>
          <w:tcPr>
            <w:tcW w:w="8158" w:type="dxa"/>
            <w:tcBorders>
              <w:top w:val="nil"/>
              <w:left w:val="nil"/>
              <w:bottom w:val="nil"/>
              <w:right w:val="nil"/>
            </w:tcBorders>
            <w:noWrap/>
            <w:vAlign w:val="center"/>
            <w:hideMark/>
          </w:tcPr>
          <w:p w14:paraId="7BF46AF3"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Sustainability Victoria </w:t>
            </w:r>
          </w:p>
        </w:tc>
      </w:tr>
      <w:tr w:rsidR="006D78DD" w:rsidRPr="000263D7" w14:paraId="0F2CF0FC" w14:textId="77777777" w:rsidTr="005F5E02">
        <w:trPr>
          <w:trHeight w:val="300"/>
        </w:trPr>
        <w:tc>
          <w:tcPr>
            <w:tcW w:w="1198" w:type="dxa"/>
            <w:tcBorders>
              <w:top w:val="nil"/>
              <w:left w:val="nil"/>
              <w:bottom w:val="nil"/>
              <w:right w:val="nil"/>
            </w:tcBorders>
            <w:noWrap/>
            <w:vAlign w:val="center"/>
            <w:hideMark/>
          </w:tcPr>
          <w:p w14:paraId="2E22EEFB" w14:textId="77777777" w:rsidR="006D78DD" w:rsidRPr="007511D6" w:rsidRDefault="006D78DD">
            <w:pPr>
              <w:spacing w:after="0" w:line="240" w:lineRule="auto"/>
              <w:rPr>
                <w:rFonts w:eastAsia="Times New Roman" w:cs="Times New Roman"/>
                <w:color w:val="000000"/>
                <w:szCs w:val="22"/>
                <w:lang w:eastAsia="en-AU"/>
              </w:rPr>
            </w:pPr>
          </w:p>
        </w:tc>
        <w:tc>
          <w:tcPr>
            <w:tcW w:w="8158" w:type="dxa"/>
            <w:tcBorders>
              <w:top w:val="nil"/>
              <w:left w:val="nil"/>
              <w:bottom w:val="nil"/>
              <w:right w:val="nil"/>
            </w:tcBorders>
            <w:noWrap/>
            <w:vAlign w:val="center"/>
            <w:hideMark/>
          </w:tcPr>
          <w:p w14:paraId="0D36ECF3" w14:textId="77777777" w:rsidR="006D78DD" w:rsidRPr="007511D6" w:rsidRDefault="006D78DD">
            <w:pPr>
              <w:spacing w:after="0" w:line="240" w:lineRule="auto"/>
              <w:rPr>
                <w:rFonts w:eastAsia="Times New Roman" w:cs="Times New Roman"/>
                <w:szCs w:val="22"/>
                <w:lang w:eastAsia="en-AU"/>
              </w:rPr>
            </w:pPr>
          </w:p>
        </w:tc>
      </w:tr>
      <w:tr w:rsidR="006D78DD" w:rsidRPr="000263D7" w14:paraId="1086CBFA" w14:textId="77777777" w:rsidTr="005F5E02">
        <w:trPr>
          <w:trHeight w:val="300"/>
        </w:trPr>
        <w:tc>
          <w:tcPr>
            <w:tcW w:w="1198" w:type="dxa"/>
            <w:tcBorders>
              <w:top w:val="nil"/>
              <w:left w:val="nil"/>
              <w:bottom w:val="nil"/>
              <w:right w:val="nil"/>
            </w:tcBorders>
            <w:noWrap/>
            <w:vAlign w:val="center"/>
            <w:hideMark/>
          </w:tcPr>
          <w:p w14:paraId="46F388A7"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TAFE</w:t>
            </w:r>
          </w:p>
        </w:tc>
        <w:tc>
          <w:tcPr>
            <w:tcW w:w="8158" w:type="dxa"/>
            <w:tcBorders>
              <w:top w:val="nil"/>
              <w:left w:val="nil"/>
              <w:bottom w:val="nil"/>
              <w:right w:val="nil"/>
            </w:tcBorders>
            <w:noWrap/>
            <w:vAlign w:val="center"/>
            <w:hideMark/>
          </w:tcPr>
          <w:p w14:paraId="07CE4DAE"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Technical and Further Education institutes</w:t>
            </w:r>
          </w:p>
        </w:tc>
      </w:tr>
      <w:tr w:rsidR="006D78DD" w:rsidRPr="000263D7" w14:paraId="4983DB4B" w14:textId="77777777" w:rsidTr="005F5E02">
        <w:trPr>
          <w:trHeight w:val="300"/>
        </w:trPr>
        <w:tc>
          <w:tcPr>
            <w:tcW w:w="1198" w:type="dxa"/>
            <w:tcBorders>
              <w:top w:val="nil"/>
              <w:left w:val="nil"/>
              <w:bottom w:val="nil"/>
              <w:right w:val="nil"/>
            </w:tcBorders>
            <w:noWrap/>
            <w:vAlign w:val="center"/>
            <w:hideMark/>
          </w:tcPr>
          <w:p w14:paraId="1E4BFF67" w14:textId="77777777" w:rsidR="006D78DD" w:rsidRPr="007511D6" w:rsidRDefault="006D78DD">
            <w:pPr>
              <w:spacing w:after="0" w:line="240" w:lineRule="auto"/>
              <w:rPr>
                <w:rFonts w:eastAsia="Times New Roman" w:cs="Times New Roman"/>
                <w:color w:val="000000"/>
                <w:szCs w:val="22"/>
                <w:lang w:eastAsia="en-AU"/>
              </w:rPr>
            </w:pPr>
          </w:p>
        </w:tc>
        <w:tc>
          <w:tcPr>
            <w:tcW w:w="8158" w:type="dxa"/>
            <w:tcBorders>
              <w:top w:val="nil"/>
              <w:left w:val="nil"/>
              <w:bottom w:val="nil"/>
              <w:right w:val="nil"/>
            </w:tcBorders>
            <w:noWrap/>
            <w:vAlign w:val="center"/>
            <w:hideMark/>
          </w:tcPr>
          <w:p w14:paraId="6491D421" w14:textId="77777777" w:rsidR="006D78DD" w:rsidRPr="007511D6" w:rsidRDefault="006D78DD">
            <w:pPr>
              <w:spacing w:after="0" w:line="240" w:lineRule="auto"/>
              <w:rPr>
                <w:rFonts w:eastAsia="Times New Roman" w:cs="Times New Roman"/>
                <w:szCs w:val="22"/>
                <w:lang w:eastAsia="en-AU"/>
              </w:rPr>
            </w:pPr>
          </w:p>
        </w:tc>
      </w:tr>
      <w:tr w:rsidR="006D78DD" w:rsidRPr="000263D7" w14:paraId="7475D9C3" w14:textId="77777777" w:rsidTr="005F5E02">
        <w:trPr>
          <w:trHeight w:val="300"/>
        </w:trPr>
        <w:tc>
          <w:tcPr>
            <w:tcW w:w="1198" w:type="dxa"/>
            <w:tcBorders>
              <w:top w:val="nil"/>
              <w:left w:val="nil"/>
              <w:bottom w:val="nil"/>
              <w:right w:val="nil"/>
            </w:tcBorders>
            <w:noWrap/>
            <w:vAlign w:val="center"/>
            <w:hideMark/>
          </w:tcPr>
          <w:p w14:paraId="628095E6"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UCC</w:t>
            </w:r>
          </w:p>
        </w:tc>
        <w:tc>
          <w:tcPr>
            <w:tcW w:w="8158" w:type="dxa"/>
            <w:tcBorders>
              <w:top w:val="nil"/>
              <w:left w:val="nil"/>
              <w:bottom w:val="nil"/>
              <w:right w:val="nil"/>
            </w:tcBorders>
            <w:noWrap/>
            <w:vAlign w:val="center"/>
            <w:hideMark/>
          </w:tcPr>
          <w:p w14:paraId="7A038798"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Urgent Care Clinics </w:t>
            </w:r>
          </w:p>
        </w:tc>
      </w:tr>
      <w:tr w:rsidR="006D78DD" w:rsidRPr="000263D7" w14:paraId="5962B557" w14:textId="77777777" w:rsidTr="005F5E02">
        <w:trPr>
          <w:trHeight w:val="300"/>
        </w:trPr>
        <w:tc>
          <w:tcPr>
            <w:tcW w:w="1198" w:type="dxa"/>
            <w:tcBorders>
              <w:top w:val="nil"/>
              <w:left w:val="nil"/>
              <w:bottom w:val="nil"/>
              <w:right w:val="nil"/>
            </w:tcBorders>
            <w:noWrap/>
            <w:vAlign w:val="center"/>
            <w:hideMark/>
          </w:tcPr>
          <w:p w14:paraId="682FFE4E" w14:textId="77777777" w:rsidR="006D78DD" w:rsidRPr="007511D6" w:rsidRDefault="006D78DD">
            <w:pPr>
              <w:spacing w:after="0" w:line="240" w:lineRule="auto"/>
              <w:rPr>
                <w:rFonts w:eastAsia="Times New Roman" w:cs="Times New Roman"/>
                <w:color w:val="000000"/>
                <w:szCs w:val="22"/>
                <w:lang w:eastAsia="en-AU"/>
              </w:rPr>
            </w:pPr>
          </w:p>
        </w:tc>
        <w:tc>
          <w:tcPr>
            <w:tcW w:w="8158" w:type="dxa"/>
            <w:tcBorders>
              <w:top w:val="nil"/>
              <w:left w:val="nil"/>
              <w:bottom w:val="nil"/>
              <w:right w:val="nil"/>
            </w:tcBorders>
            <w:noWrap/>
            <w:vAlign w:val="center"/>
            <w:hideMark/>
          </w:tcPr>
          <w:p w14:paraId="143BE8E7" w14:textId="77777777" w:rsidR="006D78DD" w:rsidRPr="007511D6" w:rsidRDefault="006D78DD">
            <w:pPr>
              <w:spacing w:after="0" w:line="240" w:lineRule="auto"/>
              <w:rPr>
                <w:rFonts w:eastAsia="Times New Roman" w:cs="Times New Roman"/>
                <w:szCs w:val="22"/>
                <w:lang w:eastAsia="en-AU"/>
              </w:rPr>
            </w:pPr>
          </w:p>
        </w:tc>
      </w:tr>
      <w:tr w:rsidR="006D78DD" w:rsidRPr="000263D7" w14:paraId="1560FE35" w14:textId="77777777" w:rsidTr="005F5E02">
        <w:trPr>
          <w:trHeight w:val="300"/>
        </w:trPr>
        <w:tc>
          <w:tcPr>
            <w:tcW w:w="1198" w:type="dxa"/>
            <w:tcBorders>
              <w:top w:val="nil"/>
              <w:left w:val="nil"/>
              <w:bottom w:val="nil"/>
              <w:right w:val="nil"/>
            </w:tcBorders>
            <w:noWrap/>
            <w:vAlign w:val="center"/>
            <w:hideMark/>
          </w:tcPr>
          <w:p w14:paraId="3AD3B920"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VAGO</w:t>
            </w:r>
          </w:p>
        </w:tc>
        <w:tc>
          <w:tcPr>
            <w:tcW w:w="8158" w:type="dxa"/>
            <w:tcBorders>
              <w:top w:val="nil"/>
              <w:left w:val="nil"/>
              <w:bottom w:val="nil"/>
              <w:right w:val="nil"/>
            </w:tcBorders>
            <w:noWrap/>
            <w:vAlign w:val="center"/>
            <w:hideMark/>
          </w:tcPr>
          <w:p w14:paraId="6771D764"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Victorian Auditor-General’s Office</w:t>
            </w:r>
          </w:p>
        </w:tc>
      </w:tr>
      <w:tr w:rsidR="006D78DD" w:rsidRPr="000263D7" w14:paraId="05CB0CBA" w14:textId="77777777" w:rsidTr="005F5E02">
        <w:trPr>
          <w:trHeight w:val="300"/>
        </w:trPr>
        <w:tc>
          <w:tcPr>
            <w:tcW w:w="1198" w:type="dxa"/>
            <w:tcBorders>
              <w:top w:val="nil"/>
              <w:left w:val="nil"/>
              <w:bottom w:val="nil"/>
              <w:right w:val="nil"/>
            </w:tcBorders>
            <w:noWrap/>
            <w:vAlign w:val="center"/>
            <w:hideMark/>
          </w:tcPr>
          <w:p w14:paraId="4504F9CA"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VCAT</w:t>
            </w:r>
          </w:p>
        </w:tc>
        <w:tc>
          <w:tcPr>
            <w:tcW w:w="8158" w:type="dxa"/>
            <w:tcBorders>
              <w:top w:val="nil"/>
              <w:left w:val="nil"/>
              <w:bottom w:val="nil"/>
              <w:right w:val="nil"/>
            </w:tcBorders>
            <w:noWrap/>
            <w:vAlign w:val="center"/>
            <w:hideMark/>
          </w:tcPr>
          <w:p w14:paraId="6AEF9F9C"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Victorian Civil and Administrative Tribunal </w:t>
            </w:r>
          </w:p>
        </w:tc>
      </w:tr>
      <w:tr w:rsidR="006D78DD" w:rsidRPr="000263D7" w14:paraId="1A3BF41B" w14:textId="77777777" w:rsidTr="005F5E02">
        <w:trPr>
          <w:trHeight w:val="300"/>
        </w:trPr>
        <w:tc>
          <w:tcPr>
            <w:tcW w:w="1198" w:type="dxa"/>
            <w:tcBorders>
              <w:top w:val="nil"/>
              <w:left w:val="nil"/>
              <w:bottom w:val="nil"/>
              <w:right w:val="nil"/>
            </w:tcBorders>
            <w:noWrap/>
            <w:vAlign w:val="center"/>
            <w:hideMark/>
          </w:tcPr>
          <w:p w14:paraId="59B3E228"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VEOHRC</w:t>
            </w:r>
          </w:p>
        </w:tc>
        <w:tc>
          <w:tcPr>
            <w:tcW w:w="8158" w:type="dxa"/>
            <w:tcBorders>
              <w:top w:val="nil"/>
              <w:left w:val="nil"/>
              <w:bottom w:val="nil"/>
              <w:right w:val="nil"/>
            </w:tcBorders>
            <w:noWrap/>
            <w:vAlign w:val="center"/>
            <w:hideMark/>
          </w:tcPr>
          <w:p w14:paraId="64F80746"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Victorian Equal Opportunity and Humans Rights Commission </w:t>
            </w:r>
          </w:p>
        </w:tc>
      </w:tr>
      <w:tr w:rsidR="006D78DD" w:rsidRPr="000263D7" w14:paraId="6DF01F34" w14:textId="77777777" w:rsidTr="005F5E02">
        <w:trPr>
          <w:trHeight w:val="300"/>
        </w:trPr>
        <w:tc>
          <w:tcPr>
            <w:tcW w:w="1198" w:type="dxa"/>
            <w:tcBorders>
              <w:top w:val="nil"/>
              <w:left w:val="nil"/>
              <w:bottom w:val="nil"/>
              <w:right w:val="nil"/>
            </w:tcBorders>
            <w:noWrap/>
            <w:vAlign w:val="center"/>
            <w:hideMark/>
          </w:tcPr>
          <w:p w14:paraId="091063F6"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lastRenderedPageBreak/>
              <w:t>VET</w:t>
            </w:r>
          </w:p>
        </w:tc>
        <w:tc>
          <w:tcPr>
            <w:tcW w:w="8158" w:type="dxa"/>
            <w:tcBorders>
              <w:top w:val="nil"/>
              <w:left w:val="nil"/>
              <w:bottom w:val="nil"/>
              <w:right w:val="nil"/>
            </w:tcBorders>
            <w:noWrap/>
            <w:vAlign w:val="center"/>
            <w:hideMark/>
          </w:tcPr>
          <w:p w14:paraId="54D79807"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Vocational Education and Training </w:t>
            </w:r>
          </w:p>
        </w:tc>
      </w:tr>
      <w:tr w:rsidR="006D78DD" w:rsidRPr="000263D7" w14:paraId="5AAAB59D" w14:textId="77777777" w:rsidTr="005F5E02">
        <w:trPr>
          <w:trHeight w:val="300"/>
        </w:trPr>
        <w:tc>
          <w:tcPr>
            <w:tcW w:w="1198" w:type="dxa"/>
            <w:tcBorders>
              <w:top w:val="nil"/>
              <w:left w:val="nil"/>
              <w:bottom w:val="nil"/>
              <w:right w:val="nil"/>
            </w:tcBorders>
            <w:noWrap/>
            <w:vAlign w:val="center"/>
            <w:hideMark/>
          </w:tcPr>
          <w:p w14:paraId="2FEA05DA"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VFI</w:t>
            </w:r>
          </w:p>
        </w:tc>
        <w:tc>
          <w:tcPr>
            <w:tcW w:w="8158" w:type="dxa"/>
            <w:tcBorders>
              <w:top w:val="nil"/>
              <w:left w:val="nil"/>
              <w:bottom w:val="nil"/>
              <w:right w:val="nil"/>
            </w:tcBorders>
            <w:noWrap/>
            <w:vAlign w:val="center"/>
            <w:hideMark/>
          </w:tcPr>
          <w:p w14:paraId="3FEF4EB1"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Vertical Fiscal Imbalance </w:t>
            </w:r>
          </w:p>
        </w:tc>
      </w:tr>
      <w:tr w:rsidR="006D78DD" w:rsidRPr="000263D7" w14:paraId="3264B8E3" w14:textId="77777777" w:rsidTr="005F5E02">
        <w:trPr>
          <w:trHeight w:val="300"/>
        </w:trPr>
        <w:tc>
          <w:tcPr>
            <w:tcW w:w="1198" w:type="dxa"/>
            <w:tcBorders>
              <w:top w:val="nil"/>
              <w:left w:val="nil"/>
              <w:bottom w:val="nil"/>
              <w:right w:val="nil"/>
            </w:tcBorders>
            <w:noWrap/>
            <w:vAlign w:val="center"/>
            <w:hideMark/>
          </w:tcPr>
          <w:p w14:paraId="620635A7"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VFMC</w:t>
            </w:r>
          </w:p>
        </w:tc>
        <w:tc>
          <w:tcPr>
            <w:tcW w:w="8158" w:type="dxa"/>
            <w:tcBorders>
              <w:top w:val="nil"/>
              <w:left w:val="nil"/>
              <w:bottom w:val="nil"/>
              <w:right w:val="nil"/>
            </w:tcBorders>
            <w:noWrap/>
            <w:vAlign w:val="center"/>
            <w:hideMark/>
          </w:tcPr>
          <w:p w14:paraId="23453DE8"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Victorian Funds Management Corporation</w:t>
            </w:r>
          </w:p>
        </w:tc>
      </w:tr>
      <w:tr w:rsidR="006D78DD" w:rsidRPr="000263D7" w14:paraId="2D9ED0AE" w14:textId="77777777" w:rsidTr="005F5E02">
        <w:trPr>
          <w:trHeight w:val="300"/>
        </w:trPr>
        <w:tc>
          <w:tcPr>
            <w:tcW w:w="1198" w:type="dxa"/>
            <w:tcBorders>
              <w:top w:val="nil"/>
              <w:left w:val="nil"/>
              <w:bottom w:val="nil"/>
              <w:right w:val="nil"/>
            </w:tcBorders>
            <w:noWrap/>
            <w:vAlign w:val="center"/>
            <w:hideMark/>
          </w:tcPr>
          <w:p w14:paraId="5D159A81"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VIDA</w:t>
            </w:r>
          </w:p>
        </w:tc>
        <w:tc>
          <w:tcPr>
            <w:tcW w:w="8158" w:type="dxa"/>
            <w:tcBorders>
              <w:top w:val="nil"/>
              <w:left w:val="nil"/>
              <w:bottom w:val="nil"/>
              <w:right w:val="nil"/>
            </w:tcBorders>
            <w:noWrap/>
            <w:vAlign w:val="center"/>
            <w:hideMark/>
          </w:tcPr>
          <w:p w14:paraId="20D52FFD"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Victorian Infrastructure Delivery Authority</w:t>
            </w:r>
          </w:p>
        </w:tc>
      </w:tr>
      <w:tr w:rsidR="006D78DD" w:rsidRPr="000263D7" w14:paraId="47280CED" w14:textId="77777777" w:rsidTr="005F5E02">
        <w:trPr>
          <w:trHeight w:val="300"/>
        </w:trPr>
        <w:tc>
          <w:tcPr>
            <w:tcW w:w="1198" w:type="dxa"/>
            <w:tcBorders>
              <w:top w:val="nil"/>
              <w:left w:val="nil"/>
              <w:bottom w:val="nil"/>
              <w:right w:val="nil"/>
            </w:tcBorders>
            <w:noWrap/>
            <w:vAlign w:val="center"/>
            <w:hideMark/>
          </w:tcPr>
          <w:p w14:paraId="40B87FE6"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VPS</w:t>
            </w:r>
          </w:p>
        </w:tc>
        <w:tc>
          <w:tcPr>
            <w:tcW w:w="8158" w:type="dxa"/>
            <w:tcBorders>
              <w:top w:val="nil"/>
              <w:left w:val="nil"/>
              <w:bottom w:val="nil"/>
              <w:right w:val="nil"/>
            </w:tcBorders>
            <w:noWrap/>
            <w:vAlign w:val="center"/>
            <w:hideMark/>
          </w:tcPr>
          <w:p w14:paraId="010F687C"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Victorian Public Service </w:t>
            </w:r>
          </w:p>
        </w:tc>
      </w:tr>
      <w:tr w:rsidR="006D78DD" w:rsidRPr="000263D7" w14:paraId="50B900B2" w14:textId="77777777" w:rsidTr="005F5E02">
        <w:trPr>
          <w:trHeight w:val="300"/>
        </w:trPr>
        <w:tc>
          <w:tcPr>
            <w:tcW w:w="1198" w:type="dxa"/>
            <w:tcBorders>
              <w:top w:val="nil"/>
              <w:left w:val="nil"/>
              <w:bottom w:val="nil"/>
              <w:right w:val="nil"/>
            </w:tcBorders>
            <w:noWrap/>
            <w:vAlign w:val="center"/>
            <w:hideMark/>
          </w:tcPr>
          <w:p w14:paraId="6684BC8F"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VPSC</w:t>
            </w:r>
          </w:p>
        </w:tc>
        <w:tc>
          <w:tcPr>
            <w:tcW w:w="8158" w:type="dxa"/>
            <w:tcBorders>
              <w:top w:val="nil"/>
              <w:left w:val="nil"/>
              <w:bottom w:val="nil"/>
              <w:right w:val="nil"/>
            </w:tcBorders>
            <w:noWrap/>
            <w:vAlign w:val="center"/>
            <w:hideMark/>
          </w:tcPr>
          <w:p w14:paraId="0D42A4CD"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Victorian Public Sector Commission </w:t>
            </w:r>
          </w:p>
        </w:tc>
      </w:tr>
      <w:tr w:rsidR="006D78DD" w:rsidRPr="000263D7" w14:paraId="6C04355F" w14:textId="77777777" w:rsidTr="005F5E02">
        <w:trPr>
          <w:trHeight w:val="300"/>
        </w:trPr>
        <w:tc>
          <w:tcPr>
            <w:tcW w:w="1198" w:type="dxa"/>
            <w:tcBorders>
              <w:top w:val="nil"/>
              <w:left w:val="nil"/>
              <w:bottom w:val="nil"/>
              <w:right w:val="nil"/>
            </w:tcBorders>
            <w:noWrap/>
            <w:vAlign w:val="center"/>
            <w:hideMark/>
          </w:tcPr>
          <w:p w14:paraId="645C9DA7" w14:textId="77777777" w:rsidR="006D78DD" w:rsidRPr="007511D6" w:rsidRDefault="006D78DD">
            <w:pPr>
              <w:spacing w:after="0" w:line="240" w:lineRule="auto"/>
              <w:rPr>
                <w:rFonts w:eastAsia="Times New Roman" w:cs="Times New Roman"/>
                <w:b/>
                <w:color w:val="000000"/>
                <w:szCs w:val="22"/>
                <w:lang w:eastAsia="en-AU"/>
              </w:rPr>
            </w:pPr>
            <w:r w:rsidRPr="007511D6">
              <w:rPr>
                <w:rFonts w:eastAsia="Times New Roman" w:cs="Times New Roman"/>
                <w:b/>
                <w:szCs w:val="22"/>
                <w:lang w:eastAsia="en-AU"/>
              </w:rPr>
              <w:t>VSB</w:t>
            </w:r>
          </w:p>
        </w:tc>
        <w:tc>
          <w:tcPr>
            <w:tcW w:w="8158" w:type="dxa"/>
            <w:tcBorders>
              <w:top w:val="nil"/>
              <w:left w:val="nil"/>
              <w:bottom w:val="nil"/>
              <w:right w:val="nil"/>
            </w:tcBorders>
            <w:noWrap/>
            <w:vAlign w:val="center"/>
            <w:hideMark/>
          </w:tcPr>
          <w:p w14:paraId="50190C93" w14:textId="77777777" w:rsidR="006D78DD" w:rsidRPr="007511D6" w:rsidRDefault="006D78DD">
            <w:pPr>
              <w:spacing w:after="0" w:line="240" w:lineRule="auto"/>
              <w:rPr>
                <w:rFonts w:eastAsia="Times New Roman" w:cs="Times New Roman"/>
                <w:color w:val="000000"/>
                <w:szCs w:val="22"/>
                <w:lang w:eastAsia="en-AU"/>
              </w:rPr>
            </w:pPr>
            <w:r w:rsidRPr="007511D6">
              <w:rPr>
                <w:rFonts w:eastAsia="Times New Roman" w:cs="Times New Roman"/>
                <w:szCs w:val="22"/>
                <w:lang w:eastAsia="en-AU"/>
              </w:rPr>
              <w:t xml:space="preserve">Victorian Secretaries’ Board </w:t>
            </w:r>
          </w:p>
        </w:tc>
      </w:tr>
      <w:tr w:rsidR="006D78DD" w:rsidRPr="000263D7" w14:paraId="49EAD877" w14:textId="77777777" w:rsidTr="005F5E02">
        <w:trPr>
          <w:trHeight w:val="300"/>
        </w:trPr>
        <w:tc>
          <w:tcPr>
            <w:tcW w:w="1198" w:type="dxa"/>
            <w:tcBorders>
              <w:top w:val="nil"/>
              <w:left w:val="nil"/>
              <w:bottom w:val="nil"/>
              <w:right w:val="nil"/>
            </w:tcBorders>
            <w:noWrap/>
            <w:vAlign w:val="center"/>
            <w:hideMark/>
          </w:tcPr>
          <w:p w14:paraId="788072C5" w14:textId="77777777" w:rsidR="006D78DD" w:rsidRPr="007511D6" w:rsidRDefault="006D78DD" w:rsidP="00492E42">
            <w:pPr>
              <w:spacing w:line="240" w:lineRule="auto"/>
              <w:rPr>
                <w:rFonts w:eastAsia="Times New Roman" w:cs="Times New Roman"/>
                <w:b/>
                <w:color w:val="000000"/>
                <w:szCs w:val="22"/>
                <w:lang w:eastAsia="en-AU"/>
              </w:rPr>
            </w:pPr>
            <w:r w:rsidRPr="007511D6">
              <w:rPr>
                <w:rFonts w:eastAsia="Times New Roman" w:cs="Times New Roman"/>
                <w:b/>
                <w:szCs w:val="22"/>
                <w:lang w:eastAsia="en-AU"/>
              </w:rPr>
              <w:t>VSBC</w:t>
            </w:r>
          </w:p>
        </w:tc>
        <w:tc>
          <w:tcPr>
            <w:tcW w:w="8158" w:type="dxa"/>
            <w:tcBorders>
              <w:top w:val="nil"/>
              <w:left w:val="nil"/>
              <w:bottom w:val="nil"/>
              <w:right w:val="nil"/>
            </w:tcBorders>
            <w:noWrap/>
            <w:vAlign w:val="center"/>
            <w:hideMark/>
          </w:tcPr>
          <w:p w14:paraId="72BFFA1B" w14:textId="77777777" w:rsidR="006D78DD" w:rsidRPr="007511D6" w:rsidRDefault="006D78DD" w:rsidP="00492E42">
            <w:pPr>
              <w:spacing w:line="240" w:lineRule="auto"/>
              <w:rPr>
                <w:rFonts w:eastAsia="Times New Roman" w:cs="Times New Roman"/>
                <w:color w:val="000000"/>
                <w:szCs w:val="22"/>
                <w:lang w:eastAsia="en-AU"/>
              </w:rPr>
            </w:pPr>
            <w:r w:rsidRPr="007511D6">
              <w:rPr>
                <w:rFonts w:eastAsia="Times New Roman" w:cs="Times New Roman"/>
                <w:szCs w:val="22"/>
                <w:lang w:eastAsia="en-AU"/>
              </w:rPr>
              <w:t xml:space="preserve">Victorian Small Business Commission </w:t>
            </w:r>
          </w:p>
        </w:tc>
      </w:tr>
    </w:tbl>
    <w:p w14:paraId="180A5832" w14:textId="77777777" w:rsidR="006D78DD" w:rsidRPr="00AD2C91" w:rsidRDefault="006D78DD" w:rsidP="00AD2C91">
      <w:pPr>
        <w:spacing w:before="160" w:after="80"/>
        <w:rPr>
          <w:rFonts w:asciiTheme="majorHAnsi" w:hAnsiTheme="majorHAnsi"/>
          <w:b/>
          <w:color w:val="0F4761" w:themeColor="accent1" w:themeShade="BF"/>
          <w:sz w:val="32"/>
          <w:szCs w:val="32"/>
        </w:rPr>
      </w:pPr>
      <w:r w:rsidRPr="00AD2C91">
        <w:rPr>
          <w:rFonts w:asciiTheme="majorHAnsi" w:hAnsiTheme="majorHAnsi"/>
          <w:b/>
          <w:color w:val="0F4761" w:themeColor="accent1" w:themeShade="BF"/>
          <w:sz w:val="32"/>
          <w:szCs w:val="32"/>
        </w:rPr>
        <w:t>Glossary</w:t>
      </w:r>
    </w:p>
    <w:p w14:paraId="5FE6248B" w14:textId="6F78A5D8" w:rsidR="006D78DD" w:rsidRPr="00AD2C91" w:rsidRDefault="006D78DD" w:rsidP="006D78DD">
      <w:pPr>
        <w:rPr>
          <w:rFonts w:ascii="Aptos" w:hAnsi="Aptos"/>
          <w:szCs w:val="22"/>
        </w:rPr>
      </w:pPr>
      <w:r w:rsidRPr="00AD2C91">
        <w:rPr>
          <w:rFonts w:ascii="Aptos" w:hAnsi="Aptos"/>
          <w:szCs w:val="22"/>
        </w:rPr>
        <w:t xml:space="preserve">Key terms used in this report are defined </w:t>
      </w:r>
      <w:r w:rsidR="00E55B52">
        <w:rPr>
          <w:rFonts w:ascii="Aptos" w:hAnsi="Aptos"/>
          <w:szCs w:val="22"/>
        </w:rPr>
        <w:t>below</w:t>
      </w:r>
      <w:r w:rsidR="00AD2C91" w:rsidRPr="00AD2C91">
        <w:rPr>
          <w:rFonts w:ascii="Aptos" w:hAnsi="Aptos"/>
          <w:szCs w:val="22"/>
        </w:rPr>
        <w:t>.</w:t>
      </w:r>
      <w:r w:rsidRPr="00AD2C91">
        <w:rPr>
          <w:rStyle w:val="FootnoteReference"/>
          <w:rFonts w:ascii="Aptos" w:hAnsi="Aptos"/>
          <w:szCs w:val="22"/>
        </w:rPr>
        <w:footnoteReference w:id="28"/>
      </w:r>
    </w:p>
    <w:tbl>
      <w:tblPr>
        <w:tblStyle w:val="PlainTable4"/>
        <w:tblW w:w="0" w:type="auto"/>
        <w:shd w:val="clear" w:color="auto" w:fill="FFFFFF"/>
        <w:tblLook w:val="04A0" w:firstRow="1" w:lastRow="0" w:firstColumn="1" w:lastColumn="0" w:noHBand="0" w:noVBand="1"/>
      </w:tblPr>
      <w:tblGrid>
        <w:gridCol w:w="2163"/>
        <w:gridCol w:w="6863"/>
      </w:tblGrid>
      <w:tr w:rsidR="00475550" w:rsidRPr="00AD2C91" w14:paraId="07316DDE" w14:textId="77777777" w:rsidTr="007558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3" w:type="dxa"/>
            <w:shd w:val="clear" w:color="auto" w:fill="FFFFFF"/>
          </w:tcPr>
          <w:p w14:paraId="5C646F1E" w14:textId="31DBDA9C" w:rsidR="00475550" w:rsidRPr="009D189F" w:rsidRDefault="00475550" w:rsidP="009D189F">
            <w:pPr>
              <w:spacing w:after="160" w:line="278" w:lineRule="auto"/>
              <w:rPr>
                <w:szCs w:val="22"/>
              </w:rPr>
            </w:pPr>
            <w:r w:rsidRPr="009D189F">
              <w:rPr>
                <w:szCs w:val="22"/>
              </w:rPr>
              <w:t xml:space="preserve">Base </w:t>
            </w:r>
            <w:r w:rsidR="00F964BA" w:rsidRPr="009D189F">
              <w:rPr>
                <w:szCs w:val="22"/>
              </w:rPr>
              <w:t>funding</w:t>
            </w:r>
          </w:p>
        </w:tc>
        <w:tc>
          <w:tcPr>
            <w:tcW w:w="6863" w:type="dxa"/>
            <w:shd w:val="clear" w:color="auto" w:fill="FFFFFF"/>
          </w:tcPr>
          <w:p w14:paraId="1407B82E" w14:textId="53B95D98" w:rsidR="00E84E51" w:rsidRPr="009D189F" w:rsidRDefault="0015216F" w:rsidP="009D189F">
            <w:pPr>
              <w:spacing w:after="160" w:line="278" w:lineRule="auto"/>
              <w:cnfStyle w:val="100000000000" w:firstRow="1" w:lastRow="0" w:firstColumn="0" w:lastColumn="0" w:oddVBand="0" w:evenVBand="0" w:oddHBand="0" w:evenHBand="0" w:firstRowFirstColumn="0" w:firstRowLastColumn="0" w:lastRowFirstColumn="0" w:lastRowLastColumn="0"/>
              <w:rPr>
                <w:szCs w:val="22"/>
              </w:rPr>
            </w:pPr>
            <w:r w:rsidRPr="009D189F">
              <w:rPr>
                <w:b w:val="0"/>
                <w:szCs w:val="22"/>
              </w:rPr>
              <w:t xml:space="preserve">Refers to </w:t>
            </w:r>
            <w:r w:rsidR="00C70BED" w:rsidRPr="009D189F">
              <w:rPr>
                <w:b w:val="0"/>
                <w:szCs w:val="22"/>
              </w:rPr>
              <w:t>ongoing funding for a department or entity</w:t>
            </w:r>
            <w:r w:rsidR="00854DA0" w:rsidRPr="009D189F">
              <w:rPr>
                <w:b w:val="0"/>
                <w:szCs w:val="22"/>
              </w:rPr>
              <w:t>; d</w:t>
            </w:r>
            <w:r w:rsidR="003F3BA4" w:rsidRPr="009D189F">
              <w:rPr>
                <w:b w:val="0"/>
                <w:szCs w:val="22"/>
              </w:rPr>
              <w:t xml:space="preserve">istinct from </w:t>
            </w:r>
            <w:r w:rsidR="008B0DF5" w:rsidRPr="009D189F">
              <w:rPr>
                <w:b w:val="0"/>
                <w:szCs w:val="22"/>
              </w:rPr>
              <w:t xml:space="preserve">new </w:t>
            </w:r>
            <w:r w:rsidR="003F3BA4" w:rsidRPr="009D189F">
              <w:rPr>
                <w:b w:val="0"/>
                <w:szCs w:val="22"/>
              </w:rPr>
              <w:t xml:space="preserve">initiatives </w:t>
            </w:r>
            <w:r w:rsidR="008B0DF5" w:rsidRPr="009D189F">
              <w:rPr>
                <w:b w:val="0"/>
                <w:szCs w:val="22"/>
              </w:rPr>
              <w:t>that are considered</w:t>
            </w:r>
            <w:r w:rsidR="00450EAA" w:rsidRPr="009D189F">
              <w:rPr>
                <w:b w:val="0"/>
                <w:szCs w:val="22"/>
              </w:rPr>
              <w:t xml:space="preserve"> during the budget process.</w:t>
            </w:r>
            <w:r w:rsidR="008B0DF5" w:rsidRPr="009D189F">
              <w:rPr>
                <w:b w:val="0"/>
                <w:szCs w:val="22"/>
              </w:rPr>
              <w:t xml:space="preserve"> </w:t>
            </w:r>
          </w:p>
        </w:tc>
      </w:tr>
      <w:tr w:rsidR="000365D6" w:rsidRPr="00AD2C91" w14:paraId="29C41480" w14:textId="77777777" w:rsidTr="00755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3" w:type="dxa"/>
            <w:shd w:val="clear" w:color="auto" w:fill="FFFFFF"/>
          </w:tcPr>
          <w:p w14:paraId="1B14D30C" w14:textId="77777777" w:rsidR="006D78DD" w:rsidRPr="009D189F" w:rsidRDefault="006D78DD" w:rsidP="009D189F">
            <w:pPr>
              <w:spacing w:after="160" w:line="278" w:lineRule="auto"/>
              <w:rPr>
                <w:szCs w:val="22"/>
              </w:rPr>
            </w:pPr>
            <w:r w:rsidRPr="009D189F">
              <w:rPr>
                <w:szCs w:val="22"/>
              </w:rPr>
              <w:t>Budget committee</w:t>
            </w:r>
          </w:p>
        </w:tc>
        <w:tc>
          <w:tcPr>
            <w:tcW w:w="6863" w:type="dxa"/>
            <w:shd w:val="clear" w:color="auto" w:fill="FFFFFF"/>
          </w:tcPr>
          <w:p w14:paraId="281ADE04" w14:textId="2198FAD5" w:rsidR="006D78DD" w:rsidRPr="009D189F" w:rsidRDefault="006D78DD" w:rsidP="009D189F">
            <w:pPr>
              <w:spacing w:after="160" w:line="278" w:lineRule="auto"/>
              <w:cnfStyle w:val="000000100000" w:firstRow="0" w:lastRow="0" w:firstColumn="0" w:lastColumn="0" w:oddVBand="0" w:evenVBand="0" w:oddHBand="1" w:evenHBand="0" w:firstRowFirstColumn="0" w:firstRowLastColumn="0" w:lastRowFirstColumn="0" w:lastRowLastColumn="0"/>
              <w:rPr>
                <w:szCs w:val="22"/>
              </w:rPr>
            </w:pPr>
            <w:r w:rsidRPr="009D189F">
              <w:rPr>
                <w:szCs w:val="22"/>
              </w:rPr>
              <w:t xml:space="preserve">Refers to the Victorian Government cabinet committee responsible for Budget matters. Cabinet committees are established by </w:t>
            </w:r>
            <w:proofErr w:type="gramStart"/>
            <w:r w:rsidRPr="009D189F">
              <w:rPr>
                <w:szCs w:val="22"/>
              </w:rPr>
              <w:t>a decision</w:t>
            </w:r>
            <w:proofErr w:type="gramEnd"/>
            <w:r w:rsidRPr="009D189F">
              <w:rPr>
                <w:szCs w:val="22"/>
              </w:rPr>
              <w:t xml:space="preserve"> of the Premier or Cabinet. </w:t>
            </w:r>
          </w:p>
        </w:tc>
      </w:tr>
      <w:tr w:rsidR="00670F7D" w:rsidRPr="00AD2C91" w14:paraId="52D69FF8" w14:textId="77777777" w:rsidTr="007558D1">
        <w:tc>
          <w:tcPr>
            <w:cnfStyle w:val="001000000000" w:firstRow="0" w:lastRow="0" w:firstColumn="1" w:lastColumn="0" w:oddVBand="0" w:evenVBand="0" w:oddHBand="0" w:evenHBand="0" w:firstRowFirstColumn="0" w:firstRowLastColumn="0" w:lastRowFirstColumn="0" w:lastRowLastColumn="0"/>
            <w:tcW w:w="2163" w:type="dxa"/>
            <w:shd w:val="clear" w:color="auto" w:fill="FFFFFF"/>
          </w:tcPr>
          <w:p w14:paraId="0C687D10" w14:textId="3CA87D82" w:rsidR="00670F7D" w:rsidRPr="00D55388" w:rsidRDefault="00670F7D" w:rsidP="009D189F">
            <w:pPr>
              <w:rPr>
                <w:szCs w:val="22"/>
              </w:rPr>
            </w:pPr>
            <w:r w:rsidRPr="00D55388">
              <w:rPr>
                <w:szCs w:val="22"/>
              </w:rPr>
              <w:t xml:space="preserve">Central </w:t>
            </w:r>
            <w:r w:rsidR="002C328B">
              <w:rPr>
                <w:szCs w:val="22"/>
              </w:rPr>
              <w:t>a</w:t>
            </w:r>
            <w:r w:rsidRPr="00D55388">
              <w:rPr>
                <w:szCs w:val="22"/>
              </w:rPr>
              <w:t>gencies</w:t>
            </w:r>
          </w:p>
        </w:tc>
        <w:tc>
          <w:tcPr>
            <w:tcW w:w="6863" w:type="dxa"/>
            <w:shd w:val="clear" w:color="auto" w:fill="FFFFFF"/>
          </w:tcPr>
          <w:p w14:paraId="6AFB5FAD" w14:textId="0487B1CA" w:rsidR="00670F7D" w:rsidRPr="00D55388" w:rsidRDefault="00670F7D" w:rsidP="009D189F">
            <w:pPr>
              <w:cnfStyle w:val="000000000000" w:firstRow="0" w:lastRow="0" w:firstColumn="0" w:lastColumn="0" w:oddVBand="0" w:evenVBand="0" w:oddHBand="0" w:evenHBand="0" w:firstRowFirstColumn="0" w:firstRowLastColumn="0" w:lastRowFirstColumn="0" w:lastRowLastColumn="0"/>
              <w:rPr>
                <w:szCs w:val="22"/>
              </w:rPr>
            </w:pPr>
            <w:r w:rsidRPr="00D55388">
              <w:rPr>
                <w:szCs w:val="22"/>
              </w:rPr>
              <w:t>Refer</w:t>
            </w:r>
            <w:r w:rsidR="00F31243" w:rsidRPr="00D55388">
              <w:rPr>
                <w:szCs w:val="22"/>
              </w:rPr>
              <w:t>s</w:t>
            </w:r>
            <w:r w:rsidRPr="00D55388">
              <w:rPr>
                <w:szCs w:val="22"/>
              </w:rPr>
              <w:t xml:space="preserve"> to the Department of Premier and Cabinet and Department of </w:t>
            </w:r>
            <w:r w:rsidR="008570D9" w:rsidRPr="00D55388">
              <w:rPr>
                <w:szCs w:val="22"/>
              </w:rPr>
              <w:t>Treasury and Finance</w:t>
            </w:r>
            <w:r w:rsidR="00211EDC" w:rsidRPr="00D55388">
              <w:rPr>
                <w:szCs w:val="22"/>
              </w:rPr>
              <w:t>, who are responsible for whole of government policy</w:t>
            </w:r>
            <w:r w:rsidR="002C328B">
              <w:rPr>
                <w:szCs w:val="22"/>
              </w:rPr>
              <w:t xml:space="preserve"> and advice</w:t>
            </w:r>
            <w:r w:rsidR="00D55388" w:rsidRPr="00D55388">
              <w:rPr>
                <w:szCs w:val="22"/>
              </w:rPr>
              <w:t>.</w:t>
            </w:r>
          </w:p>
          <w:p w14:paraId="1F9283CA" w14:textId="2FB66B7D" w:rsidR="00670F7D" w:rsidRPr="00D55388" w:rsidRDefault="00670F7D" w:rsidP="009D189F">
            <w:pPr>
              <w:cnfStyle w:val="000000000000" w:firstRow="0" w:lastRow="0" w:firstColumn="0" w:lastColumn="0" w:oddVBand="0" w:evenVBand="0" w:oddHBand="0" w:evenHBand="0" w:firstRowFirstColumn="0" w:firstRowLastColumn="0" w:lastRowFirstColumn="0" w:lastRowLastColumn="0"/>
              <w:rPr>
                <w:szCs w:val="22"/>
              </w:rPr>
            </w:pPr>
          </w:p>
        </w:tc>
      </w:tr>
      <w:tr w:rsidR="00211EDC" w:rsidRPr="00AD2C91" w14:paraId="6EC1D69D" w14:textId="77777777" w:rsidTr="00755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3" w:type="dxa"/>
            <w:shd w:val="clear" w:color="auto" w:fill="FFFFFF"/>
          </w:tcPr>
          <w:p w14:paraId="10EFBB93" w14:textId="300491FC" w:rsidR="00211EDC" w:rsidRPr="00D55388" w:rsidRDefault="004C5C23" w:rsidP="009D189F">
            <w:pPr>
              <w:rPr>
                <w:szCs w:val="22"/>
              </w:rPr>
            </w:pPr>
            <w:r w:rsidRPr="00D55388">
              <w:rPr>
                <w:szCs w:val="22"/>
              </w:rPr>
              <w:t>Consolidated Fund</w:t>
            </w:r>
          </w:p>
        </w:tc>
        <w:tc>
          <w:tcPr>
            <w:tcW w:w="6863" w:type="dxa"/>
            <w:shd w:val="clear" w:color="auto" w:fill="FFFFFF"/>
          </w:tcPr>
          <w:p w14:paraId="01869BC8" w14:textId="5043EC0D" w:rsidR="00211EDC" w:rsidRPr="00D55388" w:rsidRDefault="007F0F32" w:rsidP="009D189F">
            <w:pPr>
              <w:cnfStyle w:val="000000100000" w:firstRow="0" w:lastRow="0" w:firstColumn="0" w:lastColumn="0" w:oddVBand="0" w:evenVBand="0" w:oddHBand="1" w:evenHBand="0" w:firstRowFirstColumn="0" w:firstRowLastColumn="0" w:lastRowFirstColumn="0" w:lastRowLastColumn="0"/>
              <w:rPr>
                <w:szCs w:val="22"/>
              </w:rPr>
            </w:pPr>
            <w:r w:rsidRPr="00D55388">
              <w:rPr>
                <w:szCs w:val="22"/>
              </w:rPr>
              <w:t xml:space="preserve">The Consolidated Fund is the </w:t>
            </w:r>
            <w:r w:rsidR="00EB7FB3" w:rsidRPr="00D55388">
              <w:rPr>
                <w:szCs w:val="22"/>
              </w:rPr>
              <w:t>g</w:t>
            </w:r>
            <w:r w:rsidRPr="00D55388">
              <w:rPr>
                <w:szCs w:val="22"/>
              </w:rPr>
              <w:t xml:space="preserve">overnment’s primary financial account and receives all consolidated revenue under the </w:t>
            </w:r>
            <w:r w:rsidRPr="00D55388">
              <w:rPr>
                <w:i/>
                <w:szCs w:val="22"/>
              </w:rPr>
              <w:t>Constitution Act 1975</w:t>
            </w:r>
            <w:r w:rsidRPr="00D55388">
              <w:rPr>
                <w:szCs w:val="22"/>
              </w:rPr>
              <w:t xml:space="preserve"> from which payments, appropriated by Parliament, are made.</w:t>
            </w:r>
          </w:p>
          <w:p w14:paraId="57FBB7AA" w14:textId="00531F6F" w:rsidR="00211EDC" w:rsidRPr="00D55388" w:rsidRDefault="00211EDC" w:rsidP="009D189F">
            <w:pPr>
              <w:cnfStyle w:val="000000100000" w:firstRow="0" w:lastRow="0" w:firstColumn="0" w:lastColumn="0" w:oddVBand="0" w:evenVBand="0" w:oddHBand="1" w:evenHBand="0" w:firstRowFirstColumn="0" w:firstRowLastColumn="0" w:lastRowFirstColumn="0" w:lastRowLastColumn="0"/>
              <w:rPr>
                <w:szCs w:val="22"/>
              </w:rPr>
            </w:pPr>
          </w:p>
        </w:tc>
      </w:tr>
      <w:tr w:rsidR="000365D6" w:rsidRPr="00AD2C91" w14:paraId="4C6917DF" w14:textId="77777777" w:rsidTr="007558D1">
        <w:trPr>
          <w:trHeight w:val="624"/>
        </w:trPr>
        <w:tc>
          <w:tcPr>
            <w:cnfStyle w:val="001000000000" w:firstRow="0" w:lastRow="0" w:firstColumn="1" w:lastColumn="0" w:oddVBand="0" w:evenVBand="0" w:oddHBand="0" w:evenHBand="0" w:firstRowFirstColumn="0" w:firstRowLastColumn="0" w:lastRowFirstColumn="0" w:lastRowLastColumn="0"/>
            <w:tcW w:w="2163" w:type="dxa"/>
            <w:shd w:val="clear" w:color="auto" w:fill="FFFFFF"/>
          </w:tcPr>
          <w:p w14:paraId="2CE3B96D" w14:textId="77777777" w:rsidR="006D78DD" w:rsidRPr="009D189F" w:rsidRDefault="006D78DD" w:rsidP="009D189F">
            <w:pPr>
              <w:spacing w:after="160" w:line="278" w:lineRule="auto"/>
              <w:rPr>
                <w:szCs w:val="22"/>
              </w:rPr>
            </w:pPr>
            <w:r w:rsidRPr="009D189F">
              <w:rPr>
                <w:szCs w:val="22"/>
              </w:rPr>
              <w:t>Executive government</w:t>
            </w:r>
          </w:p>
        </w:tc>
        <w:tc>
          <w:tcPr>
            <w:tcW w:w="6863" w:type="dxa"/>
            <w:shd w:val="clear" w:color="auto" w:fill="FFFFFF"/>
          </w:tcPr>
          <w:p w14:paraId="708F8187" w14:textId="01B1713A" w:rsidR="006D78DD" w:rsidRPr="009D189F" w:rsidRDefault="006D78DD" w:rsidP="009D189F">
            <w:pPr>
              <w:spacing w:after="160" w:line="278" w:lineRule="auto"/>
              <w:cnfStyle w:val="000000000000" w:firstRow="0" w:lastRow="0" w:firstColumn="0" w:lastColumn="0" w:oddVBand="0" w:evenVBand="0" w:oddHBand="0" w:evenHBand="0" w:firstRowFirstColumn="0" w:firstRowLastColumn="0" w:lastRowFirstColumn="0" w:lastRowLastColumn="0"/>
              <w:rPr>
                <w:szCs w:val="22"/>
              </w:rPr>
            </w:pPr>
            <w:r w:rsidRPr="009D189F">
              <w:rPr>
                <w:szCs w:val="22"/>
              </w:rPr>
              <w:t>Refers to ministers and cabinet.</w:t>
            </w:r>
          </w:p>
        </w:tc>
      </w:tr>
      <w:tr w:rsidR="00CC0A46" w:rsidRPr="00AD2C91" w14:paraId="3FBC9E6F" w14:textId="77777777" w:rsidTr="007558D1">
        <w:trPr>
          <w:cnfStyle w:val="000000100000" w:firstRow="0" w:lastRow="0" w:firstColumn="0" w:lastColumn="0" w:oddVBand="0" w:evenVBand="0" w:oddHBand="1" w:evenHBand="0" w:firstRowFirstColumn="0" w:firstRowLastColumn="0" w:lastRowFirstColumn="0" w:lastRowLastColumn="0"/>
          <w:trHeight w:val="1988"/>
        </w:trPr>
        <w:tc>
          <w:tcPr>
            <w:cnfStyle w:val="001000000000" w:firstRow="0" w:lastRow="0" w:firstColumn="1" w:lastColumn="0" w:oddVBand="0" w:evenVBand="0" w:oddHBand="0" w:evenHBand="0" w:firstRowFirstColumn="0" w:firstRowLastColumn="0" w:lastRowFirstColumn="0" w:lastRowLastColumn="0"/>
            <w:tcW w:w="2163" w:type="dxa"/>
            <w:shd w:val="clear" w:color="auto" w:fill="FFFFFF"/>
          </w:tcPr>
          <w:p w14:paraId="76C59B5A" w14:textId="641C1077" w:rsidR="006D78DD" w:rsidRPr="009D189F" w:rsidRDefault="006D78DD" w:rsidP="009D189F">
            <w:pPr>
              <w:spacing w:after="160" w:line="278" w:lineRule="auto"/>
              <w:rPr>
                <w:szCs w:val="22"/>
              </w:rPr>
            </w:pPr>
            <w:r w:rsidRPr="009D189F">
              <w:rPr>
                <w:szCs w:val="22"/>
              </w:rPr>
              <w:t>General government sector</w:t>
            </w:r>
          </w:p>
        </w:tc>
        <w:tc>
          <w:tcPr>
            <w:tcW w:w="6863" w:type="dxa"/>
            <w:shd w:val="clear" w:color="auto" w:fill="FFFFFF"/>
          </w:tcPr>
          <w:p w14:paraId="2B282FC0" w14:textId="10573392" w:rsidR="006D78DD" w:rsidRPr="009D189F" w:rsidRDefault="006D78DD" w:rsidP="009D189F">
            <w:pPr>
              <w:spacing w:after="160" w:line="278" w:lineRule="auto"/>
              <w:cnfStyle w:val="000000100000" w:firstRow="0" w:lastRow="0" w:firstColumn="0" w:lastColumn="0" w:oddVBand="0" w:evenVBand="0" w:oddHBand="1" w:evenHBand="0" w:firstRowFirstColumn="0" w:firstRowLastColumn="0" w:lastRowFirstColumn="0" w:lastRowLastColumn="0"/>
              <w:rPr>
                <w:szCs w:val="22"/>
              </w:rPr>
            </w:pPr>
            <w:r w:rsidRPr="009D189F">
              <w:rPr>
                <w:szCs w:val="22"/>
              </w:rPr>
              <w:t xml:space="preserve">Includes all government departments, offices and other bodies engaged in providing services free of charge or at prices significantly below their cost of production. These entities are financed mainly through taxes, Commonwealth Government grants, and other compulsory levies and user charges. They typically provide products and services that are non-market in nature and/or are for the collective consumption of the community, and those which involve the transfer or redistribution of income. </w:t>
            </w:r>
          </w:p>
        </w:tc>
      </w:tr>
      <w:tr w:rsidR="006D78DD" w:rsidRPr="00AD2C91" w14:paraId="74CC3405" w14:textId="77777777" w:rsidTr="007558D1">
        <w:tc>
          <w:tcPr>
            <w:cnfStyle w:val="001000000000" w:firstRow="0" w:lastRow="0" w:firstColumn="1" w:lastColumn="0" w:oddVBand="0" w:evenVBand="0" w:oddHBand="0" w:evenHBand="0" w:firstRowFirstColumn="0" w:firstRowLastColumn="0" w:lastRowFirstColumn="0" w:lastRowLastColumn="0"/>
            <w:tcW w:w="2163" w:type="dxa"/>
            <w:shd w:val="clear" w:color="auto" w:fill="FFFFFF"/>
          </w:tcPr>
          <w:p w14:paraId="4216DF51" w14:textId="77777777" w:rsidR="006D78DD" w:rsidRPr="009D189F" w:rsidRDefault="006D78DD" w:rsidP="009D189F">
            <w:pPr>
              <w:spacing w:after="160" w:line="278" w:lineRule="auto"/>
              <w:rPr>
                <w:szCs w:val="22"/>
              </w:rPr>
            </w:pPr>
            <w:r w:rsidRPr="009D189F">
              <w:rPr>
                <w:szCs w:val="22"/>
              </w:rPr>
              <w:t>Public entity</w:t>
            </w:r>
          </w:p>
        </w:tc>
        <w:tc>
          <w:tcPr>
            <w:tcW w:w="6863" w:type="dxa"/>
            <w:shd w:val="clear" w:color="auto" w:fill="FFFFFF"/>
          </w:tcPr>
          <w:p w14:paraId="4FA76A01" w14:textId="4126B19E" w:rsidR="006D78DD" w:rsidRPr="009D189F" w:rsidRDefault="006D78DD" w:rsidP="009D189F">
            <w:pPr>
              <w:spacing w:after="160" w:line="278" w:lineRule="auto"/>
              <w:cnfStyle w:val="000000000000" w:firstRow="0" w:lastRow="0" w:firstColumn="0" w:lastColumn="0" w:oddVBand="0" w:evenVBand="0" w:oddHBand="0" w:evenHBand="0" w:firstRowFirstColumn="0" w:firstRowLastColumn="0" w:lastRowFirstColumn="0" w:lastRowLastColumn="0"/>
              <w:rPr>
                <w:szCs w:val="22"/>
              </w:rPr>
            </w:pPr>
            <w:r w:rsidRPr="009D189F">
              <w:rPr>
                <w:szCs w:val="22"/>
              </w:rPr>
              <w:t>A</w:t>
            </w:r>
            <w:r w:rsidRPr="009D189F">
              <w:rPr>
                <w:b/>
                <w:szCs w:val="22"/>
              </w:rPr>
              <w:t xml:space="preserve"> </w:t>
            </w:r>
            <w:r w:rsidRPr="009D189F">
              <w:rPr>
                <w:szCs w:val="22"/>
              </w:rPr>
              <w:t xml:space="preserve">public entity is an </w:t>
            </w:r>
            <w:proofErr w:type="spellStart"/>
            <w:r w:rsidRPr="009D189F">
              <w:rPr>
                <w:szCs w:val="22"/>
              </w:rPr>
              <w:t>o</w:t>
            </w:r>
            <w:r w:rsidRPr="009D189F">
              <w:rPr>
                <w:b/>
                <w:szCs w:val="22"/>
              </w:rPr>
              <w:t>r</w:t>
            </w:r>
            <w:r w:rsidRPr="009D189F">
              <w:rPr>
                <w:szCs w:val="22"/>
              </w:rPr>
              <w:t>ganisation</w:t>
            </w:r>
            <w:proofErr w:type="spellEnd"/>
            <w:r w:rsidRPr="009D189F">
              <w:rPr>
                <w:szCs w:val="22"/>
              </w:rPr>
              <w:t xml:space="preserve"> that exercises </w:t>
            </w:r>
            <w:proofErr w:type="gramStart"/>
            <w:r w:rsidRPr="009D189F">
              <w:rPr>
                <w:szCs w:val="22"/>
              </w:rPr>
              <w:t>a public</w:t>
            </w:r>
            <w:proofErr w:type="gramEnd"/>
            <w:r w:rsidRPr="009D189F">
              <w:rPr>
                <w:szCs w:val="22"/>
              </w:rPr>
              <w:t xml:space="preserve"> function and is established outside the VPS. The entity performs its function with varied autonomy from ministers and public servants. Public entities are established through various instruments ranging from legislation to ministerial direction, and many have a governing board. </w:t>
            </w:r>
          </w:p>
          <w:p w14:paraId="1861F7F9" w14:textId="56D4AAA1" w:rsidR="006D78DD" w:rsidRPr="009D189F" w:rsidRDefault="006D78DD" w:rsidP="009D189F">
            <w:pPr>
              <w:spacing w:after="160" w:line="278" w:lineRule="auto"/>
              <w:cnfStyle w:val="000000000000" w:firstRow="0" w:lastRow="0" w:firstColumn="0" w:lastColumn="0" w:oddVBand="0" w:evenVBand="0" w:oddHBand="0" w:evenHBand="0" w:firstRowFirstColumn="0" w:firstRowLastColumn="0" w:lastRowFirstColumn="0" w:lastRowLastColumn="0"/>
              <w:rPr>
                <w:szCs w:val="22"/>
              </w:rPr>
            </w:pPr>
            <w:r w:rsidRPr="009D189F">
              <w:rPr>
                <w:szCs w:val="22"/>
              </w:rPr>
              <w:lastRenderedPageBreak/>
              <w:t>Broadly defined, public entities include regulators, service delivery bodies, independent advisory bodies, advisory committees and asset managers. Boards and committees include school councils, cemetery trusts and Crown land management committees.</w:t>
            </w:r>
          </w:p>
          <w:p w14:paraId="28FFB4EA" w14:textId="46518614" w:rsidR="006D78DD" w:rsidRPr="009D189F" w:rsidRDefault="006D78DD" w:rsidP="009D189F">
            <w:pPr>
              <w:spacing w:after="160" w:line="278" w:lineRule="auto"/>
              <w:cnfStyle w:val="000000000000" w:firstRow="0" w:lastRow="0" w:firstColumn="0" w:lastColumn="0" w:oddVBand="0" w:evenVBand="0" w:oddHBand="0" w:evenHBand="0" w:firstRowFirstColumn="0" w:firstRowLastColumn="0" w:lastRowFirstColumn="0" w:lastRowLastColumn="0"/>
              <w:rPr>
                <w:szCs w:val="22"/>
              </w:rPr>
            </w:pPr>
            <w:r w:rsidRPr="009D189F">
              <w:rPr>
                <w:szCs w:val="22"/>
              </w:rPr>
              <w:t>This Review has used the terminology ‘public sector entity’ to cover both public entities (sitting outside the VPS) and VPS non-departmental entities in its analysis of entity reform.</w:t>
            </w:r>
          </w:p>
        </w:tc>
      </w:tr>
      <w:tr w:rsidR="00EC4A35" w:rsidRPr="00AD2C91" w14:paraId="67211366" w14:textId="77777777" w:rsidTr="00755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3" w:type="dxa"/>
            <w:shd w:val="clear" w:color="auto" w:fill="FFFFFF"/>
          </w:tcPr>
          <w:p w14:paraId="58F4A64E" w14:textId="77777777" w:rsidR="006D78DD" w:rsidRPr="009D189F" w:rsidRDefault="006D78DD" w:rsidP="009D189F">
            <w:pPr>
              <w:spacing w:after="160" w:line="278" w:lineRule="auto"/>
              <w:rPr>
                <w:szCs w:val="22"/>
              </w:rPr>
            </w:pPr>
            <w:r w:rsidRPr="009D189F">
              <w:rPr>
                <w:szCs w:val="22"/>
              </w:rPr>
              <w:lastRenderedPageBreak/>
              <w:t>Public financial corporations (PFC) sector</w:t>
            </w:r>
          </w:p>
        </w:tc>
        <w:tc>
          <w:tcPr>
            <w:tcW w:w="6863" w:type="dxa"/>
            <w:shd w:val="clear" w:color="auto" w:fill="FFFFFF"/>
          </w:tcPr>
          <w:p w14:paraId="3C9CD195" w14:textId="77777777" w:rsidR="006D78DD" w:rsidRPr="009D189F" w:rsidRDefault="006D78DD" w:rsidP="009D189F">
            <w:pPr>
              <w:spacing w:after="160" w:line="278" w:lineRule="auto"/>
              <w:cnfStyle w:val="000000100000" w:firstRow="0" w:lastRow="0" w:firstColumn="0" w:lastColumn="0" w:oddVBand="0" w:evenVBand="0" w:oddHBand="1" w:evenHBand="0" w:firstRowFirstColumn="0" w:firstRowLastColumn="0" w:lastRowFirstColumn="0" w:lastRowLastColumn="0"/>
              <w:rPr>
                <w:szCs w:val="22"/>
              </w:rPr>
            </w:pPr>
            <w:r w:rsidRPr="009D189F">
              <w:rPr>
                <w:szCs w:val="22"/>
              </w:rPr>
              <w:t xml:space="preserve">The PFC sector comprises bodies primarily engaged in the provision of financial intermediation services or auxiliary financial services. They </w:t>
            </w:r>
            <w:proofErr w:type="gramStart"/>
            <w:r w:rsidRPr="009D189F">
              <w:rPr>
                <w:szCs w:val="22"/>
              </w:rPr>
              <w:t>are able to</w:t>
            </w:r>
            <w:proofErr w:type="gramEnd"/>
            <w:r w:rsidRPr="009D189F">
              <w:rPr>
                <w:szCs w:val="22"/>
              </w:rPr>
              <w:t xml:space="preserve"> incur financial liabilities (e.g. taking deposits, issuing securities or providing insurance services) and acquire financial assets in the market on their own account.</w:t>
            </w:r>
          </w:p>
        </w:tc>
      </w:tr>
      <w:tr w:rsidR="006D78DD" w:rsidRPr="00AD2C91" w14:paraId="21C022E6" w14:textId="77777777" w:rsidTr="007558D1">
        <w:tc>
          <w:tcPr>
            <w:cnfStyle w:val="001000000000" w:firstRow="0" w:lastRow="0" w:firstColumn="1" w:lastColumn="0" w:oddVBand="0" w:evenVBand="0" w:oddHBand="0" w:evenHBand="0" w:firstRowFirstColumn="0" w:firstRowLastColumn="0" w:lastRowFirstColumn="0" w:lastRowLastColumn="0"/>
            <w:tcW w:w="2163" w:type="dxa"/>
            <w:shd w:val="clear" w:color="auto" w:fill="FFFFFF"/>
          </w:tcPr>
          <w:p w14:paraId="7AF21AD3" w14:textId="77777777" w:rsidR="006D78DD" w:rsidRPr="009D189F" w:rsidRDefault="006D78DD" w:rsidP="009D189F">
            <w:pPr>
              <w:spacing w:after="160" w:line="278" w:lineRule="auto"/>
              <w:rPr>
                <w:szCs w:val="22"/>
              </w:rPr>
            </w:pPr>
            <w:r w:rsidRPr="009D189F">
              <w:rPr>
                <w:szCs w:val="22"/>
              </w:rPr>
              <w:t>Public non-financial corporations (PNFC) sector</w:t>
            </w:r>
          </w:p>
        </w:tc>
        <w:tc>
          <w:tcPr>
            <w:tcW w:w="6863" w:type="dxa"/>
            <w:shd w:val="clear" w:color="auto" w:fill="FFFFFF"/>
          </w:tcPr>
          <w:p w14:paraId="4430DDF7" w14:textId="44A5512D" w:rsidR="006D78DD" w:rsidRPr="009D189F" w:rsidRDefault="006D78DD" w:rsidP="009D189F">
            <w:pPr>
              <w:spacing w:after="160" w:line="278" w:lineRule="auto"/>
              <w:cnfStyle w:val="000000000000" w:firstRow="0" w:lastRow="0" w:firstColumn="0" w:lastColumn="0" w:oddVBand="0" w:evenVBand="0" w:oddHBand="0" w:evenHBand="0" w:firstRowFirstColumn="0" w:firstRowLastColumn="0" w:lastRowFirstColumn="0" w:lastRowLastColumn="0"/>
              <w:rPr>
                <w:szCs w:val="22"/>
              </w:rPr>
            </w:pPr>
            <w:r w:rsidRPr="009D189F">
              <w:rPr>
                <w:szCs w:val="22"/>
              </w:rPr>
              <w:t>The PNFC sector comprises bodies mainly engaged in the production of market goods and non-financial services (of a non-financial nature) for sale in the marketplace at prices that aim to recover most of the costs involved (e.g. water and port authorities). In general, PNFCs are legally distinguishable from the governments that own them.</w:t>
            </w:r>
          </w:p>
        </w:tc>
      </w:tr>
      <w:tr w:rsidR="00EC4A35" w:rsidRPr="00AD2C91" w14:paraId="042F50D1" w14:textId="77777777" w:rsidTr="00755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3" w:type="dxa"/>
            <w:shd w:val="clear" w:color="auto" w:fill="FFFFFF"/>
          </w:tcPr>
          <w:p w14:paraId="6307A70C" w14:textId="21547BCC" w:rsidR="006D78DD" w:rsidRPr="00573315" w:rsidRDefault="00033DA5" w:rsidP="009D189F">
            <w:pPr>
              <w:spacing w:after="160" w:line="278" w:lineRule="auto"/>
              <w:rPr>
                <w:szCs w:val="22"/>
              </w:rPr>
            </w:pPr>
            <w:r>
              <w:rPr>
                <w:szCs w:val="22"/>
              </w:rPr>
              <w:t>Resource Management Framework</w:t>
            </w:r>
            <w:r w:rsidR="00035440">
              <w:rPr>
                <w:szCs w:val="22"/>
              </w:rPr>
              <w:t xml:space="preserve"> (RMF)</w:t>
            </w:r>
          </w:p>
        </w:tc>
        <w:tc>
          <w:tcPr>
            <w:tcW w:w="6863" w:type="dxa"/>
            <w:shd w:val="clear" w:color="auto" w:fill="FFFFFF"/>
          </w:tcPr>
          <w:p w14:paraId="1DCAB285" w14:textId="690F978D" w:rsidR="006D78DD" w:rsidRPr="00573315" w:rsidRDefault="00612E13" w:rsidP="009D189F">
            <w:pPr>
              <w:spacing w:after="160" w:line="278" w:lineRule="auto"/>
              <w:cnfStyle w:val="000000100000" w:firstRow="0" w:lastRow="0" w:firstColumn="0" w:lastColumn="0" w:oddVBand="0" w:evenVBand="0" w:oddHBand="1" w:evenHBand="0" w:firstRowFirstColumn="0" w:firstRowLastColumn="0" w:lastRowFirstColumn="0" w:lastRowLastColumn="0"/>
              <w:rPr>
                <w:szCs w:val="22"/>
              </w:rPr>
            </w:pPr>
            <w:r w:rsidRPr="00612E13">
              <w:rPr>
                <w:szCs w:val="22"/>
              </w:rPr>
              <w:t>The RMF outlines requirements for government and public sector planning, budgeting, service delivery, accountability and review. The RMF places major focus on the annual budget cycle with additional obligations applied on and guidance given to departments for medium-term (four years) and long-term (greater than five years) planning</w:t>
            </w:r>
          </w:p>
        </w:tc>
      </w:tr>
      <w:tr w:rsidR="006D78DD" w:rsidRPr="00AD2C91" w14:paraId="35683A27" w14:textId="77777777" w:rsidTr="007558D1">
        <w:tc>
          <w:tcPr>
            <w:cnfStyle w:val="001000000000" w:firstRow="0" w:lastRow="0" w:firstColumn="1" w:lastColumn="0" w:oddVBand="0" w:evenVBand="0" w:oddHBand="0" w:evenHBand="0" w:firstRowFirstColumn="0" w:firstRowLastColumn="0" w:lastRowFirstColumn="0" w:lastRowLastColumn="0"/>
            <w:tcW w:w="2163" w:type="dxa"/>
            <w:shd w:val="clear" w:color="auto" w:fill="FFFFFF"/>
          </w:tcPr>
          <w:p w14:paraId="263C13C1" w14:textId="77777777" w:rsidR="006D78DD" w:rsidRPr="009D189F" w:rsidRDefault="006D78DD" w:rsidP="009D189F">
            <w:pPr>
              <w:spacing w:after="160" w:line="278" w:lineRule="auto"/>
              <w:rPr>
                <w:szCs w:val="22"/>
              </w:rPr>
            </w:pPr>
            <w:r w:rsidRPr="009D189F">
              <w:rPr>
                <w:szCs w:val="22"/>
              </w:rPr>
              <w:t>Victorian Public Sector</w:t>
            </w:r>
          </w:p>
        </w:tc>
        <w:tc>
          <w:tcPr>
            <w:tcW w:w="6863" w:type="dxa"/>
            <w:shd w:val="clear" w:color="auto" w:fill="FFFFFF"/>
          </w:tcPr>
          <w:p w14:paraId="379A4C27" w14:textId="4767E36D" w:rsidR="006D78DD" w:rsidRPr="009D189F" w:rsidRDefault="006D78DD" w:rsidP="009D189F">
            <w:pPr>
              <w:spacing w:after="160" w:line="278" w:lineRule="auto"/>
              <w:cnfStyle w:val="000000000000" w:firstRow="0" w:lastRow="0" w:firstColumn="0" w:lastColumn="0" w:oddVBand="0" w:evenVBand="0" w:oddHBand="0" w:evenHBand="0" w:firstRowFirstColumn="0" w:firstRowLastColumn="0" w:lastRowFirstColumn="0" w:lastRowLastColumn="0"/>
              <w:rPr>
                <w:szCs w:val="22"/>
              </w:rPr>
            </w:pPr>
            <w:r w:rsidRPr="009D189F">
              <w:rPr>
                <w:szCs w:val="22"/>
              </w:rPr>
              <w:t xml:space="preserve">The Victorian Public Sector includes the </w:t>
            </w:r>
            <w:r w:rsidR="002559E6">
              <w:rPr>
                <w:szCs w:val="22"/>
              </w:rPr>
              <w:t>VPS</w:t>
            </w:r>
            <w:r w:rsidRPr="009D189F">
              <w:rPr>
                <w:szCs w:val="22"/>
              </w:rPr>
              <w:t xml:space="preserve"> alongside other public sector entities (e.g., Melbourne Water, V/Line). It includes teachers, nurses, paramedics, police officers and others.</w:t>
            </w:r>
          </w:p>
        </w:tc>
      </w:tr>
      <w:tr w:rsidR="00EC4A35" w:rsidRPr="00AD2C91" w14:paraId="7DB662A5" w14:textId="77777777" w:rsidTr="00755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3" w:type="dxa"/>
            <w:shd w:val="clear" w:color="auto" w:fill="FFFFFF"/>
          </w:tcPr>
          <w:p w14:paraId="7A8BB6AB" w14:textId="620DDAE3" w:rsidR="006D78DD" w:rsidRPr="009D189F" w:rsidRDefault="006D78DD" w:rsidP="009D189F">
            <w:pPr>
              <w:spacing w:after="160" w:line="278" w:lineRule="auto"/>
              <w:rPr>
                <w:szCs w:val="22"/>
              </w:rPr>
            </w:pPr>
            <w:r w:rsidRPr="009D189F">
              <w:rPr>
                <w:szCs w:val="22"/>
              </w:rPr>
              <w:t>Victorian Public Service</w:t>
            </w:r>
            <w:r w:rsidR="002559E6">
              <w:rPr>
                <w:szCs w:val="22"/>
              </w:rPr>
              <w:t xml:space="preserve"> (VPS)</w:t>
            </w:r>
          </w:p>
        </w:tc>
        <w:tc>
          <w:tcPr>
            <w:tcW w:w="6863" w:type="dxa"/>
            <w:shd w:val="clear" w:color="auto" w:fill="FFFFFF"/>
          </w:tcPr>
          <w:p w14:paraId="57CF4BE8" w14:textId="675CB059" w:rsidR="006D78DD" w:rsidRPr="009D189F" w:rsidRDefault="006D78DD" w:rsidP="009D189F">
            <w:pPr>
              <w:spacing w:after="160" w:line="278" w:lineRule="auto"/>
              <w:cnfStyle w:val="000000100000" w:firstRow="0" w:lastRow="0" w:firstColumn="0" w:lastColumn="0" w:oddVBand="0" w:evenVBand="0" w:oddHBand="1" w:evenHBand="0" w:firstRowFirstColumn="0" w:firstRowLastColumn="0" w:lastRowFirstColumn="0" w:lastRowLastColumn="0"/>
              <w:rPr>
                <w:szCs w:val="22"/>
              </w:rPr>
            </w:pPr>
            <w:r w:rsidRPr="009D189F">
              <w:rPr>
                <w:szCs w:val="22"/>
              </w:rPr>
              <w:t xml:space="preserve">The VPS comprises departments (Department of Health, Department of Government Services etc.) and non-departmental entities. </w:t>
            </w:r>
          </w:p>
          <w:p w14:paraId="469FDB8C" w14:textId="65796218" w:rsidR="006D78DD" w:rsidRPr="009D189F" w:rsidRDefault="006D78DD" w:rsidP="009D189F">
            <w:pPr>
              <w:spacing w:after="160" w:line="278" w:lineRule="auto"/>
              <w:cnfStyle w:val="000000100000" w:firstRow="0" w:lastRow="0" w:firstColumn="0" w:lastColumn="0" w:oddVBand="0" w:evenVBand="0" w:oddHBand="1" w:evenHBand="0" w:firstRowFirstColumn="0" w:firstRowLastColumn="0" w:lastRowFirstColumn="0" w:lastRowLastColumn="0"/>
              <w:rPr>
                <w:szCs w:val="22"/>
              </w:rPr>
            </w:pPr>
            <w:r w:rsidRPr="009D189F">
              <w:rPr>
                <w:szCs w:val="22"/>
              </w:rPr>
              <w:t>Examples of non-departmental entities are</w:t>
            </w:r>
            <w:r w:rsidRPr="009D189F" w:rsidDel="002B5EC5">
              <w:rPr>
                <w:szCs w:val="22"/>
              </w:rPr>
              <w:t xml:space="preserve"> </w:t>
            </w:r>
            <w:r w:rsidRPr="009D189F">
              <w:rPr>
                <w:szCs w:val="22"/>
              </w:rPr>
              <w:t xml:space="preserve">Victoria Police (non-sworn), Court Services Victoria, Victorian Infrastructure Delivery Authority, Suburban Rail Loop Authority, </w:t>
            </w:r>
            <w:proofErr w:type="spellStart"/>
            <w:r w:rsidRPr="009D189F">
              <w:rPr>
                <w:szCs w:val="22"/>
              </w:rPr>
              <w:t>CenITex</w:t>
            </w:r>
            <w:proofErr w:type="spellEnd"/>
            <w:r w:rsidRPr="009D189F">
              <w:rPr>
                <w:szCs w:val="22"/>
              </w:rPr>
              <w:t xml:space="preserve"> and</w:t>
            </w:r>
            <w:r>
              <w:rPr>
                <w:szCs w:val="22"/>
              </w:rPr>
              <w:t xml:space="preserve"> </w:t>
            </w:r>
            <w:r w:rsidR="002559E6">
              <w:rPr>
                <w:szCs w:val="22"/>
              </w:rPr>
              <w:t>the</w:t>
            </w:r>
            <w:r w:rsidRPr="009D189F">
              <w:rPr>
                <w:szCs w:val="22"/>
              </w:rPr>
              <w:t xml:space="preserve"> Environment Protection Authority.</w:t>
            </w:r>
          </w:p>
        </w:tc>
      </w:tr>
    </w:tbl>
    <w:p w14:paraId="20B9381C" w14:textId="77777777" w:rsidR="007C6AB0" w:rsidRPr="009D189F" w:rsidRDefault="007C6AB0" w:rsidP="009B77E8">
      <w:pPr>
        <w:rPr>
          <w:b/>
          <w:szCs w:val="22"/>
          <w:highlight w:val="yellow"/>
        </w:rPr>
      </w:pPr>
    </w:p>
    <w:p w14:paraId="0D632D5A" w14:textId="05398995" w:rsidR="001F7BA8" w:rsidRPr="004D4082" w:rsidRDefault="001F7BA8">
      <w:pPr>
        <w:rPr>
          <w:b/>
          <w:sz w:val="32"/>
          <w:szCs w:val="32"/>
          <w:highlight w:val="yellow"/>
        </w:rPr>
      </w:pPr>
    </w:p>
    <w:sectPr w:rsidR="001F7BA8" w:rsidRPr="004D4082" w:rsidSect="00AE6104">
      <w:type w:val="continuous"/>
      <w:pgSz w:w="11906" w:h="16838"/>
      <w:pgMar w:top="1440" w:right="1440" w:bottom="1440" w:left="1440" w:header="708" w:footer="708" w:gutter="0"/>
      <w:cols w:space="708"/>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BCC0A" w14:textId="77777777" w:rsidR="008756A1" w:rsidRDefault="008756A1" w:rsidP="00EB175B">
      <w:pPr>
        <w:spacing w:after="0" w:line="240" w:lineRule="auto"/>
      </w:pPr>
      <w:r>
        <w:separator/>
      </w:r>
    </w:p>
  </w:endnote>
  <w:endnote w:type="continuationSeparator" w:id="0">
    <w:p w14:paraId="1A0D759C" w14:textId="77777777" w:rsidR="008756A1" w:rsidRDefault="008756A1" w:rsidP="00EB175B">
      <w:pPr>
        <w:spacing w:after="0" w:line="240" w:lineRule="auto"/>
      </w:pPr>
      <w:r>
        <w:continuationSeparator/>
      </w:r>
    </w:p>
  </w:endnote>
  <w:endnote w:type="continuationNotice" w:id="1">
    <w:p w14:paraId="03482B43" w14:textId="77777777" w:rsidR="008756A1" w:rsidRDefault="008756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Arial,Times New Roman">
    <w:altName w:val="Aptos"/>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0034251"/>
      <w:docPartObj>
        <w:docPartGallery w:val="Page Numbers (Bottom of Page)"/>
        <w:docPartUnique/>
      </w:docPartObj>
    </w:sdtPr>
    <w:sdtEndPr>
      <w:rPr>
        <w:noProof/>
      </w:rPr>
    </w:sdtEndPr>
    <w:sdtContent>
      <w:p w14:paraId="610FE523" w14:textId="53AE00D1" w:rsidR="00945281" w:rsidRDefault="00945281">
        <w:pPr>
          <w:pStyle w:val="Footer"/>
        </w:pPr>
        <w:r>
          <w:fldChar w:fldCharType="begin"/>
        </w:r>
        <w:r>
          <w:instrText xml:space="preserve"> PAGE   \* MERGEFORMAT </w:instrText>
        </w:r>
        <w:r>
          <w:fldChar w:fldCharType="separate"/>
        </w:r>
        <w:r>
          <w:rPr>
            <w:noProof/>
          </w:rPr>
          <w:t>2</w:t>
        </w:r>
        <w:r>
          <w:rPr>
            <w:noProof/>
          </w:rPr>
          <w:fldChar w:fldCharType="end"/>
        </w:r>
      </w:p>
    </w:sdtContent>
  </w:sdt>
  <w:p w14:paraId="46835E83" w14:textId="31D55AFA" w:rsidR="00F0496F" w:rsidRDefault="00F049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36519" w14:textId="15A553F5" w:rsidR="0068750C" w:rsidRDefault="00000000">
    <w:pPr>
      <w:pStyle w:val="Footer"/>
      <w:jc w:val="right"/>
    </w:pPr>
    <w:sdt>
      <w:sdtPr>
        <w:id w:val="-634878037"/>
        <w:docPartObj>
          <w:docPartGallery w:val="Page Numbers (Bottom of Page)"/>
          <w:docPartUnique/>
        </w:docPartObj>
      </w:sdtPr>
      <w:sdtEndPr>
        <w:rPr>
          <w:noProof/>
        </w:rPr>
      </w:sdtEndPr>
      <w:sdtContent>
        <w:r w:rsidR="00EB175B">
          <w:fldChar w:fldCharType="begin"/>
        </w:r>
        <w:r w:rsidR="00EB175B">
          <w:instrText xml:space="preserve"> PAGE   \* MERGEFORMAT </w:instrText>
        </w:r>
        <w:r w:rsidR="00EB175B">
          <w:fldChar w:fldCharType="separate"/>
        </w:r>
        <w:r w:rsidR="00EB175B">
          <w:rPr>
            <w:noProof/>
          </w:rPr>
          <w:t>2</w:t>
        </w:r>
        <w:r w:rsidR="00EB175B">
          <w:rPr>
            <w:noProof/>
          </w:rPr>
          <w:fldChar w:fldCharType="end"/>
        </w:r>
      </w:sdtContent>
    </w:sdt>
  </w:p>
  <w:p w14:paraId="38D7811C" w14:textId="77777777" w:rsidR="00EB175B" w:rsidRDefault="00EB175B" w:rsidP="005771B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01C42" w14:textId="77777777" w:rsidR="008756A1" w:rsidRDefault="008756A1" w:rsidP="00EB175B">
      <w:pPr>
        <w:spacing w:after="0" w:line="240" w:lineRule="auto"/>
      </w:pPr>
      <w:r>
        <w:separator/>
      </w:r>
    </w:p>
  </w:footnote>
  <w:footnote w:type="continuationSeparator" w:id="0">
    <w:p w14:paraId="76FF1F9D" w14:textId="77777777" w:rsidR="008756A1" w:rsidRDefault="008756A1" w:rsidP="00EB175B">
      <w:pPr>
        <w:spacing w:after="0" w:line="240" w:lineRule="auto"/>
      </w:pPr>
      <w:r>
        <w:continuationSeparator/>
      </w:r>
    </w:p>
  </w:footnote>
  <w:footnote w:type="continuationNotice" w:id="1">
    <w:p w14:paraId="4D3850AA" w14:textId="77777777" w:rsidR="008756A1" w:rsidRDefault="008756A1">
      <w:pPr>
        <w:spacing w:after="0" w:line="240" w:lineRule="auto"/>
      </w:pPr>
    </w:p>
  </w:footnote>
  <w:footnote w:id="2">
    <w:p w14:paraId="049AF577" w14:textId="13BCDEB9" w:rsidR="00434E81" w:rsidRDefault="00434E81" w:rsidP="00434E81">
      <w:pPr>
        <w:pStyle w:val="FootnoteText"/>
      </w:pPr>
      <w:r>
        <w:rPr>
          <w:rStyle w:val="FootnoteReference"/>
        </w:rPr>
        <w:footnoteRef/>
      </w:r>
      <w:r>
        <w:t xml:space="preserve"> </w:t>
      </w:r>
      <w:r w:rsidRPr="00674BF7">
        <w:rPr>
          <w:lang w:val="en-GB"/>
        </w:rPr>
        <w:t>As a matter of good practice</w:t>
      </w:r>
      <w:r>
        <w:rPr>
          <w:lang w:val="en-GB"/>
        </w:rPr>
        <w:t>,</w:t>
      </w:r>
      <w:r w:rsidRPr="00674BF7">
        <w:rPr>
          <w:lang w:val="en-GB"/>
        </w:rPr>
        <w:t xml:space="preserve"> the Review presents data on actual</w:t>
      </w:r>
      <w:r>
        <w:rPr>
          <w:lang w:val="en-GB"/>
        </w:rPr>
        <w:t xml:space="preserve"> expenditure</w:t>
      </w:r>
      <w:r w:rsidRPr="00674BF7">
        <w:rPr>
          <w:lang w:val="en-GB"/>
        </w:rPr>
        <w:t xml:space="preserve"> and revenue wherever possible. </w:t>
      </w:r>
      <w:r w:rsidR="00E4269F">
        <w:rPr>
          <w:lang w:val="en-GB"/>
        </w:rPr>
        <w:t>Therefore 2023-24 is the latest year available in most cases.</w:t>
      </w:r>
      <w:r w:rsidDel="00674BF7">
        <w:t xml:space="preserve"> </w:t>
      </w:r>
    </w:p>
  </w:footnote>
  <w:footnote w:id="3">
    <w:p w14:paraId="47C79818" w14:textId="397D2058" w:rsidR="00434E81" w:rsidRDefault="00434E81" w:rsidP="00AA6ABB">
      <w:pPr>
        <w:pStyle w:val="FootnoteText"/>
      </w:pPr>
      <w:r>
        <w:rPr>
          <w:rStyle w:val="FootnoteReference"/>
        </w:rPr>
        <w:footnoteRef/>
      </w:r>
      <w:r>
        <w:t xml:space="preserve"> The </w:t>
      </w:r>
      <w:r w:rsidRPr="004F3648">
        <w:t>Victorian Public Service (VPS)</w:t>
      </w:r>
      <w:r>
        <w:t xml:space="preserve"> comprises departments and non-department</w:t>
      </w:r>
      <w:r w:rsidR="00631508">
        <w:t>al</w:t>
      </w:r>
      <w:r>
        <w:t xml:space="preserve"> entities</w:t>
      </w:r>
      <w:r w:rsidR="00B04836">
        <w:t>.</w:t>
      </w:r>
      <w:r>
        <w:t xml:space="preserve"> </w:t>
      </w:r>
      <w:r w:rsidR="00C30936">
        <w:t xml:space="preserve">Examples of VPS non-departmental entities include Court Services Victoria, </w:t>
      </w:r>
      <w:r w:rsidR="00823151">
        <w:t xml:space="preserve">the </w:t>
      </w:r>
      <w:r w:rsidR="00C30936">
        <w:t>Environment Protection A</w:t>
      </w:r>
      <w:r w:rsidR="00823151">
        <w:t>uthority</w:t>
      </w:r>
      <w:r w:rsidR="00C30936">
        <w:t xml:space="preserve"> and </w:t>
      </w:r>
      <w:r w:rsidR="006760B5">
        <w:t>CenITex</w:t>
      </w:r>
      <w:r w:rsidR="00C30936">
        <w:t>.</w:t>
      </w:r>
    </w:p>
  </w:footnote>
  <w:footnote w:id="4">
    <w:p w14:paraId="4F229D98" w14:textId="7952DA19" w:rsidR="00434E81" w:rsidRDefault="00434E81" w:rsidP="00434E81">
      <w:pPr>
        <w:pStyle w:val="FootnoteText"/>
      </w:pPr>
      <w:r>
        <w:rPr>
          <w:rStyle w:val="FootnoteReference"/>
        </w:rPr>
        <w:footnoteRef/>
      </w:r>
      <w:r>
        <w:t xml:space="preserve"> The </w:t>
      </w:r>
      <w:r w:rsidRPr="004F3648">
        <w:t>public sector </w:t>
      </w:r>
      <w:r>
        <w:t xml:space="preserve">is broader and includes the VPS </w:t>
      </w:r>
      <w:r w:rsidRPr="004F3648">
        <w:t>a</w:t>
      </w:r>
      <w:r w:rsidR="004F3648">
        <w:t>nd</w:t>
      </w:r>
      <w:r>
        <w:t xml:space="preserve"> other public entities (e.g. </w:t>
      </w:r>
      <w:r w:rsidRPr="008A20EF">
        <w:t>Melbourne Water, V/Line etc)</w:t>
      </w:r>
      <w:r w:rsidR="00DE37DB">
        <w:t>.</w:t>
      </w:r>
      <w:r w:rsidRPr="008A20EF">
        <w:t xml:space="preserve"> It includes teachers, nurses, paramedics, police officers and others.</w:t>
      </w:r>
      <w:r>
        <w:t xml:space="preserve"> </w:t>
      </w:r>
    </w:p>
  </w:footnote>
  <w:footnote w:id="5">
    <w:p w14:paraId="16137B12" w14:textId="4C7B07E5" w:rsidR="00434E81" w:rsidRPr="00AD5A67" w:rsidRDefault="00434E81" w:rsidP="00434E81">
      <w:pPr>
        <w:pStyle w:val="FootnoteText"/>
      </w:pPr>
      <w:r>
        <w:rPr>
          <w:rStyle w:val="FootnoteReference"/>
        </w:rPr>
        <w:footnoteRef/>
      </w:r>
      <w:r>
        <w:t xml:space="preserve"> </w:t>
      </w:r>
      <w:r w:rsidR="00210FEE">
        <w:t>VAGO</w:t>
      </w:r>
      <w:r w:rsidR="009C7AF2" w:rsidRPr="009C7AF2">
        <w:t>,</w:t>
      </w:r>
      <w:r>
        <w:t xml:space="preserve"> </w:t>
      </w:r>
      <w:r w:rsidRPr="00986449">
        <w:rPr>
          <w:i/>
        </w:rPr>
        <w:t>Contractors and Consultants in the Victorian Public Service: Spending</w:t>
      </w:r>
      <w:r>
        <w:t xml:space="preserve">, Independent Assurance Report to Parliament, </w:t>
      </w:r>
      <w:r w:rsidR="009C7AF2" w:rsidRPr="009C7AF2">
        <w:t>202</w:t>
      </w:r>
      <w:r w:rsidR="00986449">
        <w:t>3.</w:t>
      </w:r>
    </w:p>
  </w:footnote>
  <w:footnote w:id="6">
    <w:p w14:paraId="2C51C0FA" w14:textId="630B7B37" w:rsidR="00077A28" w:rsidRPr="00545E3E" w:rsidRDefault="00077A28" w:rsidP="00077A28">
      <w:pPr>
        <w:pStyle w:val="FootnoteText"/>
      </w:pPr>
      <w:r w:rsidRPr="005B3C53">
        <w:rPr>
          <w:rStyle w:val="FootnoteReference"/>
        </w:rPr>
        <w:footnoteRef/>
      </w:r>
      <w:r w:rsidRPr="005B3C53">
        <w:t xml:space="preserve"> Victorian Budget 2025/26, Budget Paper No. 2, page 4 sets out: “The fourth step – stab</w:t>
      </w:r>
      <w:r w:rsidR="00841F45" w:rsidRPr="005B3C53">
        <w:t>i</w:t>
      </w:r>
      <w:r w:rsidRPr="005B3C53">
        <w:t>lising net debt as a percentage of GSP – involve progressively improving cash flow surpluses while growing the economy.  These surpluses will fund a higher proportion of capital expenditure, reducing the reliance on borrowings.  The 2025-26 Budget forecasts the achievement of this step from 2026-27.”</w:t>
      </w:r>
    </w:p>
  </w:footnote>
  <w:footnote w:id="7">
    <w:p w14:paraId="634BD6E1" w14:textId="0E04D25A" w:rsidR="00A45A8A" w:rsidRDefault="00A45A8A">
      <w:pPr>
        <w:pStyle w:val="FootnoteText"/>
      </w:pPr>
      <w:r>
        <w:rPr>
          <w:rStyle w:val="FootnoteReference"/>
        </w:rPr>
        <w:footnoteRef/>
      </w:r>
      <w:r>
        <w:t xml:space="preserve"> </w:t>
      </w:r>
      <w:r w:rsidRPr="00EB096B">
        <w:t>Base funding refers to ongoing funding for a department or entity; distinct from new initiatives that are considered during the budget process.</w:t>
      </w:r>
    </w:p>
  </w:footnote>
  <w:footnote w:id="8">
    <w:p w14:paraId="7024AFE3" w14:textId="337C98D0" w:rsidR="00077A28" w:rsidRPr="002533CC" w:rsidRDefault="00077A28" w:rsidP="00077A28">
      <w:pPr>
        <w:pStyle w:val="FootnoteText"/>
        <w:rPr>
          <w:i/>
          <w:highlight w:val="blue"/>
        </w:rPr>
      </w:pPr>
      <w:r w:rsidRPr="002533CC">
        <w:rPr>
          <w:rStyle w:val="FootnoteReference"/>
          <w:i/>
        </w:rPr>
        <w:footnoteRef/>
      </w:r>
      <w:r w:rsidRPr="002533CC">
        <w:rPr>
          <w:i/>
        </w:rPr>
        <w:t xml:space="preserve"> </w:t>
      </w:r>
      <w:r w:rsidR="00745966" w:rsidRPr="002533CC">
        <w:t>M</w:t>
      </w:r>
      <w:r w:rsidRPr="002533CC">
        <w:t xml:space="preserve"> Bordignon</w:t>
      </w:r>
      <w:r w:rsidR="00745966" w:rsidRPr="002533CC">
        <w:t>, S</w:t>
      </w:r>
      <w:r w:rsidRPr="002533CC">
        <w:t xml:space="preserve"> Coretti</w:t>
      </w:r>
      <w:r w:rsidR="00745966" w:rsidRPr="002533CC">
        <w:t>, M</w:t>
      </w:r>
      <w:r w:rsidRPr="002533CC">
        <w:t xml:space="preserve"> Piacenza </w:t>
      </w:r>
      <w:r w:rsidR="00745966" w:rsidRPr="002533CC">
        <w:t xml:space="preserve">and G </w:t>
      </w:r>
      <w:r w:rsidRPr="002533CC">
        <w:t>Turati</w:t>
      </w:r>
      <w:r w:rsidR="00745966" w:rsidRPr="002533CC">
        <w:t>, ‘</w:t>
      </w:r>
      <w:r w:rsidRPr="002533CC">
        <w:t xml:space="preserve">Hardening subnational budget constraints via administrative subordination: The </w:t>
      </w:r>
      <w:r w:rsidR="00B6492F" w:rsidRPr="002533CC">
        <w:t>I</w:t>
      </w:r>
      <w:r w:rsidRPr="002533CC">
        <w:t xml:space="preserve">talian experience of recovery plans in regional health </w:t>
      </w:r>
      <w:r w:rsidR="00745966" w:rsidRPr="002533CC">
        <w:t>services’,</w:t>
      </w:r>
      <w:r w:rsidRPr="002533CC">
        <w:t xml:space="preserve"> </w:t>
      </w:r>
      <w:r w:rsidRPr="002533CC">
        <w:rPr>
          <w:i/>
        </w:rPr>
        <w:t xml:space="preserve">Health </w:t>
      </w:r>
      <w:r w:rsidR="00745966" w:rsidRPr="002533CC">
        <w:rPr>
          <w:i/>
        </w:rPr>
        <w:t>Economics</w:t>
      </w:r>
      <w:r w:rsidR="00745966" w:rsidRPr="002533CC">
        <w:t>, 2020,</w:t>
      </w:r>
      <w:r w:rsidRPr="002533CC">
        <w:t xml:space="preserve"> 29</w:t>
      </w:r>
      <w:r w:rsidR="00745966" w:rsidRPr="002533CC">
        <w:t>(12):</w:t>
      </w:r>
      <w:r w:rsidRPr="002533CC">
        <w:t>1378–1399</w:t>
      </w:r>
    </w:p>
  </w:footnote>
  <w:footnote w:id="9">
    <w:p w14:paraId="05C6D580" w14:textId="437D5DD7" w:rsidR="00540A28" w:rsidRPr="00A608C9" w:rsidRDefault="00540A28" w:rsidP="00540A28">
      <w:pPr>
        <w:pStyle w:val="FootnoteText"/>
      </w:pPr>
      <w:r w:rsidRPr="00A608C9">
        <w:rPr>
          <w:rStyle w:val="FootnoteReference"/>
        </w:rPr>
        <w:footnoteRef/>
      </w:r>
      <w:r w:rsidRPr="00A608C9">
        <w:t xml:space="preserve"> </w:t>
      </w:r>
      <w:r w:rsidR="00A973D4" w:rsidRPr="00A608C9">
        <w:t>DTF</w:t>
      </w:r>
      <w:r w:rsidR="00162F53" w:rsidRPr="00A608C9">
        <w:t>,</w:t>
      </w:r>
      <w:r w:rsidRPr="00A608C9">
        <w:t xml:space="preserve"> </w:t>
      </w:r>
      <w:r w:rsidRPr="00A608C9">
        <w:rPr>
          <w:i/>
        </w:rPr>
        <w:t xml:space="preserve">2025/26 Victorian Budget, Budget Paper </w:t>
      </w:r>
      <w:r w:rsidR="0065241F" w:rsidRPr="00A608C9">
        <w:rPr>
          <w:i/>
        </w:rPr>
        <w:t>No.</w:t>
      </w:r>
      <w:r w:rsidRPr="00A608C9">
        <w:rPr>
          <w:i/>
        </w:rPr>
        <w:t xml:space="preserve"> 5: Statement of Finances, Chapter 4</w:t>
      </w:r>
      <w:r w:rsidRPr="00A608C9">
        <w:t xml:space="preserve">, </w:t>
      </w:r>
      <w:r w:rsidR="0065241F" w:rsidRPr="00A608C9">
        <w:t>2025</w:t>
      </w:r>
      <w:r w:rsidRPr="00A608C9">
        <w:t>.</w:t>
      </w:r>
    </w:p>
  </w:footnote>
  <w:footnote w:id="10">
    <w:p w14:paraId="10345BBF" w14:textId="746164C4" w:rsidR="00540A28" w:rsidRPr="007E61DB" w:rsidRDefault="00540A28" w:rsidP="00540A28">
      <w:pPr>
        <w:pStyle w:val="FootnoteText"/>
      </w:pPr>
      <w:r>
        <w:rPr>
          <w:rStyle w:val="FootnoteReference"/>
        </w:rPr>
        <w:footnoteRef/>
      </w:r>
      <w:r>
        <w:t xml:space="preserve"> </w:t>
      </w:r>
      <w:r w:rsidR="0058711B">
        <w:t>DTF</w:t>
      </w:r>
      <w:r w:rsidR="0070789B">
        <w:t>,</w:t>
      </w:r>
      <w:r>
        <w:t xml:space="preserve"> </w:t>
      </w:r>
      <w:r w:rsidRPr="00162F53">
        <w:rPr>
          <w:i/>
        </w:rPr>
        <w:t xml:space="preserve">2025/26 Victorian Budget, </w:t>
      </w:r>
      <w:r w:rsidR="0070789B" w:rsidRPr="00162F53">
        <w:rPr>
          <w:i/>
          <w:iCs/>
        </w:rPr>
        <w:t>Budget Paper No</w:t>
      </w:r>
      <w:r w:rsidR="007E61DB" w:rsidRPr="007E61DB">
        <w:rPr>
          <w:i/>
          <w:iCs/>
        </w:rPr>
        <w:t>.</w:t>
      </w:r>
      <w:r w:rsidR="0070789B" w:rsidRPr="007E61DB">
        <w:rPr>
          <w:i/>
          <w:iCs/>
        </w:rPr>
        <w:t xml:space="preserve"> </w:t>
      </w:r>
      <w:r w:rsidR="007E61DB" w:rsidRPr="007E61DB">
        <w:rPr>
          <w:i/>
          <w:iCs/>
        </w:rPr>
        <w:t>4:</w:t>
      </w:r>
      <w:r w:rsidRPr="007E61DB">
        <w:rPr>
          <w:i/>
        </w:rPr>
        <w:t xml:space="preserve"> State Capital </w:t>
      </w:r>
      <w:r>
        <w:t xml:space="preserve">Program, </w:t>
      </w:r>
      <w:r w:rsidRPr="007E61DB">
        <w:rPr>
          <w:i/>
        </w:rPr>
        <w:t>Chapter 1,</w:t>
      </w:r>
      <w:r>
        <w:t xml:space="preserve"> </w:t>
      </w:r>
      <w:r w:rsidRPr="008518A8">
        <w:rPr>
          <w:i/>
          <w:iCs/>
        </w:rPr>
        <w:t>Box 2: Partnering with the Commonwealth to deliver priorities and provide certainty to industry</w:t>
      </w:r>
      <w:r w:rsidR="007E61DB">
        <w:rPr>
          <w:i/>
          <w:iCs/>
        </w:rPr>
        <w:t xml:space="preserve">, </w:t>
      </w:r>
      <w:r w:rsidR="007E61DB">
        <w:t>2025</w:t>
      </w:r>
      <w:r w:rsidR="0099462A">
        <w:t>.</w:t>
      </w:r>
    </w:p>
  </w:footnote>
  <w:footnote w:id="11">
    <w:p w14:paraId="050A31C0" w14:textId="3AA1A057" w:rsidR="00F40682" w:rsidRDefault="00F40682">
      <w:pPr>
        <w:pStyle w:val="FootnoteText"/>
      </w:pPr>
      <w:r>
        <w:rPr>
          <w:rStyle w:val="FootnoteReference"/>
        </w:rPr>
        <w:footnoteRef/>
      </w:r>
      <w:r>
        <w:t xml:space="preserve"> Includes a third-party contribution.</w:t>
      </w:r>
    </w:p>
  </w:footnote>
  <w:footnote w:id="12">
    <w:p w14:paraId="5F98E826" w14:textId="04AB129D" w:rsidR="00540A28" w:rsidRPr="00211C19" w:rsidRDefault="00540A28" w:rsidP="009E4240">
      <w:pPr>
        <w:pStyle w:val="FootnoteText"/>
      </w:pPr>
      <w:r>
        <w:rPr>
          <w:rStyle w:val="FootnoteReference"/>
        </w:rPr>
        <w:footnoteRef/>
      </w:r>
      <w:r>
        <w:t xml:space="preserve"> </w:t>
      </w:r>
      <w:r w:rsidRPr="00211C19">
        <w:t>Taxation Administration (Data Sharing</w:t>
      </w:r>
      <w:r>
        <w:t xml:space="preserve"> – </w:t>
      </w:r>
      <w:r w:rsidRPr="00211C19">
        <w:t>Relevant COVID</w:t>
      </w:r>
      <w:r w:rsidRPr="00211C19">
        <w:rPr>
          <w:rFonts w:ascii="Cambria Math" w:hAnsi="Cambria Math" w:cs="Cambria Math"/>
        </w:rPr>
        <w:t>‑</w:t>
      </w:r>
      <w:r w:rsidRPr="00211C19">
        <w:t>19 Business Support Program) Declaration 2021</w:t>
      </w:r>
      <w:r>
        <w:t>.</w:t>
      </w:r>
    </w:p>
  </w:footnote>
  <w:footnote w:id="13">
    <w:p w14:paraId="408BBC8E" w14:textId="79454F76" w:rsidR="00540A28" w:rsidRDefault="00540A28" w:rsidP="00540A28">
      <w:pPr>
        <w:pStyle w:val="FootnoteText"/>
      </w:pPr>
      <w:r>
        <w:rPr>
          <w:rStyle w:val="FootnoteReference"/>
        </w:rPr>
        <w:footnoteRef/>
      </w:r>
      <w:r>
        <w:t xml:space="preserve"> </w:t>
      </w:r>
      <w:r w:rsidR="00797648" w:rsidRPr="00D36067">
        <w:t xml:space="preserve">Parliament of Victoria, </w:t>
      </w:r>
      <w:r w:rsidR="00AB7A98" w:rsidRPr="00D36067">
        <w:rPr>
          <w:i/>
          <w:iCs/>
        </w:rPr>
        <w:t>Public Accounts and Estimates Committee, Inquiry into the 2025–26 Budget Estimates, Portfolio: Children</w:t>
      </w:r>
      <w:r w:rsidR="00AB7A98" w:rsidRPr="00D36067">
        <w:t>,</w:t>
      </w:r>
      <w:r w:rsidR="00797648" w:rsidRPr="00D36067">
        <w:t xml:space="preserve"> </w:t>
      </w:r>
      <w:r w:rsidR="00AB7A98" w:rsidRPr="00D36067">
        <w:t>10 June 2025</w:t>
      </w:r>
      <w:r w:rsidR="00797648" w:rsidRPr="00D36067">
        <w:t>.</w:t>
      </w:r>
    </w:p>
  </w:footnote>
  <w:footnote w:id="14">
    <w:p w14:paraId="7A4FFD3E" w14:textId="77777777" w:rsidR="003869DC" w:rsidRDefault="003869DC" w:rsidP="003869DC">
      <w:pPr>
        <w:pStyle w:val="FootnoteText"/>
      </w:pPr>
      <w:r>
        <w:rPr>
          <w:rStyle w:val="FootnoteReference"/>
        </w:rPr>
        <w:footnoteRef/>
      </w:r>
      <w:r>
        <w:t xml:space="preserve"> This excludes other classifications such as child protection, youth justice, corrections and others.</w:t>
      </w:r>
    </w:p>
  </w:footnote>
  <w:footnote w:id="15">
    <w:p w14:paraId="1621469B" w14:textId="77777777" w:rsidR="00C10F68" w:rsidRDefault="00C10F68" w:rsidP="00C10F68">
      <w:pPr>
        <w:pStyle w:val="FootnoteText"/>
      </w:pPr>
      <w:r>
        <w:rPr>
          <w:rStyle w:val="FootnoteReference"/>
        </w:rPr>
        <w:footnoteRef/>
      </w:r>
      <w:r>
        <w:t xml:space="preserve"> </w:t>
      </w:r>
      <w:r w:rsidRPr="00A97302">
        <w:t xml:space="preserve">Australian Public Service Commission, </w:t>
      </w:r>
      <w:r w:rsidRPr="00A97302">
        <w:rPr>
          <w:i/>
          <w:iCs/>
        </w:rPr>
        <w:t>Optimal Management Structures Guidance 2023</w:t>
      </w:r>
      <w:r w:rsidRPr="00A97302">
        <w:t>, 23 October 2023, https://www.apsc.gov.au/initiatives-and-programs/aps-workforce-strategy-2025/workforce-planning-resources/optimal-management-structures-guidance-2023.</w:t>
      </w:r>
    </w:p>
  </w:footnote>
  <w:footnote w:id="16">
    <w:p w14:paraId="73A7B1A1" w14:textId="2DA3F4F6" w:rsidR="004D26BC" w:rsidRPr="00436ACF" w:rsidRDefault="004D26BC" w:rsidP="004D26BC">
      <w:pPr>
        <w:pStyle w:val="FootnoteText"/>
      </w:pPr>
      <w:r>
        <w:rPr>
          <w:rStyle w:val="FootnoteReference"/>
        </w:rPr>
        <w:footnoteRef/>
      </w:r>
      <w:r>
        <w:t xml:space="preserve"> Australian Public Service Commission</w:t>
      </w:r>
      <w:r w:rsidR="0025048F" w:rsidRPr="0025048F">
        <w:t>,</w:t>
      </w:r>
      <w:r>
        <w:t xml:space="preserve"> </w:t>
      </w:r>
      <w:r w:rsidRPr="005371B7">
        <w:t>Working with Ministers</w:t>
      </w:r>
      <w:r w:rsidR="0025048F" w:rsidRPr="005371B7">
        <w:t>:</w:t>
      </w:r>
      <w:r w:rsidRPr="005371B7">
        <w:t xml:space="preserve"> Strengthening Partnerships</w:t>
      </w:r>
      <w:r>
        <w:t>, 16 November 2021</w:t>
      </w:r>
      <w:r w:rsidR="0025048F" w:rsidRPr="0025048F">
        <w:t>,</w:t>
      </w:r>
      <w:r>
        <w:t xml:space="preserve"> </w:t>
      </w:r>
      <w:hyperlink r:id="rId1" w:tgtFrame="_new" w:history="1">
        <w:r w:rsidR="0025048F" w:rsidRPr="005371B7">
          <w:t>https://www.apsc.gov.au/publication/working-ministers</w:t>
        </w:r>
      </w:hyperlink>
      <w:r w:rsidR="0025048F" w:rsidRPr="0025048F">
        <w:t>.</w:t>
      </w:r>
    </w:p>
  </w:footnote>
  <w:footnote w:id="17">
    <w:p w14:paraId="75492B32" w14:textId="62853A7D" w:rsidR="00E80274" w:rsidRPr="003B2538" w:rsidRDefault="0095201D" w:rsidP="0095201D">
      <w:pPr>
        <w:pStyle w:val="FootnoteText"/>
      </w:pPr>
      <w:r w:rsidRPr="00F47879">
        <w:rPr>
          <w:rStyle w:val="FootnoteReference"/>
        </w:rPr>
        <w:footnoteRef/>
      </w:r>
      <w:r w:rsidRPr="00F47879">
        <w:t xml:space="preserve"> A</w:t>
      </w:r>
      <w:r w:rsidRPr="00F47879">
        <w:rPr>
          <w:b/>
          <w:bCs/>
        </w:rPr>
        <w:t xml:space="preserve"> </w:t>
      </w:r>
      <w:r w:rsidRPr="00F47879">
        <w:t>public entity is an o</w:t>
      </w:r>
      <w:r w:rsidRPr="00F47879">
        <w:rPr>
          <w:b/>
          <w:bCs/>
        </w:rPr>
        <w:t>r</w:t>
      </w:r>
      <w:r w:rsidRPr="00F47879">
        <w:t xml:space="preserve">ganisation that exercises a public function and is established outside of the VPS. </w:t>
      </w:r>
      <w:r>
        <w:t xml:space="preserve">Public entities include </w:t>
      </w:r>
      <w:r w:rsidRPr="005D6345">
        <w:t>regulators, service delivery bodies, independent advisory bodies</w:t>
      </w:r>
      <w:r>
        <w:t xml:space="preserve"> and</w:t>
      </w:r>
      <w:r w:rsidRPr="005D6345">
        <w:t xml:space="preserve"> asset managers.</w:t>
      </w:r>
      <w:r w:rsidRPr="00F47879">
        <w:t xml:space="preserve"> A non-departmental entity is an organisation that delivers public functions and is considered part of the VPS. </w:t>
      </w:r>
      <w:r w:rsidRPr="005D6345">
        <w:t>In this chapter, the Review considers public entities and non-departmental entities</w:t>
      </w:r>
      <w:r>
        <w:t xml:space="preserve"> and </w:t>
      </w:r>
      <w:r w:rsidRPr="005D6345">
        <w:t>uses the general term of public entities. Boards and committees include school councils, cemetery trusts and Crown land management committees.</w:t>
      </w:r>
    </w:p>
  </w:footnote>
  <w:footnote w:id="18">
    <w:p w14:paraId="2607C9F5" w14:textId="77777777" w:rsidR="0095201D" w:rsidRPr="005E6112" w:rsidRDefault="0095201D" w:rsidP="0095201D">
      <w:pPr>
        <w:pStyle w:val="FootnoteText"/>
      </w:pPr>
      <w:r>
        <w:rPr>
          <w:rStyle w:val="FootnoteReference"/>
        </w:rPr>
        <w:footnoteRef/>
      </w:r>
      <w:r>
        <w:t xml:space="preserve"> Many entities have alternative funding sources beyond government appropriation, which is included in this total annual expenditure figure. </w:t>
      </w:r>
    </w:p>
  </w:footnote>
  <w:footnote w:id="19">
    <w:p w14:paraId="13DB6FDB" w14:textId="07A0715B" w:rsidR="0095201D" w:rsidRPr="0035482E" w:rsidRDefault="0095201D" w:rsidP="0095201D">
      <w:pPr>
        <w:pStyle w:val="FootnoteText"/>
      </w:pPr>
      <w:r>
        <w:rPr>
          <w:rStyle w:val="FootnoteReference"/>
        </w:rPr>
        <w:footnoteRef/>
      </w:r>
      <w:r>
        <w:t xml:space="preserve"> Premier’s Circular No. 2013/2: Creation and review of non-departmental entities</w:t>
      </w:r>
      <w:r w:rsidR="00B97BAA">
        <w:t>.</w:t>
      </w:r>
    </w:p>
  </w:footnote>
  <w:footnote w:id="20">
    <w:p w14:paraId="645EF2B5" w14:textId="77777777" w:rsidR="0095201D" w:rsidRPr="00AF5B31" w:rsidRDefault="0095201D" w:rsidP="0095201D">
      <w:pPr>
        <w:pStyle w:val="FootnoteText"/>
      </w:pPr>
      <w:r>
        <w:rPr>
          <w:rStyle w:val="FootnoteReference"/>
        </w:rPr>
        <w:footnoteRef/>
      </w:r>
      <w:r>
        <w:t xml:space="preserve"> As set out in Chapter 2, the Review developed 5 criteria to apply to its work: </w:t>
      </w:r>
      <w:r>
        <w:rPr>
          <w:rFonts w:ascii="Aptos" w:eastAsia="Aptos" w:hAnsi="Aptos" w:cs="Aptos"/>
          <w:color w:val="000000" w:themeColor="text1"/>
        </w:rPr>
        <w:t>duplication, role expansion, effectiveness (including efficiency), significant expenditure growth and alternative service delivery models.</w:t>
      </w:r>
    </w:p>
  </w:footnote>
  <w:footnote w:id="21">
    <w:p w14:paraId="2991F4E7" w14:textId="628241DF" w:rsidR="0095201D" w:rsidRPr="00A50480" w:rsidRDefault="0095201D" w:rsidP="0095201D">
      <w:pPr>
        <w:pStyle w:val="FootnoteText"/>
      </w:pPr>
      <w:r>
        <w:rPr>
          <w:rStyle w:val="FootnoteReference"/>
        </w:rPr>
        <w:footnoteRef/>
      </w:r>
      <w:r>
        <w:t xml:space="preserve"> </w:t>
      </w:r>
      <w:r>
        <w:rPr>
          <w:rFonts w:eastAsia="Aptos" w:cs="Aptos"/>
          <w:color w:val="000000" w:themeColor="text1"/>
        </w:rPr>
        <w:t xml:space="preserve">The government has announced a merge of </w:t>
      </w:r>
      <w:r w:rsidRPr="00CA3373">
        <w:rPr>
          <w:rFonts w:eastAsia="Aptos" w:cs="Aptos"/>
          <w:color w:val="000000" w:themeColor="text1"/>
        </w:rPr>
        <w:t>disability</w:t>
      </w:r>
      <w:r>
        <w:rPr>
          <w:rFonts w:eastAsia="Aptos" w:cs="Aptos"/>
          <w:color w:val="000000" w:themeColor="text1"/>
        </w:rPr>
        <w:t xml:space="preserve"> commissioner</w:t>
      </w:r>
      <w:r w:rsidRPr="00CA3373">
        <w:rPr>
          <w:rFonts w:eastAsia="Aptos" w:cs="Aptos"/>
          <w:color w:val="000000" w:themeColor="text1"/>
        </w:rPr>
        <w:t xml:space="preserve"> functions </w:t>
      </w:r>
      <w:r>
        <w:rPr>
          <w:rFonts w:eastAsia="Aptos" w:cs="Aptos"/>
          <w:color w:val="000000" w:themeColor="text1"/>
        </w:rPr>
        <w:t>into</w:t>
      </w:r>
      <w:r w:rsidRPr="00CA3373">
        <w:rPr>
          <w:rFonts w:eastAsia="Aptos" w:cs="Aptos"/>
          <w:color w:val="000000" w:themeColor="text1"/>
        </w:rPr>
        <w:t xml:space="preserve"> the Social Services Regulator</w:t>
      </w:r>
      <w:r>
        <w:rPr>
          <w:rFonts w:eastAsia="Aptos" w:cs="Aptos"/>
          <w:color w:val="000000" w:themeColor="text1"/>
        </w:rPr>
        <w:t xml:space="preserve"> – it is not proposed this should change at this stage</w:t>
      </w:r>
      <w:r w:rsidRPr="00CA3373">
        <w:rPr>
          <w:rFonts w:eastAsia="Aptos" w:cs="Aptos"/>
          <w:color w:val="000000" w:themeColor="text1"/>
        </w:rPr>
        <w:t>.</w:t>
      </w:r>
      <w:r>
        <w:rPr>
          <w:rFonts w:eastAsia="Aptos" w:cs="Aptos"/>
          <w:color w:val="000000" w:themeColor="text1"/>
        </w:rPr>
        <w:t xml:space="preserve"> The government may wish to consider this in </w:t>
      </w:r>
      <w:r w:rsidR="005622C2">
        <w:rPr>
          <w:rFonts w:eastAsia="Aptos" w:cs="Aptos"/>
          <w:color w:val="000000" w:themeColor="text1"/>
        </w:rPr>
        <w:t xml:space="preserve">the </w:t>
      </w:r>
      <w:r>
        <w:rPr>
          <w:rFonts w:eastAsia="Aptos" w:cs="Aptos"/>
          <w:color w:val="000000" w:themeColor="text1"/>
        </w:rPr>
        <w:t>future.</w:t>
      </w:r>
    </w:p>
  </w:footnote>
  <w:footnote w:id="22">
    <w:p w14:paraId="5F6D1204" w14:textId="246AE82F" w:rsidR="0095201D" w:rsidRPr="00830BB6" w:rsidRDefault="0095201D" w:rsidP="0095201D">
      <w:pPr>
        <w:pStyle w:val="FootnoteText"/>
      </w:pPr>
      <w:r>
        <w:rPr>
          <w:rStyle w:val="FootnoteReference"/>
        </w:rPr>
        <w:footnoteRef/>
      </w:r>
      <w:r>
        <w:t xml:space="preserve"> </w:t>
      </w:r>
      <w:r w:rsidRPr="008F1437">
        <w:t xml:space="preserve">Australian Institute of Company Directors, </w:t>
      </w:r>
      <w:r w:rsidRPr="004A1706">
        <w:rPr>
          <w:i/>
        </w:rPr>
        <w:t>Director Tools: Board Size</w:t>
      </w:r>
      <w:r w:rsidR="004A1706">
        <w:t>, 2020.</w:t>
      </w:r>
    </w:p>
  </w:footnote>
  <w:footnote w:id="23">
    <w:p w14:paraId="623726EF" w14:textId="1D79234E" w:rsidR="007530C2" w:rsidRDefault="007530C2" w:rsidP="00E53037">
      <w:pPr>
        <w:pStyle w:val="FootnoteText"/>
      </w:pPr>
      <w:r>
        <w:rPr>
          <w:rStyle w:val="FootnoteReference"/>
        </w:rPr>
        <w:footnoteRef/>
      </w:r>
      <w:r>
        <w:t xml:space="preserve"> </w:t>
      </w:r>
      <w:r w:rsidRPr="00AF4A02">
        <w:t xml:space="preserve">The Review notes that the Flexible Work </w:t>
      </w:r>
      <w:r w:rsidRPr="00E53037">
        <w:t>Policy</w:t>
      </w:r>
      <w:r w:rsidR="00337243" w:rsidRPr="00AF4A02">
        <w:t xml:space="preserve"> sets out</w:t>
      </w:r>
      <w:r w:rsidRPr="00AF4A02">
        <w:t xml:space="preserve"> individuals</w:t>
      </w:r>
      <w:r w:rsidR="006F4550" w:rsidRPr="00AF4A02">
        <w:t xml:space="preserve">’ </w:t>
      </w:r>
      <w:r w:rsidR="006974EB" w:rsidRPr="00AF4A02">
        <w:t>rights</w:t>
      </w:r>
      <w:r w:rsidRPr="00AF4A02">
        <w:t xml:space="preserve"> </w:t>
      </w:r>
      <w:r w:rsidR="006974EB" w:rsidRPr="00AF4A02">
        <w:t>to</w:t>
      </w:r>
      <w:r w:rsidRPr="00AF4A02">
        <w:t xml:space="preserve"> seek specific arrangements to address their family, health or </w:t>
      </w:r>
      <w:r w:rsidR="00B07432" w:rsidRPr="00AF4A02">
        <w:t xml:space="preserve">other </w:t>
      </w:r>
      <w:r w:rsidRPr="00AF4A02">
        <w:t>personal requirements.</w:t>
      </w:r>
      <w:r w:rsidRPr="00487BDA">
        <w:t xml:space="preserve"> </w:t>
      </w:r>
    </w:p>
  </w:footnote>
  <w:footnote w:id="24">
    <w:p w14:paraId="2274AC55" w14:textId="77777777" w:rsidR="003D4CAD" w:rsidRPr="008D0D93" w:rsidRDefault="003D4CAD" w:rsidP="00744DD7">
      <w:pPr>
        <w:pStyle w:val="FootnoteText"/>
      </w:pPr>
      <w:r>
        <w:rPr>
          <w:rStyle w:val="FootnoteReference"/>
        </w:rPr>
        <w:footnoteRef/>
      </w:r>
      <w:r>
        <w:t xml:space="preserve"> </w:t>
      </w:r>
      <w:r w:rsidRPr="008962A4">
        <w:t xml:space="preserve">In the case of school-related </w:t>
      </w:r>
      <w:r>
        <w:t>programs</w:t>
      </w:r>
      <w:r w:rsidRPr="008962A4">
        <w:t xml:space="preserve">, savings </w:t>
      </w:r>
      <w:r>
        <w:t>are generally required to be re-allocated to schools to fulfil Victoria’s obligations under the Better and Fairer Schools Agreement 2025–2034 (rather than being returned to the Consolidated Fund). Re-allocated funding should be applied to school programs and initiatives of a higher priority.</w:t>
      </w:r>
    </w:p>
  </w:footnote>
  <w:footnote w:id="25">
    <w:p w14:paraId="6B4DDBBF" w14:textId="678866B7" w:rsidR="00EF18BD" w:rsidRPr="00EF18BD" w:rsidRDefault="00EF18BD" w:rsidP="00780C45">
      <w:pPr>
        <w:pStyle w:val="FootnoteText"/>
        <w:rPr>
          <w:szCs w:val="22"/>
        </w:rPr>
      </w:pPr>
      <w:r>
        <w:rPr>
          <w:rStyle w:val="FootnoteReference"/>
        </w:rPr>
        <w:footnoteRef/>
      </w:r>
      <w:r>
        <w:t xml:space="preserve"> </w:t>
      </w:r>
      <w:r w:rsidR="00DB6376">
        <w:t>N</w:t>
      </w:r>
      <w:r w:rsidRPr="00B22442">
        <w:t>ot</w:t>
      </w:r>
      <w:r w:rsidR="00B22442">
        <w:t>e</w:t>
      </w:r>
      <w:r w:rsidRPr="00B22442">
        <w:t xml:space="preserve"> that 40 per cent of the entities referred to in the Review’s recommendations are either business units and administrative offices within departments or entities established by instruments issued by ministers and/or Governor in Council pursuant to statutory and/or executive powers.</w:t>
      </w:r>
    </w:p>
  </w:footnote>
  <w:footnote w:id="26">
    <w:p w14:paraId="41BA661C" w14:textId="77777777" w:rsidR="00727510" w:rsidRDefault="00727510" w:rsidP="00780C45">
      <w:pPr>
        <w:pStyle w:val="FootnoteText"/>
      </w:pPr>
      <w:r>
        <w:rPr>
          <w:rStyle w:val="FootnoteReference"/>
        </w:rPr>
        <w:footnoteRef/>
      </w:r>
      <w:r>
        <w:t xml:space="preserve"> </w:t>
      </w:r>
      <w:r w:rsidRPr="00302604">
        <w:t xml:space="preserve">Certain of the non-statutory bodies and departmental units and offices were established to support a statutory officer in performance of his or her statutory functions.  Abolition of bodies of this kind should only be undertaken when there are arrangements in place to enable the relevant statutory officer during the transition period.  </w:t>
      </w:r>
    </w:p>
  </w:footnote>
  <w:footnote w:id="27">
    <w:p w14:paraId="1C2442EC" w14:textId="5056EBAE" w:rsidR="006A0772" w:rsidRPr="00830BB6" w:rsidRDefault="006A0772" w:rsidP="00780C45">
      <w:pPr>
        <w:pStyle w:val="FootnoteText"/>
      </w:pPr>
      <w:r>
        <w:rPr>
          <w:rStyle w:val="FootnoteReference"/>
        </w:rPr>
        <w:footnoteRef/>
      </w:r>
      <w:r>
        <w:t xml:space="preserve"> </w:t>
      </w:r>
      <w:r w:rsidRPr="008F1437">
        <w:t>Australian Institute of Company Directors, Director Tools: Board Size</w:t>
      </w:r>
      <w:r w:rsidR="00372C11">
        <w:t>, 2020</w:t>
      </w:r>
      <w:r w:rsidR="00AA0932">
        <w:t>.</w:t>
      </w:r>
    </w:p>
  </w:footnote>
  <w:footnote w:id="28">
    <w:p w14:paraId="58F35D82" w14:textId="08F28548" w:rsidR="006D78DD" w:rsidRPr="006F0FB4" w:rsidRDefault="006D78DD" w:rsidP="00780C45">
      <w:pPr>
        <w:pStyle w:val="FootnoteText"/>
      </w:pPr>
      <w:r>
        <w:rPr>
          <w:rStyle w:val="FootnoteReference"/>
        </w:rPr>
        <w:footnoteRef/>
      </w:r>
      <w:r>
        <w:t xml:space="preserve"> Standard definitions of budget and financial terms can be found in </w:t>
      </w:r>
      <w:r w:rsidRPr="00780C45">
        <w:t>the</w:t>
      </w:r>
      <w:r>
        <w:t xml:space="preserve"> publicly available DTF glossary for budget and financial reports, available on the DTF State Budget page: </w:t>
      </w:r>
      <w:r w:rsidRPr="00B03686">
        <w:t>https://www.dtf.vic.gov.au/state-budget</w:t>
      </w:r>
      <w:r w:rsidR="006F0FB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A9AA5" w14:textId="77777777" w:rsidR="005C5B87" w:rsidRDefault="005C5B87" w:rsidP="005C5B87">
    <w:pPr>
      <w:pStyle w:val="Header"/>
      <w:pBdr>
        <w:bottom w:val="single" w:sz="4" w:space="1" w:color="156082" w:themeColor="accent1"/>
      </w:pBdr>
      <w:rPr>
        <w:color w:val="A6A6A6" w:themeColor="background1" w:themeShade="A6"/>
      </w:rPr>
    </w:pPr>
    <w:r w:rsidRPr="009C41A6">
      <w:rPr>
        <w:color w:val="A6A6A6" w:themeColor="background1" w:themeShade="A6"/>
      </w:rPr>
      <w:t>Independent Review</w:t>
    </w:r>
    <w:r>
      <w:rPr>
        <w:color w:val="A6A6A6" w:themeColor="background1" w:themeShade="A6"/>
      </w:rPr>
      <w:t xml:space="preserve"> of the VPS</w:t>
    </w:r>
    <w:r w:rsidRPr="009C41A6">
      <w:rPr>
        <w:color w:val="A6A6A6" w:themeColor="background1" w:themeShade="A6"/>
      </w:rPr>
      <w:t>: Final Report</w:t>
    </w:r>
  </w:p>
  <w:p w14:paraId="5EBF4B3B" w14:textId="77777777" w:rsidR="00E71CD0" w:rsidRDefault="00E71CD0">
    <w:pPr>
      <w:pStyle w:val="Header"/>
    </w:pPr>
  </w:p>
  <w:p w14:paraId="03708397" w14:textId="77777777" w:rsidR="00100F94" w:rsidRDefault="00100F94">
    <w:pPr>
      <w:pStyle w:val="Header"/>
    </w:pPr>
  </w:p>
  <w:p w14:paraId="42991D44" w14:textId="77777777" w:rsidR="003D324B" w:rsidRDefault="003D32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E682" w14:textId="1AFD8DF7" w:rsidR="003E1982" w:rsidRDefault="003E1982" w:rsidP="00356D9E">
    <w:pPr>
      <w:pStyle w:val="Header"/>
      <w:pBdr>
        <w:bottom w:val="single" w:sz="4" w:space="1" w:color="156082" w:themeColor="accent1"/>
      </w:pBdr>
      <w:jc w:val="right"/>
      <w:rPr>
        <w:color w:val="A6A6A6" w:themeColor="background1" w:themeShade="A6"/>
      </w:rPr>
    </w:pPr>
    <w:r w:rsidRPr="009C41A6">
      <w:rPr>
        <w:color w:val="A6A6A6" w:themeColor="background1" w:themeShade="A6"/>
      </w:rPr>
      <w:t>Independent Review</w:t>
    </w:r>
    <w:r w:rsidR="004513FA">
      <w:rPr>
        <w:color w:val="A6A6A6" w:themeColor="background1" w:themeShade="A6"/>
      </w:rPr>
      <w:t xml:space="preserve"> of the VPS</w:t>
    </w:r>
    <w:r w:rsidRPr="009C41A6">
      <w:rPr>
        <w:color w:val="A6A6A6" w:themeColor="background1" w:themeShade="A6"/>
      </w:rPr>
      <w:t>: Final Report</w:t>
    </w:r>
  </w:p>
  <w:p w14:paraId="1B544E48" w14:textId="77777777" w:rsidR="003E1982" w:rsidRPr="009C41A6" w:rsidRDefault="003E1982" w:rsidP="00F645BD">
    <w:pPr>
      <w:pStyle w:val="Header"/>
      <w:rPr>
        <w:color w:val="A6A6A6" w:themeColor="background1" w:themeShade="A6"/>
      </w:rPr>
    </w:pPr>
  </w:p>
  <w:p w14:paraId="007FC6DB" w14:textId="46EE0713" w:rsidR="00202CA3" w:rsidRDefault="00202CA3">
    <w:pPr>
      <w:pStyle w:val="Header"/>
    </w:pPr>
  </w:p>
  <w:p w14:paraId="53022B2C" w14:textId="6EBEF01C" w:rsidR="003D324B" w:rsidRDefault="003D32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D7140" w14:textId="77777777" w:rsidR="00E23BD9" w:rsidRDefault="0016170D">
    <w:r>
      <w:cr/>
    </w:r>
  </w:p>
  <w:p w14:paraId="15FE80CA" w14:textId="77777777" w:rsidR="00032953" w:rsidRDefault="00032953"/>
  <w:p w14:paraId="5F9F855F" w14:textId="77777777" w:rsidR="004C087E" w:rsidRDefault="004C087E"/>
  <w:p w14:paraId="05CC6C00" w14:textId="77777777" w:rsidR="0005549E" w:rsidRDefault="0005549E"/>
  <w:p w14:paraId="10ED3E86" w14:textId="3397F5BC" w:rsidR="006B2644" w:rsidRDefault="006B26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51949"/>
    <w:multiLevelType w:val="multilevel"/>
    <w:tmpl w:val="804E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2015C"/>
    <w:multiLevelType w:val="hybridMultilevel"/>
    <w:tmpl w:val="94B0D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3D5BD6"/>
    <w:multiLevelType w:val="hybridMultilevel"/>
    <w:tmpl w:val="630C2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F571B0"/>
    <w:multiLevelType w:val="hybridMultilevel"/>
    <w:tmpl w:val="9B1ACC6C"/>
    <w:lvl w:ilvl="0" w:tplc="CEF8B0B6">
      <w:start w:val="1"/>
      <w:numFmt w:val="bullet"/>
      <w:lvlText w:val="•"/>
      <w:lvlJc w:val="left"/>
      <w:pPr>
        <w:tabs>
          <w:tab w:val="num" w:pos="720"/>
        </w:tabs>
        <w:ind w:left="720" w:hanging="360"/>
      </w:pPr>
      <w:rPr>
        <w:rFonts w:ascii="Arial" w:hAnsi="Arial" w:hint="default"/>
      </w:rPr>
    </w:lvl>
    <w:lvl w:ilvl="1" w:tplc="CD5CCE5E" w:tentative="1">
      <w:start w:val="1"/>
      <w:numFmt w:val="bullet"/>
      <w:lvlText w:val="•"/>
      <w:lvlJc w:val="left"/>
      <w:pPr>
        <w:tabs>
          <w:tab w:val="num" w:pos="1440"/>
        </w:tabs>
        <w:ind w:left="1440" w:hanging="360"/>
      </w:pPr>
      <w:rPr>
        <w:rFonts w:ascii="Arial" w:hAnsi="Arial" w:hint="default"/>
      </w:rPr>
    </w:lvl>
    <w:lvl w:ilvl="2" w:tplc="71567A84" w:tentative="1">
      <w:start w:val="1"/>
      <w:numFmt w:val="bullet"/>
      <w:lvlText w:val="•"/>
      <w:lvlJc w:val="left"/>
      <w:pPr>
        <w:tabs>
          <w:tab w:val="num" w:pos="2160"/>
        </w:tabs>
        <w:ind w:left="2160" w:hanging="360"/>
      </w:pPr>
      <w:rPr>
        <w:rFonts w:ascii="Arial" w:hAnsi="Arial" w:hint="default"/>
      </w:rPr>
    </w:lvl>
    <w:lvl w:ilvl="3" w:tplc="7D9AFD0C" w:tentative="1">
      <w:start w:val="1"/>
      <w:numFmt w:val="bullet"/>
      <w:lvlText w:val="•"/>
      <w:lvlJc w:val="left"/>
      <w:pPr>
        <w:tabs>
          <w:tab w:val="num" w:pos="2880"/>
        </w:tabs>
        <w:ind w:left="2880" w:hanging="360"/>
      </w:pPr>
      <w:rPr>
        <w:rFonts w:ascii="Arial" w:hAnsi="Arial" w:hint="default"/>
      </w:rPr>
    </w:lvl>
    <w:lvl w:ilvl="4" w:tplc="4CEC6CA6" w:tentative="1">
      <w:start w:val="1"/>
      <w:numFmt w:val="bullet"/>
      <w:lvlText w:val="•"/>
      <w:lvlJc w:val="left"/>
      <w:pPr>
        <w:tabs>
          <w:tab w:val="num" w:pos="3600"/>
        </w:tabs>
        <w:ind w:left="3600" w:hanging="360"/>
      </w:pPr>
      <w:rPr>
        <w:rFonts w:ascii="Arial" w:hAnsi="Arial" w:hint="default"/>
      </w:rPr>
    </w:lvl>
    <w:lvl w:ilvl="5" w:tplc="A52AC704" w:tentative="1">
      <w:start w:val="1"/>
      <w:numFmt w:val="bullet"/>
      <w:lvlText w:val="•"/>
      <w:lvlJc w:val="left"/>
      <w:pPr>
        <w:tabs>
          <w:tab w:val="num" w:pos="4320"/>
        </w:tabs>
        <w:ind w:left="4320" w:hanging="360"/>
      </w:pPr>
      <w:rPr>
        <w:rFonts w:ascii="Arial" w:hAnsi="Arial" w:hint="default"/>
      </w:rPr>
    </w:lvl>
    <w:lvl w:ilvl="6" w:tplc="83467A3C" w:tentative="1">
      <w:start w:val="1"/>
      <w:numFmt w:val="bullet"/>
      <w:lvlText w:val="•"/>
      <w:lvlJc w:val="left"/>
      <w:pPr>
        <w:tabs>
          <w:tab w:val="num" w:pos="5040"/>
        </w:tabs>
        <w:ind w:left="5040" w:hanging="360"/>
      </w:pPr>
      <w:rPr>
        <w:rFonts w:ascii="Arial" w:hAnsi="Arial" w:hint="default"/>
      </w:rPr>
    </w:lvl>
    <w:lvl w:ilvl="7" w:tplc="DFEAC97C" w:tentative="1">
      <w:start w:val="1"/>
      <w:numFmt w:val="bullet"/>
      <w:lvlText w:val="•"/>
      <w:lvlJc w:val="left"/>
      <w:pPr>
        <w:tabs>
          <w:tab w:val="num" w:pos="5760"/>
        </w:tabs>
        <w:ind w:left="5760" w:hanging="360"/>
      </w:pPr>
      <w:rPr>
        <w:rFonts w:ascii="Arial" w:hAnsi="Arial" w:hint="default"/>
      </w:rPr>
    </w:lvl>
    <w:lvl w:ilvl="8" w:tplc="3FB809F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85A0DCF"/>
    <w:multiLevelType w:val="hybridMultilevel"/>
    <w:tmpl w:val="A692D222"/>
    <w:lvl w:ilvl="0" w:tplc="FFFFFFFF">
      <w:start w:val="1"/>
      <w:numFmt w:val="decimal"/>
      <w:lvlText w:val="%1."/>
      <w:lvlJc w:val="left"/>
      <w:pPr>
        <w:ind w:left="720" w:hanging="360"/>
      </w:pPr>
    </w:lvl>
    <w:lvl w:ilvl="1" w:tplc="0C09000F">
      <w:start w:val="1"/>
      <w:numFmt w:val="decimal"/>
      <w:lvlText w:val="%2."/>
      <w:lvlJc w:val="left"/>
      <w:pPr>
        <w:ind w:left="72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5A99BB"/>
    <w:multiLevelType w:val="hybridMultilevel"/>
    <w:tmpl w:val="4D94B336"/>
    <w:lvl w:ilvl="0" w:tplc="D1DA3F46">
      <w:start w:val="1"/>
      <w:numFmt w:val="decimal"/>
      <w:lvlText w:val="%1."/>
      <w:lvlJc w:val="left"/>
      <w:pPr>
        <w:ind w:left="360" w:hanging="360"/>
      </w:pPr>
      <w:rPr>
        <w:rFonts w:ascii="Aptos,Arial,Times New Roman" w:hAnsi="Aptos,Arial,Times New Roman" w:hint="default"/>
      </w:rPr>
    </w:lvl>
    <w:lvl w:ilvl="1" w:tplc="ADE01ACA">
      <w:start w:val="1"/>
      <w:numFmt w:val="lowerLetter"/>
      <w:lvlText w:val="%2."/>
      <w:lvlJc w:val="left"/>
      <w:pPr>
        <w:ind w:left="1440" w:hanging="360"/>
      </w:pPr>
    </w:lvl>
    <w:lvl w:ilvl="2" w:tplc="2DB863EE">
      <w:start w:val="1"/>
      <w:numFmt w:val="lowerRoman"/>
      <w:lvlText w:val="%3."/>
      <w:lvlJc w:val="right"/>
      <w:pPr>
        <w:ind w:left="2160" w:hanging="180"/>
      </w:pPr>
    </w:lvl>
    <w:lvl w:ilvl="3" w:tplc="23E45290">
      <w:start w:val="1"/>
      <w:numFmt w:val="decimal"/>
      <w:lvlText w:val="%4."/>
      <w:lvlJc w:val="left"/>
      <w:pPr>
        <w:ind w:left="2880" w:hanging="360"/>
      </w:pPr>
    </w:lvl>
    <w:lvl w:ilvl="4" w:tplc="E676E9AA">
      <w:start w:val="1"/>
      <w:numFmt w:val="lowerLetter"/>
      <w:lvlText w:val="%5."/>
      <w:lvlJc w:val="left"/>
      <w:pPr>
        <w:ind w:left="3600" w:hanging="360"/>
      </w:pPr>
    </w:lvl>
    <w:lvl w:ilvl="5" w:tplc="A4A255C4">
      <w:start w:val="1"/>
      <w:numFmt w:val="lowerRoman"/>
      <w:lvlText w:val="%6."/>
      <w:lvlJc w:val="right"/>
      <w:pPr>
        <w:ind w:left="4320" w:hanging="180"/>
      </w:pPr>
    </w:lvl>
    <w:lvl w:ilvl="6" w:tplc="BD6A0A38">
      <w:start w:val="1"/>
      <w:numFmt w:val="decimal"/>
      <w:lvlText w:val="%7."/>
      <w:lvlJc w:val="left"/>
      <w:pPr>
        <w:ind w:left="5040" w:hanging="360"/>
      </w:pPr>
    </w:lvl>
    <w:lvl w:ilvl="7" w:tplc="43BE1D00">
      <w:start w:val="1"/>
      <w:numFmt w:val="lowerLetter"/>
      <w:lvlText w:val="%8."/>
      <w:lvlJc w:val="left"/>
      <w:pPr>
        <w:ind w:left="5760" w:hanging="360"/>
      </w:pPr>
    </w:lvl>
    <w:lvl w:ilvl="8" w:tplc="03A89578">
      <w:start w:val="1"/>
      <w:numFmt w:val="lowerRoman"/>
      <w:lvlText w:val="%9."/>
      <w:lvlJc w:val="right"/>
      <w:pPr>
        <w:ind w:left="6480" w:hanging="180"/>
      </w:pPr>
    </w:lvl>
  </w:abstractNum>
  <w:abstractNum w:abstractNumId="6" w15:restartNumberingAfterBreak="0">
    <w:nsid w:val="08AF5D5B"/>
    <w:multiLevelType w:val="multilevel"/>
    <w:tmpl w:val="538C83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FF56AE"/>
    <w:multiLevelType w:val="hybridMultilevel"/>
    <w:tmpl w:val="43D00464"/>
    <w:lvl w:ilvl="0" w:tplc="AB7667DA">
      <w:start w:val="1"/>
      <w:numFmt w:val="bullet"/>
      <w:lvlText w:val="•"/>
      <w:lvlJc w:val="left"/>
      <w:pPr>
        <w:tabs>
          <w:tab w:val="num" w:pos="720"/>
        </w:tabs>
        <w:ind w:left="720" w:hanging="360"/>
      </w:pPr>
      <w:rPr>
        <w:rFonts w:ascii="Arial" w:hAnsi="Arial" w:hint="default"/>
      </w:rPr>
    </w:lvl>
    <w:lvl w:ilvl="1" w:tplc="8B9433BA" w:tentative="1">
      <w:start w:val="1"/>
      <w:numFmt w:val="bullet"/>
      <w:lvlText w:val="•"/>
      <w:lvlJc w:val="left"/>
      <w:pPr>
        <w:tabs>
          <w:tab w:val="num" w:pos="1440"/>
        </w:tabs>
        <w:ind w:left="1440" w:hanging="360"/>
      </w:pPr>
      <w:rPr>
        <w:rFonts w:ascii="Arial" w:hAnsi="Arial" w:hint="default"/>
      </w:rPr>
    </w:lvl>
    <w:lvl w:ilvl="2" w:tplc="CB38A73E" w:tentative="1">
      <w:start w:val="1"/>
      <w:numFmt w:val="bullet"/>
      <w:lvlText w:val="•"/>
      <w:lvlJc w:val="left"/>
      <w:pPr>
        <w:tabs>
          <w:tab w:val="num" w:pos="2160"/>
        </w:tabs>
        <w:ind w:left="2160" w:hanging="360"/>
      </w:pPr>
      <w:rPr>
        <w:rFonts w:ascii="Arial" w:hAnsi="Arial" w:hint="default"/>
      </w:rPr>
    </w:lvl>
    <w:lvl w:ilvl="3" w:tplc="9F48009C" w:tentative="1">
      <w:start w:val="1"/>
      <w:numFmt w:val="bullet"/>
      <w:lvlText w:val="•"/>
      <w:lvlJc w:val="left"/>
      <w:pPr>
        <w:tabs>
          <w:tab w:val="num" w:pos="2880"/>
        </w:tabs>
        <w:ind w:left="2880" w:hanging="360"/>
      </w:pPr>
      <w:rPr>
        <w:rFonts w:ascii="Arial" w:hAnsi="Arial" w:hint="default"/>
      </w:rPr>
    </w:lvl>
    <w:lvl w:ilvl="4" w:tplc="BB0EB582" w:tentative="1">
      <w:start w:val="1"/>
      <w:numFmt w:val="bullet"/>
      <w:lvlText w:val="•"/>
      <w:lvlJc w:val="left"/>
      <w:pPr>
        <w:tabs>
          <w:tab w:val="num" w:pos="3600"/>
        </w:tabs>
        <w:ind w:left="3600" w:hanging="360"/>
      </w:pPr>
      <w:rPr>
        <w:rFonts w:ascii="Arial" w:hAnsi="Arial" w:hint="default"/>
      </w:rPr>
    </w:lvl>
    <w:lvl w:ilvl="5" w:tplc="C172DC90" w:tentative="1">
      <w:start w:val="1"/>
      <w:numFmt w:val="bullet"/>
      <w:lvlText w:val="•"/>
      <w:lvlJc w:val="left"/>
      <w:pPr>
        <w:tabs>
          <w:tab w:val="num" w:pos="4320"/>
        </w:tabs>
        <w:ind w:left="4320" w:hanging="360"/>
      </w:pPr>
      <w:rPr>
        <w:rFonts w:ascii="Arial" w:hAnsi="Arial" w:hint="default"/>
      </w:rPr>
    </w:lvl>
    <w:lvl w:ilvl="6" w:tplc="1436E3AC" w:tentative="1">
      <w:start w:val="1"/>
      <w:numFmt w:val="bullet"/>
      <w:lvlText w:val="•"/>
      <w:lvlJc w:val="left"/>
      <w:pPr>
        <w:tabs>
          <w:tab w:val="num" w:pos="5040"/>
        </w:tabs>
        <w:ind w:left="5040" w:hanging="360"/>
      </w:pPr>
      <w:rPr>
        <w:rFonts w:ascii="Arial" w:hAnsi="Arial" w:hint="default"/>
      </w:rPr>
    </w:lvl>
    <w:lvl w:ilvl="7" w:tplc="EDF2ECB8" w:tentative="1">
      <w:start w:val="1"/>
      <w:numFmt w:val="bullet"/>
      <w:lvlText w:val="•"/>
      <w:lvlJc w:val="left"/>
      <w:pPr>
        <w:tabs>
          <w:tab w:val="num" w:pos="5760"/>
        </w:tabs>
        <w:ind w:left="5760" w:hanging="360"/>
      </w:pPr>
      <w:rPr>
        <w:rFonts w:ascii="Arial" w:hAnsi="Arial" w:hint="default"/>
      </w:rPr>
    </w:lvl>
    <w:lvl w:ilvl="8" w:tplc="05F84AB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B417532"/>
    <w:multiLevelType w:val="multilevel"/>
    <w:tmpl w:val="C33A0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551635"/>
    <w:multiLevelType w:val="multilevel"/>
    <w:tmpl w:val="288E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5764BE"/>
    <w:multiLevelType w:val="hybridMultilevel"/>
    <w:tmpl w:val="A0C635F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E952333"/>
    <w:multiLevelType w:val="multilevel"/>
    <w:tmpl w:val="8F1C9154"/>
    <w:lvl w:ilvl="0">
      <w:start w:val="1"/>
      <w:numFmt w:val="bullet"/>
      <w:lvlText w:val=""/>
      <w:lvlJc w:val="left"/>
      <w:pPr>
        <w:ind w:left="720" w:hanging="360"/>
      </w:pPr>
      <w:rPr>
        <w:rFonts w:ascii="Symbol" w:hAnsi="Symbol" w:hint="default"/>
      </w:rPr>
    </w:lvl>
    <w:lvl w:ilvl="1">
      <w:start w:val="1"/>
      <w:numFmt w:val="decimal"/>
      <w:lvlText w:val="6.%2"/>
      <w:lvlJc w:val="left"/>
      <w:pPr>
        <w:ind w:left="1440" w:hanging="360"/>
      </w:pPr>
      <w:rPr>
        <w:rFonts w:hint="default"/>
        <w:b/>
        <w:bCs/>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FB00E57"/>
    <w:multiLevelType w:val="multilevel"/>
    <w:tmpl w:val="2D8E2E86"/>
    <w:lvl w:ilvl="0">
      <w:start w:val="1"/>
      <w:numFmt w:val="bullet"/>
      <w:lvlText w:val=""/>
      <w:lvlJc w:val="left"/>
      <w:pPr>
        <w:ind w:left="360" w:hanging="360"/>
      </w:pPr>
      <w:rPr>
        <w:rFonts w:ascii="Symbol" w:hAnsi="Symbol" w:hint="default"/>
      </w:rPr>
    </w:lvl>
    <w:lvl w:ilvl="1">
      <w:start w:val="1"/>
      <w:numFmt w:val="decimal"/>
      <w:lvlText w:val="5.%2"/>
      <w:lvlJc w:val="left"/>
      <w:pPr>
        <w:ind w:left="1080" w:hanging="360"/>
      </w:pPr>
      <w:rPr>
        <w:rFonts w:hint="default"/>
        <w:b/>
        <w:bCs/>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115E6ECB"/>
    <w:multiLevelType w:val="hybridMultilevel"/>
    <w:tmpl w:val="4E4E73FA"/>
    <w:styleLink w:val="EY-PSListStyl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3BF2CE0"/>
    <w:multiLevelType w:val="hybridMultilevel"/>
    <w:tmpl w:val="A6048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4723A5"/>
    <w:multiLevelType w:val="multilevel"/>
    <w:tmpl w:val="5E124A28"/>
    <w:lvl w:ilvl="0">
      <w:start w:val="1"/>
      <w:numFmt w:val="bullet"/>
      <w:lvlText w:val=""/>
      <w:lvlJc w:val="left"/>
      <w:pPr>
        <w:ind w:left="360" w:hanging="360"/>
      </w:pPr>
      <w:rPr>
        <w:rFonts w:ascii="Symbol" w:hAnsi="Symbol" w:hint="default"/>
      </w:rPr>
    </w:lvl>
    <w:lvl w:ilvl="1">
      <w:start w:val="1"/>
      <w:numFmt w:val="decimal"/>
      <w:lvlText w:val="5.%2"/>
      <w:lvlJc w:val="left"/>
      <w:pPr>
        <w:ind w:left="1080" w:hanging="360"/>
      </w:pPr>
      <w:rPr>
        <w:rFonts w:hint="default"/>
        <w:b/>
        <w:bCs/>
      </w:rPr>
    </w:lvl>
    <w:lvl w:ilvl="2">
      <w:start w:val="1"/>
      <w:numFmt w:val="bullet"/>
      <w:lvlText w:val=""/>
      <w:lvlJc w:val="left"/>
      <w:pPr>
        <w:ind w:left="1980" w:hanging="360"/>
      </w:pPr>
      <w:rPr>
        <w:rFonts w:ascii="Symbol" w:hAnsi="Symbol"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6" w15:restartNumberingAfterBreak="0">
    <w:nsid w:val="144F4B08"/>
    <w:multiLevelType w:val="hybridMultilevel"/>
    <w:tmpl w:val="6C9E51B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16434578"/>
    <w:multiLevelType w:val="hybridMultilevel"/>
    <w:tmpl w:val="AC4EA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83FCE58"/>
    <w:multiLevelType w:val="multilevel"/>
    <w:tmpl w:val="A6245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8DC712F"/>
    <w:multiLevelType w:val="hybridMultilevel"/>
    <w:tmpl w:val="C4348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9080143"/>
    <w:multiLevelType w:val="hybridMultilevel"/>
    <w:tmpl w:val="44E46D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9877D27"/>
    <w:multiLevelType w:val="hybridMultilevel"/>
    <w:tmpl w:val="099E7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BAD61C3"/>
    <w:multiLevelType w:val="multilevel"/>
    <w:tmpl w:val="93A808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1CB741D7"/>
    <w:multiLevelType w:val="multilevel"/>
    <w:tmpl w:val="2486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EAC6FDA"/>
    <w:multiLevelType w:val="multilevel"/>
    <w:tmpl w:val="57666396"/>
    <w:lvl w:ilvl="0">
      <w:start w:val="9"/>
      <w:numFmt w:val="decimal"/>
      <w:lvlText w:val="%1"/>
      <w:lvlJc w:val="left"/>
      <w:pPr>
        <w:ind w:left="420" w:hanging="420"/>
      </w:pPr>
      <w:rPr>
        <w:rFonts w:hint="default"/>
      </w:rPr>
    </w:lvl>
    <w:lvl w:ilvl="1">
      <w:start w:val="19"/>
      <w:numFmt w:val="decimal"/>
      <w:lvlText w:val="8.%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1F1D427F"/>
    <w:multiLevelType w:val="multilevel"/>
    <w:tmpl w:val="811CA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E078FD"/>
    <w:multiLevelType w:val="multilevel"/>
    <w:tmpl w:val="CC22AAA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207B4734"/>
    <w:multiLevelType w:val="multilevel"/>
    <w:tmpl w:val="B8F414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215A43B5"/>
    <w:multiLevelType w:val="multilevel"/>
    <w:tmpl w:val="5F92D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1823BED"/>
    <w:multiLevelType w:val="multilevel"/>
    <w:tmpl w:val="6FF4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20841C1"/>
    <w:multiLevelType w:val="multilevel"/>
    <w:tmpl w:val="B9020C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32D37AF"/>
    <w:multiLevelType w:val="hybridMultilevel"/>
    <w:tmpl w:val="ECF06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5BA11B5"/>
    <w:multiLevelType w:val="hybridMultilevel"/>
    <w:tmpl w:val="18886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636127F"/>
    <w:multiLevelType w:val="hybridMultilevel"/>
    <w:tmpl w:val="D2A8E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7466B7E"/>
    <w:multiLevelType w:val="hybridMultilevel"/>
    <w:tmpl w:val="9F0066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93D438A"/>
    <w:multiLevelType w:val="multilevel"/>
    <w:tmpl w:val="DFF8AD70"/>
    <w:lvl w:ilvl="0">
      <w:start w:val="9"/>
      <w:numFmt w:val="decimal"/>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6" w15:restartNumberingAfterBreak="0">
    <w:nsid w:val="2B0F1794"/>
    <w:multiLevelType w:val="hybridMultilevel"/>
    <w:tmpl w:val="8C401528"/>
    <w:styleLink w:val="Style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2B447A7C"/>
    <w:multiLevelType w:val="hybridMultilevel"/>
    <w:tmpl w:val="7012FD2A"/>
    <w:lvl w:ilvl="0" w:tplc="F2D2FB10">
      <w:start w:val="1"/>
      <w:numFmt w:val="decimal"/>
      <w:lvlText w:val="%1."/>
      <w:lvlJc w:val="left"/>
      <w:pPr>
        <w:ind w:left="360" w:hanging="360"/>
      </w:pPr>
      <w:rPr>
        <w:rFonts w:hint="default"/>
        <w:i w:val="0"/>
        <w:i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2F0758D6"/>
    <w:multiLevelType w:val="multilevel"/>
    <w:tmpl w:val="BF7CB120"/>
    <w:lvl w:ilvl="0">
      <w:start w:val="1"/>
      <w:numFmt w:val="decimal"/>
      <w:lvlText w:val="3.%1"/>
      <w:lvlJc w:val="left"/>
      <w:pPr>
        <w:ind w:left="360" w:hanging="360"/>
      </w:pPr>
      <w:rPr>
        <w:rFonts w:hint="default"/>
        <w:b/>
        <w:bCs/>
        <w:color w:val="auto"/>
      </w:rPr>
    </w:lvl>
    <w:lvl w:ilvl="1">
      <w:start w:val="1"/>
      <w:numFmt w:val="bullet"/>
      <w:lvlText w:val="o"/>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30567D28"/>
    <w:multiLevelType w:val="multilevel"/>
    <w:tmpl w:val="4E4E73FA"/>
    <w:numStyleLink w:val="EY-PSListStyle"/>
  </w:abstractNum>
  <w:abstractNum w:abstractNumId="40" w15:restartNumberingAfterBreak="0">
    <w:nsid w:val="30CF08C6"/>
    <w:multiLevelType w:val="hybridMultilevel"/>
    <w:tmpl w:val="8E3C27C0"/>
    <w:lvl w:ilvl="0" w:tplc="65D4FDC4">
      <w:start w:val="1"/>
      <w:numFmt w:val="decimal"/>
      <w:lvlText w:val="%1."/>
      <w:lvlJc w:val="left"/>
      <w:pPr>
        <w:ind w:left="360" w:hanging="360"/>
      </w:pPr>
      <w:rPr>
        <w:rFonts w:ascii="Aptos,Arial,Times New Roman" w:hAnsi="Aptos,Arial,Times New Roman" w:hint="default"/>
      </w:rPr>
    </w:lvl>
    <w:lvl w:ilvl="1" w:tplc="E9EA7758">
      <w:start w:val="1"/>
      <w:numFmt w:val="lowerLetter"/>
      <w:lvlText w:val="%2."/>
      <w:lvlJc w:val="left"/>
      <w:pPr>
        <w:ind w:left="1440" w:hanging="360"/>
      </w:pPr>
    </w:lvl>
    <w:lvl w:ilvl="2" w:tplc="00B8DDE0">
      <w:start w:val="1"/>
      <w:numFmt w:val="lowerRoman"/>
      <w:lvlText w:val="%3."/>
      <w:lvlJc w:val="right"/>
      <w:pPr>
        <w:ind w:left="2160" w:hanging="180"/>
      </w:pPr>
    </w:lvl>
    <w:lvl w:ilvl="3" w:tplc="9920F47E">
      <w:start w:val="1"/>
      <w:numFmt w:val="decimal"/>
      <w:lvlText w:val="%4."/>
      <w:lvlJc w:val="left"/>
      <w:pPr>
        <w:ind w:left="2880" w:hanging="360"/>
      </w:pPr>
    </w:lvl>
    <w:lvl w:ilvl="4" w:tplc="4F9EEE38">
      <w:start w:val="1"/>
      <w:numFmt w:val="lowerLetter"/>
      <w:lvlText w:val="%5."/>
      <w:lvlJc w:val="left"/>
      <w:pPr>
        <w:ind w:left="3600" w:hanging="360"/>
      </w:pPr>
    </w:lvl>
    <w:lvl w:ilvl="5" w:tplc="6DD04A38">
      <w:start w:val="1"/>
      <w:numFmt w:val="lowerRoman"/>
      <w:lvlText w:val="%6."/>
      <w:lvlJc w:val="right"/>
      <w:pPr>
        <w:ind w:left="4320" w:hanging="180"/>
      </w:pPr>
    </w:lvl>
    <w:lvl w:ilvl="6" w:tplc="CF3255D0">
      <w:start w:val="1"/>
      <w:numFmt w:val="decimal"/>
      <w:lvlText w:val="%7."/>
      <w:lvlJc w:val="left"/>
      <w:pPr>
        <w:ind w:left="5040" w:hanging="360"/>
      </w:pPr>
    </w:lvl>
    <w:lvl w:ilvl="7" w:tplc="69AEC6A4">
      <w:start w:val="1"/>
      <w:numFmt w:val="lowerLetter"/>
      <w:lvlText w:val="%8."/>
      <w:lvlJc w:val="left"/>
      <w:pPr>
        <w:ind w:left="5760" w:hanging="360"/>
      </w:pPr>
    </w:lvl>
    <w:lvl w:ilvl="8" w:tplc="FB347C00">
      <w:start w:val="1"/>
      <w:numFmt w:val="lowerRoman"/>
      <w:lvlText w:val="%9."/>
      <w:lvlJc w:val="right"/>
      <w:pPr>
        <w:ind w:left="6480" w:hanging="180"/>
      </w:pPr>
    </w:lvl>
  </w:abstractNum>
  <w:abstractNum w:abstractNumId="41" w15:restartNumberingAfterBreak="0">
    <w:nsid w:val="31BAF34B"/>
    <w:multiLevelType w:val="hybridMultilevel"/>
    <w:tmpl w:val="2BA4A1E4"/>
    <w:lvl w:ilvl="0" w:tplc="223476DC">
      <w:start w:val="6"/>
      <w:numFmt w:val="decimal"/>
      <w:lvlText w:val="%1."/>
      <w:lvlJc w:val="left"/>
      <w:pPr>
        <w:ind w:left="360" w:hanging="360"/>
      </w:pPr>
      <w:rPr>
        <w:rFonts w:ascii="Aptos,Arial,Times New Roman" w:hAnsi="Aptos,Arial,Times New Roman" w:hint="default"/>
      </w:rPr>
    </w:lvl>
    <w:lvl w:ilvl="1" w:tplc="5022A7BE">
      <w:start w:val="1"/>
      <w:numFmt w:val="lowerLetter"/>
      <w:lvlText w:val="%2."/>
      <w:lvlJc w:val="left"/>
      <w:pPr>
        <w:ind w:left="1440" w:hanging="360"/>
      </w:pPr>
    </w:lvl>
    <w:lvl w:ilvl="2" w:tplc="9C40B7BC">
      <w:start w:val="1"/>
      <w:numFmt w:val="lowerRoman"/>
      <w:lvlText w:val="%3."/>
      <w:lvlJc w:val="right"/>
      <w:pPr>
        <w:ind w:left="2160" w:hanging="180"/>
      </w:pPr>
    </w:lvl>
    <w:lvl w:ilvl="3" w:tplc="3E128AAE">
      <w:start w:val="1"/>
      <w:numFmt w:val="decimal"/>
      <w:lvlText w:val="%4."/>
      <w:lvlJc w:val="left"/>
      <w:pPr>
        <w:ind w:left="2880" w:hanging="360"/>
      </w:pPr>
    </w:lvl>
    <w:lvl w:ilvl="4" w:tplc="C2D84BAE">
      <w:start w:val="1"/>
      <w:numFmt w:val="lowerLetter"/>
      <w:lvlText w:val="%5."/>
      <w:lvlJc w:val="left"/>
      <w:pPr>
        <w:ind w:left="3600" w:hanging="360"/>
      </w:pPr>
    </w:lvl>
    <w:lvl w:ilvl="5" w:tplc="B364A578">
      <w:start w:val="1"/>
      <w:numFmt w:val="lowerRoman"/>
      <w:lvlText w:val="%6."/>
      <w:lvlJc w:val="right"/>
      <w:pPr>
        <w:ind w:left="4320" w:hanging="180"/>
      </w:pPr>
    </w:lvl>
    <w:lvl w:ilvl="6" w:tplc="7C648F6C">
      <w:start w:val="1"/>
      <w:numFmt w:val="decimal"/>
      <w:lvlText w:val="%7."/>
      <w:lvlJc w:val="left"/>
      <w:pPr>
        <w:ind w:left="5040" w:hanging="360"/>
      </w:pPr>
    </w:lvl>
    <w:lvl w:ilvl="7" w:tplc="CC72E2D2">
      <w:start w:val="1"/>
      <w:numFmt w:val="lowerLetter"/>
      <w:lvlText w:val="%8."/>
      <w:lvlJc w:val="left"/>
      <w:pPr>
        <w:ind w:left="5760" w:hanging="360"/>
      </w:pPr>
    </w:lvl>
    <w:lvl w:ilvl="8" w:tplc="4C76CE46">
      <w:start w:val="1"/>
      <w:numFmt w:val="lowerRoman"/>
      <w:lvlText w:val="%9."/>
      <w:lvlJc w:val="right"/>
      <w:pPr>
        <w:ind w:left="6480" w:hanging="180"/>
      </w:pPr>
    </w:lvl>
  </w:abstractNum>
  <w:abstractNum w:abstractNumId="42" w15:restartNumberingAfterBreak="0">
    <w:nsid w:val="31C047FE"/>
    <w:multiLevelType w:val="multilevel"/>
    <w:tmpl w:val="5694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1FB2C8E"/>
    <w:multiLevelType w:val="hybridMultilevel"/>
    <w:tmpl w:val="C6F41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2702270"/>
    <w:multiLevelType w:val="hybridMultilevel"/>
    <w:tmpl w:val="96167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3F56A5B"/>
    <w:multiLevelType w:val="hybridMultilevel"/>
    <w:tmpl w:val="F89AB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3422974E"/>
    <w:multiLevelType w:val="multilevel"/>
    <w:tmpl w:val="E3A00F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66C7AF8"/>
    <w:multiLevelType w:val="hybridMultilevel"/>
    <w:tmpl w:val="8E389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70906CC"/>
    <w:multiLevelType w:val="hybridMultilevel"/>
    <w:tmpl w:val="DE9201A4"/>
    <w:lvl w:ilvl="0" w:tplc="51185920">
      <w:start w:val="1"/>
      <w:numFmt w:val="decimal"/>
      <w:lvlText w:val="%1."/>
      <w:lvlJc w:val="left"/>
      <w:pPr>
        <w:ind w:left="360" w:hanging="360"/>
      </w:pPr>
      <w:rPr>
        <w:rFonts w:hint="default"/>
        <w:i w:val="0"/>
        <w:i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38072643"/>
    <w:multiLevelType w:val="multilevel"/>
    <w:tmpl w:val="3CD0606C"/>
    <w:lvl w:ilvl="0">
      <w:start w:val="1"/>
      <w:numFmt w:val="bullet"/>
      <w:lvlText w:val=""/>
      <w:lvlJc w:val="left"/>
      <w:pPr>
        <w:ind w:left="360" w:hanging="360"/>
      </w:pPr>
      <w:rPr>
        <w:rFonts w:ascii="Symbol" w:hAnsi="Symbol" w:hint="default"/>
      </w:rPr>
    </w:lvl>
    <w:lvl w:ilvl="1">
      <w:start w:val="1"/>
      <w:numFmt w:val="decimal"/>
      <w:lvlText w:val="8.%2"/>
      <w:lvlJc w:val="left"/>
      <w:pPr>
        <w:ind w:left="1000"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386778BF"/>
    <w:multiLevelType w:val="multilevel"/>
    <w:tmpl w:val="67661CFE"/>
    <w:lvl w:ilvl="0">
      <w:start w:val="1"/>
      <w:numFmt w:val="decimal"/>
      <w:lvlText w:val="%1)"/>
      <w:lvlJc w:val="left"/>
      <w:pPr>
        <w:ind w:left="360" w:hanging="360"/>
      </w:pPr>
      <w:rPr>
        <w:rFonts w:hint="default"/>
      </w:rPr>
    </w:lvl>
    <w:lvl w:ilvl="1">
      <w:start w:val="1"/>
      <w:numFmt w:val="decimal"/>
      <w:lvlText w:val="7.%2"/>
      <w:lvlJc w:val="left"/>
      <w:pPr>
        <w:ind w:left="720" w:hanging="360"/>
      </w:pPr>
      <w:rPr>
        <w:rFonts w:hint="default"/>
        <w:b/>
        <w:bCs/>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3F014CF1"/>
    <w:multiLevelType w:val="hybridMultilevel"/>
    <w:tmpl w:val="EE9C6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1CD0D4F"/>
    <w:multiLevelType w:val="multilevel"/>
    <w:tmpl w:val="8990E2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15:restartNumberingAfterBreak="0">
    <w:nsid w:val="4528502C"/>
    <w:multiLevelType w:val="hybridMultilevel"/>
    <w:tmpl w:val="98B6FDEE"/>
    <w:lvl w:ilvl="0" w:tplc="35A6A73A">
      <w:start w:val="1"/>
      <w:numFmt w:val="decimal"/>
      <w:lvlText w:val="%1."/>
      <w:lvlJc w:val="left"/>
      <w:pPr>
        <w:ind w:left="360" w:hanging="360"/>
      </w:pPr>
      <w:rPr>
        <w:rFonts w:hint="default"/>
        <w:i w:val="0"/>
        <w:i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453F49E2"/>
    <w:multiLevelType w:val="multilevel"/>
    <w:tmpl w:val="5B008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7AA138D"/>
    <w:multiLevelType w:val="hybridMultilevel"/>
    <w:tmpl w:val="AB928F40"/>
    <w:lvl w:ilvl="0" w:tplc="FC6A1C36">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47FB2B30"/>
    <w:multiLevelType w:val="multilevel"/>
    <w:tmpl w:val="280CC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88D06F3"/>
    <w:multiLevelType w:val="hybridMultilevel"/>
    <w:tmpl w:val="1772F814"/>
    <w:lvl w:ilvl="0" w:tplc="B19647CC">
      <w:start w:val="1"/>
      <w:numFmt w:val="decimal"/>
      <w:lvlText w:val="%1."/>
      <w:lvlJc w:val="left"/>
      <w:pPr>
        <w:ind w:left="360" w:hanging="360"/>
      </w:pPr>
      <w:rPr>
        <w:rFonts w:hint="default"/>
        <w:i w:val="0"/>
        <w:i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4A78299C"/>
    <w:multiLevelType w:val="hybridMultilevel"/>
    <w:tmpl w:val="A5C60CA8"/>
    <w:lvl w:ilvl="0" w:tplc="C248F1F4">
      <w:start w:val="1"/>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9" w15:restartNumberingAfterBreak="0">
    <w:nsid w:val="4AAC74EA"/>
    <w:multiLevelType w:val="multilevel"/>
    <w:tmpl w:val="F33CF818"/>
    <w:lvl w:ilvl="0">
      <w:start w:val="1"/>
      <w:numFmt w:val="decimal"/>
      <w:lvlText w:val="%1."/>
      <w:lvlJc w:val="left"/>
      <w:pPr>
        <w:ind w:left="360" w:hanging="360"/>
      </w:pPr>
      <w:rPr>
        <w:rFonts w:hint="default"/>
      </w:rPr>
    </w:lvl>
    <w:lvl w:ilvl="1">
      <w:start w:val="1"/>
      <w:numFmt w:val="decimal"/>
      <w:lvlText w:val="5.%2"/>
      <w:lvlJc w:val="left"/>
      <w:pPr>
        <w:ind w:left="1080" w:hanging="360"/>
      </w:pPr>
      <w:rPr>
        <w:rFonts w:hint="default"/>
        <w:b/>
        <w:bCs/>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0" w15:restartNumberingAfterBreak="0">
    <w:nsid w:val="4AEBEE09"/>
    <w:multiLevelType w:val="hybridMultilevel"/>
    <w:tmpl w:val="41188F2C"/>
    <w:lvl w:ilvl="0" w:tplc="F2426DC8">
      <w:start w:val="9"/>
      <w:numFmt w:val="decimal"/>
      <w:lvlText w:val="%1."/>
      <w:lvlJc w:val="left"/>
      <w:pPr>
        <w:ind w:left="360" w:hanging="360"/>
      </w:pPr>
      <w:rPr>
        <w:rFonts w:ascii="Aptos,Arial,Times New Roman" w:hAnsi="Aptos,Arial,Times New Roman" w:hint="default"/>
        <w:b/>
        <w:bCs/>
      </w:rPr>
    </w:lvl>
    <w:lvl w:ilvl="1" w:tplc="9FF038FA">
      <w:start w:val="1"/>
      <w:numFmt w:val="lowerLetter"/>
      <w:lvlText w:val="%2."/>
      <w:lvlJc w:val="left"/>
      <w:pPr>
        <w:ind w:left="1440" w:hanging="360"/>
      </w:pPr>
    </w:lvl>
    <w:lvl w:ilvl="2" w:tplc="3F6A52CC">
      <w:start w:val="1"/>
      <w:numFmt w:val="lowerRoman"/>
      <w:lvlText w:val="%3."/>
      <w:lvlJc w:val="right"/>
      <w:pPr>
        <w:ind w:left="2160" w:hanging="180"/>
      </w:pPr>
    </w:lvl>
    <w:lvl w:ilvl="3" w:tplc="F2100092">
      <w:start w:val="1"/>
      <w:numFmt w:val="decimal"/>
      <w:lvlText w:val="%4."/>
      <w:lvlJc w:val="left"/>
      <w:pPr>
        <w:ind w:left="2880" w:hanging="360"/>
      </w:pPr>
    </w:lvl>
    <w:lvl w:ilvl="4" w:tplc="3CE45DD4">
      <w:start w:val="1"/>
      <w:numFmt w:val="lowerLetter"/>
      <w:lvlText w:val="%5."/>
      <w:lvlJc w:val="left"/>
      <w:pPr>
        <w:ind w:left="3600" w:hanging="360"/>
      </w:pPr>
    </w:lvl>
    <w:lvl w:ilvl="5" w:tplc="11184CF6">
      <w:start w:val="1"/>
      <w:numFmt w:val="lowerRoman"/>
      <w:lvlText w:val="%6."/>
      <w:lvlJc w:val="right"/>
      <w:pPr>
        <w:ind w:left="4320" w:hanging="180"/>
      </w:pPr>
    </w:lvl>
    <w:lvl w:ilvl="6" w:tplc="ED44125A">
      <w:start w:val="1"/>
      <w:numFmt w:val="decimal"/>
      <w:lvlText w:val="%7."/>
      <w:lvlJc w:val="left"/>
      <w:pPr>
        <w:ind w:left="5040" w:hanging="360"/>
      </w:pPr>
    </w:lvl>
    <w:lvl w:ilvl="7" w:tplc="71FAF8F8">
      <w:start w:val="1"/>
      <w:numFmt w:val="lowerLetter"/>
      <w:lvlText w:val="%8."/>
      <w:lvlJc w:val="left"/>
      <w:pPr>
        <w:ind w:left="5760" w:hanging="360"/>
      </w:pPr>
    </w:lvl>
    <w:lvl w:ilvl="8" w:tplc="05B0A250">
      <w:start w:val="1"/>
      <w:numFmt w:val="lowerRoman"/>
      <w:lvlText w:val="%9."/>
      <w:lvlJc w:val="right"/>
      <w:pPr>
        <w:ind w:left="6480" w:hanging="180"/>
      </w:pPr>
    </w:lvl>
  </w:abstractNum>
  <w:abstractNum w:abstractNumId="61" w15:restartNumberingAfterBreak="0">
    <w:nsid w:val="4B134DCA"/>
    <w:multiLevelType w:val="hybridMultilevel"/>
    <w:tmpl w:val="246E1A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BD579B7"/>
    <w:multiLevelType w:val="hybridMultilevel"/>
    <w:tmpl w:val="D77E8BB0"/>
    <w:lvl w:ilvl="0" w:tplc="4590043C">
      <w:start w:val="1"/>
      <w:numFmt w:val="decimal"/>
      <w:lvlText w:val="%1."/>
      <w:lvlJc w:val="left"/>
      <w:pPr>
        <w:ind w:left="360" w:hanging="360"/>
      </w:pPr>
      <w:rPr>
        <w:rFonts w:hint="default"/>
        <w:i w:val="0"/>
        <w:i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4D14E91A"/>
    <w:multiLevelType w:val="multilevel"/>
    <w:tmpl w:val="31D2A0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F5A7EBB"/>
    <w:multiLevelType w:val="hybridMultilevel"/>
    <w:tmpl w:val="3AB49158"/>
    <w:lvl w:ilvl="0" w:tplc="3F529C5C">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0021781"/>
    <w:multiLevelType w:val="multilevel"/>
    <w:tmpl w:val="B8F414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6" w15:restartNumberingAfterBreak="0">
    <w:nsid w:val="5216555B"/>
    <w:multiLevelType w:val="multilevel"/>
    <w:tmpl w:val="CD828270"/>
    <w:lvl w:ilvl="0">
      <w:start w:val="10"/>
      <w:numFmt w:val="decimal"/>
      <w:lvlText w:val="%1"/>
      <w:lvlJc w:val="left"/>
      <w:pPr>
        <w:ind w:left="360" w:hanging="360"/>
      </w:pPr>
      <w:rPr>
        <w:rFonts w:hint="default"/>
      </w:rPr>
    </w:lvl>
    <w:lvl w:ilvl="1">
      <w:start w:val="1"/>
      <w:numFmt w:val="decimal"/>
      <w:lvlText w:val="9.%2"/>
      <w:lvlJc w:val="left"/>
      <w:pPr>
        <w:ind w:left="720" w:hanging="360"/>
      </w:pPr>
      <w:rPr>
        <w:rFonts w:hint="default"/>
        <w:b/>
        <w:bCs/>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7" w15:restartNumberingAfterBreak="0">
    <w:nsid w:val="543D026D"/>
    <w:multiLevelType w:val="multilevel"/>
    <w:tmpl w:val="53962B62"/>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b/>
        <w:bCs/>
        <w:color w:val="auto"/>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55BC4C07"/>
    <w:multiLevelType w:val="hybridMultilevel"/>
    <w:tmpl w:val="D862CE08"/>
    <w:lvl w:ilvl="0" w:tplc="BA3877AE">
      <w:start w:val="1"/>
      <w:numFmt w:val="bullet"/>
      <w:lvlText w:val=""/>
      <w:lvlJc w:val="left"/>
      <w:pPr>
        <w:ind w:left="720" w:hanging="360"/>
      </w:pPr>
      <w:rPr>
        <w:rFonts w:ascii="Symbol" w:hAnsi="Symbol" w:hint="default"/>
      </w:rPr>
    </w:lvl>
    <w:lvl w:ilvl="1" w:tplc="E410F614">
      <w:start w:val="1"/>
      <w:numFmt w:val="bullet"/>
      <w:lvlText w:val="o"/>
      <w:lvlJc w:val="left"/>
      <w:pPr>
        <w:ind w:left="1440" w:hanging="360"/>
      </w:pPr>
      <w:rPr>
        <w:rFonts w:ascii="Courier New" w:hAnsi="Courier New" w:hint="default"/>
      </w:rPr>
    </w:lvl>
    <w:lvl w:ilvl="2" w:tplc="09FA2F74">
      <w:start w:val="1"/>
      <w:numFmt w:val="bullet"/>
      <w:lvlText w:val=""/>
      <w:lvlJc w:val="left"/>
      <w:pPr>
        <w:ind w:left="2160" w:hanging="360"/>
      </w:pPr>
      <w:rPr>
        <w:rFonts w:ascii="Wingdings" w:hAnsi="Wingdings" w:hint="default"/>
      </w:rPr>
    </w:lvl>
    <w:lvl w:ilvl="3" w:tplc="DE7CE5D2">
      <w:start w:val="1"/>
      <w:numFmt w:val="bullet"/>
      <w:lvlText w:val=""/>
      <w:lvlJc w:val="left"/>
      <w:pPr>
        <w:ind w:left="2880" w:hanging="360"/>
      </w:pPr>
      <w:rPr>
        <w:rFonts w:ascii="Symbol" w:hAnsi="Symbol" w:hint="default"/>
      </w:rPr>
    </w:lvl>
    <w:lvl w:ilvl="4" w:tplc="6A3C13EE">
      <w:start w:val="1"/>
      <w:numFmt w:val="bullet"/>
      <w:lvlText w:val="o"/>
      <w:lvlJc w:val="left"/>
      <w:pPr>
        <w:ind w:left="3600" w:hanging="360"/>
      </w:pPr>
      <w:rPr>
        <w:rFonts w:ascii="Courier New" w:hAnsi="Courier New" w:hint="default"/>
      </w:rPr>
    </w:lvl>
    <w:lvl w:ilvl="5" w:tplc="E31A122C">
      <w:start w:val="1"/>
      <w:numFmt w:val="bullet"/>
      <w:lvlText w:val=""/>
      <w:lvlJc w:val="left"/>
      <w:pPr>
        <w:ind w:left="4320" w:hanging="360"/>
      </w:pPr>
      <w:rPr>
        <w:rFonts w:ascii="Wingdings" w:hAnsi="Wingdings" w:hint="default"/>
      </w:rPr>
    </w:lvl>
    <w:lvl w:ilvl="6" w:tplc="A384AC7A">
      <w:start w:val="1"/>
      <w:numFmt w:val="bullet"/>
      <w:lvlText w:val=""/>
      <w:lvlJc w:val="left"/>
      <w:pPr>
        <w:ind w:left="5040" w:hanging="360"/>
      </w:pPr>
      <w:rPr>
        <w:rFonts w:ascii="Symbol" w:hAnsi="Symbol" w:hint="default"/>
      </w:rPr>
    </w:lvl>
    <w:lvl w:ilvl="7" w:tplc="690202CA">
      <w:start w:val="1"/>
      <w:numFmt w:val="bullet"/>
      <w:lvlText w:val="o"/>
      <w:lvlJc w:val="left"/>
      <w:pPr>
        <w:ind w:left="5760" w:hanging="360"/>
      </w:pPr>
      <w:rPr>
        <w:rFonts w:ascii="Courier New" w:hAnsi="Courier New" w:hint="default"/>
      </w:rPr>
    </w:lvl>
    <w:lvl w:ilvl="8" w:tplc="76EA5ED6">
      <w:start w:val="1"/>
      <w:numFmt w:val="bullet"/>
      <w:lvlText w:val=""/>
      <w:lvlJc w:val="left"/>
      <w:pPr>
        <w:ind w:left="6480" w:hanging="360"/>
      </w:pPr>
      <w:rPr>
        <w:rFonts w:ascii="Wingdings" w:hAnsi="Wingdings" w:hint="default"/>
      </w:rPr>
    </w:lvl>
  </w:abstractNum>
  <w:abstractNum w:abstractNumId="69" w15:restartNumberingAfterBreak="0">
    <w:nsid w:val="5631DF55"/>
    <w:multiLevelType w:val="hybridMultilevel"/>
    <w:tmpl w:val="BCF0F6A8"/>
    <w:lvl w:ilvl="0" w:tplc="3CC00416">
      <w:start w:val="1"/>
      <w:numFmt w:val="bullet"/>
      <w:lvlText w:val=""/>
      <w:lvlJc w:val="left"/>
      <w:pPr>
        <w:ind w:left="360" w:hanging="360"/>
      </w:pPr>
      <w:rPr>
        <w:rFonts w:ascii="Symbol" w:hAnsi="Symbol" w:hint="default"/>
      </w:rPr>
    </w:lvl>
    <w:lvl w:ilvl="1" w:tplc="1958BFCC">
      <w:start w:val="1"/>
      <w:numFmt w:val="bullet"/>
      <w:lvlText w:val="o"/>
      <w:lvlJc w:val="left"/>
      <w:pPr>
        <w:ind w:left="1080" w:hanging="360"/>
      </w:pPr>
      <w:rPr>
        <w:rFonts w:ascii="Courier New" w:hAnsi="Courier New" w:hint="default"/>
      </w:rPr>
    </w:lvl>
    <w:lvl w:ilvl="2" w:tplc="9E5A54C4">
      <w:start w:val="1"/>
      <w:numFmt w:val="bullet"/>
      <w:lvlText w:val=""/>
      <w:lvlJc w:val="left"/>
      <w:pPr>
        <w:ind w:left="1800" w:hanging="360"/>
      </w:pPr>
      <w:rPr>
        <w:rFonts w:ascii="Wingdings" w:hAnsi="Wingdings" w:hint="default"/>
      </w:rPr>
    </w:lvl>
    <w:lvl w:ilvl="3" w:tplc="4DE2255E">
      <w:start w:val="1"/>
      <w:numFmt w:val="bullet"/>
      <w:lvlText w:val=""/>
      <w:lvlJc w:val="left"/>
      <w:pPr>
        <w:ind w:left="2520" w:hanging="360"/>
      </w:pPr>
      <w:rPr>
        <w:rFonts w:ascii="Symbol" w:hAnsi="Symbol" w:hint="default"/>
      </w:rPr>
    </w:lvl>
    <w:lvl w:ilvl="4" w:tplc="000C4DC4">
      <w:start w:val="1"/>
      <w:numFmt w:val="bullet"/>
      <w:lvlText w:val="o"/>
      <w:lvlJc w:val="left"/>
      <w:pPr>
        <w:ind w:left="3240" w:hanging="360"/>
      </w:pPr>
      <w:rPr>
        <w:rFonts w:ascii="Courier New" w:hAnsi="Courier New" w:hint="default"/>
      </w:rPr>
    </w:lvl>
    <w:lvl w:ilvl="5" w:tplc="E7322EAC">
      <w:start w:val="1"/>
      <w:numFmt w:val="bullet"/>
      <w:lvlText w:val=""/>
      <w:lvlJc w:val="left"/>
      <w:pPr>
        <w:ind w:left="3960" w:hanging="360"/>
      </w:pPr>
      <w:rPr>
        <w:rFonts w:ascii="Wingdings" w:hAnsi="Wingdings" w:hint="default"/>
      </w:rPr>
    </w:lvl>
    <w:lvl w:ilvl="6" w:tplc="CAC8CFF8">
      <w:start w:val="1"/>
      <w:numFmt w:val="bullet"/>
      <w:lvlText w:val=""/>
      <w:lvlJc w:val="left"/>
      <w:pPr>
        <w:ind w:left="4680" w:hanging="360"/>
      </w:pPr>
      <w:rPr>
        <w:rFonts w:ascii="Symbol" w:hAnsi="Symbol" w:hint="default"/>
      </w:rPr>
    </w:lvl>
    <w:lvl w:ilvl="7" w:tplc="1C02B8F4">
      <w:start w:val="1"/>
      <w:numFmt w:val="bullet"/>
      <w:lvlText w:val="o"/>
      <w:lvlJc w:val="left"/>
      <w:pPr>
        <w:ind w:left="5400" w:hanging="360"/>
      </w:pPr>
      <w:rPr>
        <w:rFonts w:ascii="Courier New" w:hAnsi="Courier New" w:hint="default"/>
      </w:rPr>
    </w:lvl>
    <w:lvl w:ilvl="8" w:tplc="1234B164">
      <w:start w:val="1"/>
      <w:numFmt w:val="bullet"/>
      <w:lvlText w:val=""/>
      <w:lvlJc w:val="left"/>
      <w:pPr>
        <w:ind w:left="6120" w:hanging="360"/>
      </w:pPr>
      <w:rPr>
        <w:rFonts w:ascii="Wingdings" w:hAnsi="Wingdings" w:hint="default"/>
      </w:rPr>
    </w:lvl>
  </w:abstractNum>
  <w:abstractNum w:abstractNumId="70" w15:restartNumberingAfterBreak="0">
    <w:nsid w:val="56566F90"/>
    <w:multiLevelType w:val="hybridMultilevel"/>
    <w:tmpl w:val="508C9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6931F49"/>
    <w:multiLevelType w:val="hybridMultilevel"/>
    <w:tmpl w:val="C890E596"/>
    <w:lvl w:ilvl="0" w:tplc="334C3F8C">
      <w:start w:val="1"/>
      <w:numFmt w:val="bullet"/>
      <w:lvlText w:val="•"/>
      <w:lvlJc w:val="left"/>
      <w:pPr>
        <w:tabs>
          <w:tab w:val="num" w:pos="720"/>
        </w:tabs>
        <w:ind w:left="720" w:hanging="360"/>
      </w:pPr>
      <w:rPr>
        <w:rFonts w:ascii="Arial" w:hAnsi="Arial" w:hint="default"/>
      </w:rPr>
    </w:lvl>
    <w:lvl w:ilvl="1" w:tplc="2DAC7E50" w:tentative="1">
      <w:start w:val="1"/>
      <w:numFmt w:val="bullet"/>
      <w:lvlText w:val="•"/>
      <w:lvlJc w:val="left"/>
      <w:pPr>
        <w:tabs>
          <w:tab w:val="num" w:pos="1440"/>
        </w:tabs>
        <w:ind w:left="1440" w:hanging="360"/>
      </w:pPr>
      <w:rPr>
        <w:rFonts w:ascii="Arial" w:hAnsi="Arial" w:hint="default"/>
      </w:rPr>
    </w:lvl>
    <w:lvl w:ilvl="2" w:tplc="4B5450BA" w:tentative="1">
      <w:start w:val="1"/>
      <w:numFmt w:val="bullet"/>
      <w:lvlText w:val="•"/>
      <w:lvlJc w:val="left"/>
      <w:pPr>
        <w:tabs>
          <w:tab w:val="num" w:pos="2160"/>
        </w:tabs>
        <w:ind w:left="2160" w:hanging="360"/>
      </w:pPr>
      <w:rPr>
        <w:rFonts w:ascii="Arial" w:hAnsi="Arial" w:hint="default"/>
      </w:rPr>
    </w:lvl>
    <w:lvl w:ilvl="3" w:tplc="7D28E998" w:tentative="1">
      <w:start w:val="1"/>
      <w:numFmt w:val="bullet"/>
      <w:lvlText w:val="•"/>
      <w:lvlJc w:val="left"/>
      <w:pPr>
        <w:tabs>
          <w:tab w:val="num" w:pos="2880"/>
        </w:tabs>
        <w:ind w:left="2880" w:hanging="360"/>
      </w:pPr>
      <w:rPr>
        <w:rFonts w:ascii="Arial" w:hAnsi="Arial" w:hint="default"/>
      </w:rPr>
    </w:lvl>
    <w:lvl w:ilvl="4" w:tplc="089E01E8" w:tentative="1">
      <w:start w:val="1"/>
      <w:numFmt w:val="bullet"/>
      <w:lvlText w:val="•"/>
      <w:lvlJc w:val="left"/>
      <w:pPr>
        <w:tabs>
          <w:tab w:val="num" w:pos="3600"/>
        </w:tabs>
        <w:ind w:left="3600" w:hanging="360"/>
      </w:pPr>
      <w:rPr>
        <w:rFonts w:ascii="Arial" w:hAnsi="Arial" w:hint="default"/>
      </w:rPr>
    </w:lvl>
    <w:lvl w:ilvl="5" w:tplc="5D9EDDAE" w:tentative="1">
      <w:start w:val="1"/>
      <w:numFmt w:val="bullet"/>
      <w:lvlText w:val="•"/>
      <w:lvlJc w:val="left"/>
      <w:pPr>
        <w:tabs>
          <w:tab w:val="num" w:pos="4320"/>
        </w:tabs>
        <w:ind w:left="4320" w:hanging="360"/>
      </w:pPr>
      <w:rPr>
        <w:rFonts w:ascii="Arial" w:hAnsi="Arial" w:hint="default"/>
      </w:rPr>
    </w:lvl>
    <w:lvl w:ilvl="6" w:tplc="1B6C425E" w:tentative="1">
      <w:start w:val="1"/>
      <w:numFmt w:val="bullet"/>
      <w:lvlText w:val="•"/>
      <w:lvlJc w:val="left"/>
      <w:pPr>
        <w:tabs>
          <w:tab w:val="num" w:pos="5040"/>
        </w:tabs>
        <w:ind w:left="5040" w:hanging="360"/>
      </w:pPr>
      <w:rPr>
        <w:rFonts w:ascii="Arial" w:hAnsi="Arial" w:hint="default"/>
      </w:rPr>
    </w:lvl>
    <w:lvl w:ilvl="7" w:tplc="8116CA9E" w:tentative="1">
      <w:start w:val="1"/>
      <w:numFmt w:val="bullet"/>
      <w:lvlText w:val="•"/>
      <w:lvlJc w:val="left"/>
      <w:pPr>
        <w:tabs>
          <w:tab w:val="num" w:pos="5760"/>
        </w:tabs>
        <w:ind w:left="5760" w:hanging="360"/>
      </w:pPr>
      <w:rPr>
        <w:rFonts w:ascii="Arial" w:hAnsi="Arial" w:hint="default"/>
      </w:rPr>
    </w:lvl>
    <w:lvl w:ilvl="8" w:tplc="ACEEB5BE"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57282324"/>
    <w:multiLevelType w:val="hybridMultilevel"/>
    <w:tmpl w:val="A0A6A002"/>
    <w:lvl w:ilvl="0" w:tplc="0562DC72">
      <w:start w:val="1"/>
      <w:numFmt w:val="bullet"/>
      <w:lvlText w:val=""/>
      <w:lvlJc w:val="left"/>
      <w:pPr>
        <w:ind w:left="1080" w:hanging="360"/>
      </w:pPr>
      <w:rPr>
        <w:rFonts w:ascii="Symbol" w:hAnsi="Symbol" w:hint="default"/>
      </w:rPr>
    </w:lvl>
    <w:lvl w:ilvl="1" w:tplc="C41E4C14">
      <w:start w:val="1"/>
      <w:numFmt w:val="bullet"/>
      <w:lvlText w:val="o"/>
      <w:lvlJc w:val="left"/>
      <w:pPr>
        <w:ind w:left="1440" w:hanging="360"/>
      </w:pPr>
      <w:rPr>
        <w:rFonts w:ascii="Courier New" w:hAnsi="Courier New" w:hint="default"/>
      </w:rPr>
    </w:lvl>
    <w:lvl w:ilvl="2" w:tplc="1D06BF3A">
      <w:start w:val="1"/>
      <w:numFmt w:val="bullet"/>
      <w:lvlText w:val=""/>
      <w:lvlJc w:val="left"/>
      <w:pPr>
        <w:ind w:left="2160" w:hanging="360"/>
      </w:pPr>
      <w:rPr>
        <w:rFonts w:ascii="Wingdings" w:hAnsi="Wingdings" w:hint="default"/>
      </w:rPr>
    </w:lvl>
    <w:lvl w:ilvl="3" w:tplc="C61A59AC">
      <w:start w:val="1"/>
      <w:numFmt w:val="bullet"/>
      <w:lvlText w:val=""/>
      <w:lvlJc w:val="left"/>
      <w:pPr>
        <w:ind w:left="2880" w:hanging="360"/>
      </w:pPr>
      <w:rPr>
        <w:rFonts w:ascii="Symbol" w:hAnsi="Symbol" w:hint="default"/>
      </w:rPr>
    </w:lvl>
    <w:lvl w:ilvl="4" w:tplc="AF4EAEE0">
      <w:start w:val="1"/>
      <w:numFmt w:val="bullet"/>
      <w:lvlText w:val="o"/>
      <w:lvlJc w:val="left"/>
      <w:pPr>
        <w:ind w:left="3600" w:hanging="360"/>
      </w:pPr>
      <w:rPr>
        <w:rFonts w:ascii="Courier New" w:hAnsi="Courier New" w:hint="default"/>
      </w:rPr>
    </w:lvl>
    <w:lvl w:ilvl="5" w:tplc="49E08CA0">
      <w:start w:val="1"/>
      <w:numFmt w:val="bullet"/>
      <w:lvlText w:val=""/>
      <w:lvlJc w:val="left"/>
      <w:pPr>
        <w:ind w:left="4320" w:hanging="360"/>
      </w:pPr>
      <w:rPr>
        <w:rFonts w:ascii="Wingdings" w:hAnsi="Wingdings" w:hint="default"/>
      </w:rPr>
    </w:lvl>
    <w:lvl w:ilvl="6" w:tplc="5BBE1862">
      <w:start w:val="1"/>
      <w:numFmt w:val="bullet"/>
      <w:lvlText w:val=""/>
      <w:lvlJc w:val="left"/>
      <w:pPr>
        <w:ind w:left="5040" w:hanging="360"/>
      </w:pPr>
      <w:rPr>
        <w:rFonts w:ascii="Symbol" w:hAnsi="Symbol" w:hint="default"/>
      </w:rPr>
    </w:lvl>
    <w:lvl w:ilvl="7" w:tplc="C622B1C8">
      <w:start w:val="1"/>
      <w:numFmt w:val="bullet"/>
      <w:lvlText w:val="o"/>
      <w:lvlJc w:val="left"/>
      <w:pPr>
        <w:ind w:left="5760" w:hanging="360"/>
      </w:pPr>
      <w:rPr>
        <w:rFonts w:ascii="Courier New" w:hAnsi="Courier New" w:hint="default"/>
      </w:rPr>
    </w:lvl>
    <w:lvl w:ilvl="8" w:tplc="BADE6876">
      <w:start w:val="1"/>
      <w:numFmt w:val="bullet"/>
      <w:lvlText w:val=""/>
      <w:lvlJc w:val="left"/>
      <w:pPr>
        <w:ind w:left="6480" w:hanging="360"/>
      </w:pPr>
      <w:rPr>
        <w:rFonts w:ascii="Wingdings" w:hAnsi="Wingdings" w:hint="default"/>
      </w:rPr>
    </w:lvl>
  </w:abstractNum>
  <w:abstractNum w:abstractNumId="73" w15:restartNumberingAfterBreak="0">
    <w:nsid w:val="573A10C6"/>
    <w:multiLevelType w:val="hybridMultilevel"/>
    <w:tmpl w:val="90B0134A"/>
    <w:lvl w:ilvl="0" w:tplc="7D5A7B80">
      <w:start w:val="1"/>
      <w:numFmt w:val="decimal"/>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4" w15:restartNumberingAfterBreak="0">
    <w:nsid w:val="5A1C38D7"/>
    <w:multiLevelType w:val="hybridMultilevel"/>
    <w:tmpl w:val="A5F40622"/>
    <w:lvl w:ilvl="0" w:tplc="0C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5AAE18BE"/>
    <w:multiLevelType w:val="hybridMultilevel"/>
    <w:tmpl w:val="B478D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C0B6B8B"/>
    <w:multiLevelType w:val="hybridMultilevel"/>
    <w:tmpl w:val="25BCF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C8F1B61"/>
    <w:multiLevelType w:val="hybridMultilevel"/>
    <w:tmpl w:val="28105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D704FD0"/>
    <w:multiLevelType w:val="multilevel"/>
    <w:tmpl w:val="29A63986"/>
    <w:lvl w:ilvl="0">
      <w:start w:val="1"/>
      <w:numFmt w:val="bullet"/>
      <w:lvlText w:val=""/>
      <w:lvlJc w:val="left"/>
      <w:pPr>
        <w:ind w:left="360" w:hanging="360"/>
      </w:pPr>
      <w:rPr>
        <w:rFonts w:ascii="Symbol" w:hAnsi="Symbol" w:hint="default"/>
      </w:rPr>
    </w:lvl>
    <w:lvl w:ilvl="1">
      <w:start w:val="1"/>
      <w:numFmt w:val="decimal"/>
      <w:lvlText w:val="5.%2"/>
      <w:lvlJc w:val="left"/>
      <w:pPr>
        <w:ind w:left="1080" w:hanging="360"/>
      </w:pPr>
      <w:rPr>
        <w:rFonts w:hint="default"/>
        <w:b/>
        <w:bCs/>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9" w15:restartNumberingAfterBreak="0">
    <w:nsid w:val="5EB3380E"/>
    <w:multiLevelType w:val="hybridMultilevel"/>
    <w:tmpl w:val="83606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18F6D14"/>
    <w:multiLevelType w:val="multilevel"/>
    <w:tmpl w:val="F14A47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1B1061D"/>
    <w:multiLevelType w:val="hybridMultilevel"/>
    <w:tmpl w:val="5EFA24DA"/>
    <w:lvl w:ilvl="0" w:tplc="1458EF3A">
      <w:start w:val="1"/>
      <w:numFmt w:val="decimal"/>
      <w:lvlText w:val="%1."/>
      <w:lvlJc w:val="left"/>
      <w:pPr>
        <w:ind w:left="360" w:hanging="360"/>
      </w:pPr>
      <w:rPr>
        <w:rFonts w:hint="default"/>
        <w:i w:val="0"/>
        <w:i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61B2380F"/>
    <w:multiLevelType w:val="multilevel"/>
    <w:tmpl w:val="12D02D50"/>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3" w15:restartNumberingAfterBreak="0">
    <w:nsid w:val="6278568C"/>
    <w:multiLevelType w:val="hybridMultilevel"/>
    <w:tmpl w:val="FF784C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679E57A4"/>
    <w:multiLevelType w:val="hybridMultilevel"/>
    <w:tmpl w:val="80222F02"/>
    <w:lvl w:ilvl="0" w:tplc="39B4FDC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8415B40"/>
    <w:multiLevelType w:val="hybridMultilevel"/>
    <w:tmpl w:val="B9E4CE5E"/>
    <w:lvl w:ilvl="0" w:tplc="7092EE52">
      <w:start w:val="1"/>
      <w:numFmt w:val="decimal"/>
      <w:lvlText w:val="%1."/>
      <w:lvlJc w:val="left"/>
      <w:pPr>
        <w:ind w:left="360" w:hanging="360"/>
      </w:pPr>
      <w:rPr>
        <w:rFonts w:hint="default"/>
        <w:i w:val="0"/>
        <w:i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6" w15:restartNumberingAfterBreak="0">
    <w:nsid w:val="68A55D77"/>
    <w:multiLevelType w:val="hybridMultilevel"/>
    <w:tmpl w:val="2606FD00"/>
    <w:lvl w:ilvl="0" w:tplc="EBF48DD4">
      <w:start w:val="1"/>
      <w:numFmt w:val="bullet"/>
      <w:pStyle w:val="ShadedBoxBullet"/>
      <w:lvlText w:val=""/>
      <w:lvlJc w:val="left"/>
      <w:pPr>
        <w:ind w:left="47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91DA368"/>
    <w:multiLevelType w:val="multilevel"/>
    <w:tmpl w:val="C34A83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6A9E6C5B"/>
    <w:multiLevelType w:val="multilevel"/>
    <w:tmpl w:val="6E20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C833AEB"/>
    <w:multiLevelType w:val="hybridMultilevel"/>
    <w:tmpl w:val="33A48438"/>
    <w:lvl w:ilvl="0" w:tplc="F5067696">
      <w:start w:val="1"/>
      <w:numFmt w:val="decimal"/>
      <w:lvlText w:val="%1."/>
      <w:lvlJc w:val="left"/>
      <w:pPr>
        <w:ind w:left="360" w:hanging="360"/>
      </w:pPr>
      <w:rPr>
        <w:rFonts w:hint="default"/>
        <w:i w:val="0"/>
        <w:i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6D4E0AA2"/>
    <w:multiLevelType w:val="multilevel"/>
    <w:tmpl w:val="576092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1" w15:restartNumberingAfterBreak="0">
    <w:nsid w:val="70111351"/>
    <w:multiLevelType w:val="hybridMultilevel"/>
    <w:tmpl w:val="653641EC"/>
    <w:lvl w:ilvl="0" w:tplc="7FE88C6A">
      <w:start w:val="1"/>
      <w:numFmt w:val="bullet"/>
      <w:lvlText w:val="•"/>
      <w:lvlJc w:val="left"/>
      <w:pPr>
        <w:tabs>
          <w:tab w:val="num" w:pos="720"/>
        </w:tabs>
        <w:ind w:left="720" w:hanging="360"/>
      </w:pPr>
      <w:rPr>
        <w:rFonts w:ascii="Arial" w:hAnsi="Arial" w:hint="default"/>
      </w:rPr>
    </w:lvl>
    <w:lvl w:ilvl="1" w:tplc="466E3738" w:tentative="1">
      <w:start w:val="1"/>
      <w:numFmt w:val="bullet"/>
      <w:lvlText w:val="•"/>
      <w:lvlJc w:val="left"/>
      <w:pPr>
        <w:tabs>
          <w:tab w:val="num" w:pos="1440"/>
        </w:tabs>
        <w:ind w:left="1440" w:hanging="360"/>
      </w:pPr>
      <w:rPr>
        <w:rFonts w:ascii="Arial" w:hAnsi="Arial" w:hint="default"/>
      </w:rPr>
    </w:lvl>
    <w:lvl w:ilvl="2" w:tplc="A814AE06" w:tentative="1">
      <w:start w:val="1"/>
      <w:numFmt w:val="bullet"/>
      <w:lvlText w:val="•"/>
      <w:lvlJc w:val="left"/>
      <w:pPr>
        <w:tabs>
          <w:tab w:val="num" w:pos="2160"/>
        </w:tabs>
        <w:ind w:left="2160" w:hanging="360"/>
      </w:pPr>
      <w:rPr>
        <w:rFonts w:ascii="Arial" w:hAnsi="Arial" w:hint="default"/>
      </w:rPr>
    </w:lvl>
    <w:lvl w:ilvl="3" w:tplc="91EEE9E2" w:tentative="1">
      <w:start w:val="1"/>
      <w:numFmt w:val="bullet"/>
      <w:lvlText w:val="•"/>
      <w:lvlJc w:val="left"/>
      <w:pPr>
        <w:tabs>
          <w:tab w:val="num" w:pos="2880"/>
        </w:tabs>
        <w:ind w:left="2880" w:hanging="360"/>
      </w:pPr>
      <w:rPr>
        <w:rFonts w:ascii="Arial" w:hAnsi="Arial" w:hint="default"/>
      </w:rPr>
    </w:lvl>
    <w:lvl w:ilvl="4" w:tplc="474A613C" w:tentative="1">
      <w:start w:val="1"/>
      <w:numFmt w:val="bullet"/>
      <w:lvlText w:val="•"/>
      <w:lvlJc w:val="left"/>
      <w:pPr>
        <w:tabs>
          <w:tab w:val="num" w:pos="3600"/>
        </w:tabs>
        <w:ind w:left="3600" w:hanging="360"/>
      </w:pPr>
      <w:rPr>
        <w:rFonts w:ascii="Arial" w:hAnsi="Arial" w:hint="default"/>
      </w:rPr>
    </w:lvl>
    <w:lvl w:ilvl="5" w:tplc="C090E1C2" w:tentative="1">
      <w:start w:val="1"/>
      <w:numFmt w:val="bullet"/>
      <w:lvlText w:val="•"/>
      <w:lvlJc w:val="left"/>
      <w:pPr>
        <w:tabs>
          <w:tab w:val="num" w:pos="4320"/>
        </w:tabs>
        <w:ind w:left="4320" w:hanging="360"/>
      </w:pPr>
      <w:rPr>
        <w:rFonts w:ascii="Arial" w:hAnsi="Arial" w:hint="default"/>
      </w:rPr>
    </w:lvl>
    <w:lvl w:ilvl="6" w:tplc="7C625666" w:tentative="1">
      <w:start w:val="1"/>
      <w:numFmt w:val="bullet"/>
      <w:lvlText w:val="•"/>
      <w:lvlJc w:val="left"/>
      <w:pPr>
        <w:tabs>
          <w:tab w:val="num" w:pos="5040"/>
        </w:tabs>
        <w:ind w:left="5040" w:hanging="360"/>
      </w:pPr>
      <w:rPr>
        <w:rFonts w:ascii="Arial" w:hAnsi="Arial" w:hint="default"/>
      </w:rPr>
    </w:lvl>
    <w:lvl w:ilvl="7" w:tplc="F7A4F36A" w:tentative="1">
      <w:start w:val="1"/>
      <w:numFmt w:val="bullet"/>
      <w:lvlText w:val="•"/>
      <w:lvlJc w:val="left"/>
      <w:pPr>
        <w:tabs>
          <w:tab w:val="num" w:pos="5760"/>
        </w:tabs>
        <w:ind w:left="5760" w:hanging="360"/>
      </w:pPr>
      <w:rPr>
        <w:rFonts w:ascii="Arial" w:hAnsi="Arial" w:hint="default"/>
      </w:rPr>
    </w:lvl>
    <w:lvl w:ilvl="8" w:tplc="CE8675F8"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727711F3"/>
    <w:multiLevelType w:val="multilevel"/>
    <w:tmpl w:val="A7D87E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4616D71"/>
    <w:multiLevelType w:val="hybridMultilevel"/>
    <w:tmpl w:val="AD66C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573107E"/>
    <w:multiLevelType w:val="multilevel"/>
    <w:tmpl w:val="E926FEE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ascii="Arial" w:hAnsi="Arial" w:cs="Arial" w:hint="default"/>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5" w15:restartNumberingAfterBreak="0">
    <w:nsid w:val="76707D45"/>
    <w:multiLevelType w:val="hybridMultilevel"/>
    <w:tmpl w:val="0D3AE018"/>
    <w:lvl w:ilvl="0" w:tplc="99C47FB6">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 w15:restartNumberingAfterBreak="0">
    <w:nsid w:val="7A5E3B9D"/>
    <w:multiLevelType w:val="hybridMultilevel"/>
    <w:tmpl w:val="13CE353A"/>
    <w:lvl w:ilvl="0" w:tplc="FFFFFFFF">
      <w:start w:val="1"/>
      <w:numFmt w:val="bullet"/>
      <w:lvlText w:val=""/>
      <w:lvlJc w:val="left"/>
      <w:pPr>
        <w:ind w:left="363" w:hanging="360"/>
      </w:pPr>
      <w:rPr>
        <w:rFonts w:ascii="Symbol" w:hAnsi="Symbol" w:hint="default"/>
      </w:rPr>
    </w:lvl>
    <w:lvl w:ilvl="1" w:tplc="0C090001">
      <w:start w:val="1"/>
      <w:numFmt w:val="bullet"/>
      <w:lvlText w:val=""/>
      <w:lvlJc w:val="left"/>
      <w:pPr>
        <w:ind w:left="1083" w:hanging="360"/>
      </w:pPr>
      <w:rPr>
        <w:rFonts w:ascii="Symbol" w:hAnsi="Symbol"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97" w15:restartNumberingAfterBreak="0">
    <w:nsid w:val="7B8B4928"/>
    <w:multiLevelType w:val="hybridMultilevel"/>
    <w:tmpl w:val="95D20600"/>
    <w:lvl w:ilvl="0" w:tplc="0C090001">
      <w:start w:val="1"/>
      <w:numFmt w:val="bullet"/>
      <w:lvlText w:val=""/>
      <w:lvlJc w:val="left"/>
      <w:pPr>
        <w:ind w:left="1702" w:hanging="360"/>
      </w:pPr>
      <w:rPr>
        <w:rFonts w:ascii="Symbol" w:hAnsi="Symbol" w:hint="default"/>
      </w:rPr>
    </w:lvl>
    <w:lvl w:ilvl="1" w:tplc="0C090003" w:tentative="1">
      <w:start w:val="1"/>
      <w:numFmt w:val="bullet"/>
      <w:lvlText w:val="o"/>
      <w:lvlJc w:val="left"/>
      <w:pPr>
        <w:ind w:left="2422" w:hanging="360"/>
      </w:pPr>
      <w:rPr>
        <w:rFonts w:ascii="Courier New" w:hAnsi="Courier New" w:cs="Courier New" w:hint="default"/>
      </w:rPr>
    </w:lvl>
    <w:lvl w:ilvl="2" w:tplc="0C090005" w:tentative="1">
      <w:start w:val="1"/>
      <w:numFmt w:val="bullet"/>
      <w:lvlText w:val=""/>
      <w:lvlJc w:val="left"/>
      <w:pPr>
        <w:ind w:left="3142" w:hanging="360"/>
      </w:pPr>
      <w:rPr>
        <w:rFonts w:ascii="Wingdings" w:hAnsi="Wingdings" w:hint="default"/>
      </w:rPr>
    </w:lvl>
    <w:lvl w:ilvl="3" w:tplc="0C090001" w:tentative="1">
      <w:start w:val="1"/>
      <w:numFmt w:val="bullet"/>
      <w:lvlText w:val=""/>
      <w:lvlJc w:val="left"/>
      <w:pPr>
        <w:ind w:left="3862" w:hanging="360"/>
      </w:pPr>
      <w:rPr>
        <w:rFonts w:ascii="Symbol" w:hAnsi="Symbol" w:hint="default"/>
      </w:rPr>
    </w:lvl>
    <w:lvl w:ilvl="4" w:tplc="0C090003" w:tentative="1">
      <w:start w:val="1"/>
      <w:numFmt w:val="bullet"/>
      <w:lvlText w:val="o"/>
      <w:lvlJc w:val="left"/>
      <w:pPr>
        <w:ind w:left="4582" w:hanging="360"/>
      </w:pPr>
      <w:rPr>
        <w:rFonts w:ascii="Courier New" w:hAnsi="Courier New" w:cs="Courier New" w:hint="default"/>
      </w:rPr>
    </w:lvl>
    <w:lvl w:ilvl="5" w:tplc="0C090005" w:tentative="1">
      <w:start w:val="1"/>
      <w:numFmt w:val="bullet"/>
      <w:lvlText w:val=""/>
      <w:lvlJc w:val="left"/>
      <w:pPr>
        <w:ind w:left="5302" w:hanging="360"/>
      </w:pPr>
      <w:rPr>
        <w:rFonts w:ascii="Wingdings" w:hAnsi="Wingdings" w:hint="default"/>
      </w:rPr>
    </w:lvl>
    <w:lvl w:ilvl="6" w:tplc="0C090001" w:tentative="1">
      <w:start w:val="1"/>
      <w:numFmt w:val="bullet"/>
      <w:lvlText w:val=""/>
      <w:lvlJc w:val="left"/>
      <w:pPr>
        <w:ind w:left="6022" w:hanging="360"/>
      </w:pPr>
      <w:rPr>
        <w:rFonts w:ascii="Symbol" w:hAnsi="Symbol" w:hint="default"/>
      </w:rPr>
    </w:lvl>
    <w:lvl w:ilvl="7" w:tplc="0C090003" w:tentative="1">
      <w:start w:val="1"/>
      <w:numFmt w:val="bullet"/>
      <w:lvlText w:val="o"/>
      <w:lvlJc w:val="left"/>
      <w:pPr>
        <w:ind w:left="6742" w:hanging="360"/>
      </w:pPr>
      <w:rPr>
        <w:rFonts w:ascii="Courier New" w:hAnsi="Courier New" w:cs="Courier New" w:hint="default"/>
      </w:rPr>
    </w:lvl>
    <w:lvl w:ilvl="8" w:tplc="0C090005" w:tentative="1">
      <w:start w:val="1"/>
      <w:numFmt w:val="bullet"/>
      <w:lvlText w:val=""/>
      <w:lvlJc w:val="left"/>
      <w:pPr>
        <w:ind w:left="7462" w:hanging="360"/>
      </w:pPr>
      <w:rPr>
        <w:rFonts w:ascii="Wingdings" w:hAnsi="Wingdings" w:hint="default"/>
      </w:rPr>
    </w:lvl>
  </w:abstractNum>
  <w:abstractNum w:abstractNumId="98" w15:restartNumberingAfterBreak="0">
    <w:nsid w:val="7C42354F"/>
    <w:multiLevelType w:val="multilevel"/>
    <w:tmpl w:val="003092A8"/>
    <w:lvl w:ilvl="0">
      <w:start w:val="9"/>
      <w:numFmt w:val="decimal"/>
      <w:lvlText w:val="%1"/>
      <w:lvlJc w:val="left"/>
      <w:pPr>
        <w:ind w:left="420" w:hanging="420"/>
      </w:pPr>
      <w:rPr>
        <w:rFonts w:hint="default"/>
      </w:rPr>
    </w:lvl>
    <w:lvl w:ilvl="1">
      <w:start w:val="20"/>
      <w:numFmt w:val="decimal"/>
      <w:lvlText w:val="8.%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9" w15:restartNumberingAfterBreak="0">
    <w:nsid w:val="7C4773B7"/>
    <w:multiLevelType w:val="hybridMultilevel"/>
    <w:tmpl w:val="226A913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7D766C61"/>
    <w:multiLevelType w:val="hybridMultilevel"/>
    <w:tmpl w:val="356E20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7F2D2C8A"/>
    <w:multiLevelType w:val="hybridMultilevel"/>
    <w:tmpl w:val="DA6E5810"/>
    <w:lvl w:ilvl="0" w:tplc="FFFFFFFF">
      <w:start w:val="1"/>
      <w:numFmt w:val="bullet"/>
      <w:lvlText w:val=""/>
      <w:lvlJc w:val="left"/>
      <w:pPr>
        <w:ind w:left="720" w:hanging="360"/>
      </w:pPr>
      <w:rPr>
        <w:rFonts w:ascii="Symbol" w:hAnsi="Symbol" w:hint="default"/>
      </w:rPr>
    </w:lvl>
    <w:lvl w:ilvl="1" w:tplc="0C09000F">
      <w:start w:val="1"/>
      <w:numFmt w:val="decimal"/>
      <w:lvlText w:val="%2."/>
      <w:lvlJc w:val="left"/>
      <w:pPr>
        <w:ind w:left="72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num w:numId="1" w16cid:durableId="45882481">
    <w:abstractNumId w:val="83"/>
  </w:num>
  <w:num w:numId="2" w16cid:durableId="442846557">
    <w:abstractNumId w:val="26"/>
  </w:num>
  <w:num w:numId="3" w16cid:durableId="785781359">
    <w:abstractNumId w:val="60"/>
  </w:num>
  <w:num w:numId="4" w16cid:durableId="941498909">
    <w:abstractNumId w:val="41"/>
  </w:num>
  <w:num w:numId="5" w16cid:durableId="135294850">
    <w:abstractNumId w:val="72"/>
  </w:num>
  <w:num w:numId="6" w16cid:durableId="1809125539">
    <w:abstractNumId w:val="5"/>
  </w:num>
  <w:num w:numId="7" w16cid:durableId="1703943424">
    <w:abstractNumId w:val="63"/>
  </w:num>
  <w:num w:numId="8" w16cid:durableId="543830259">
    <w:abstractNumId w:val="46"/>
  </w:num>
  <w:num w:numId="9" w16cid:durableId="632445780">
    <w:abstractNumId w:val="87"/>
  </w:num>
  <w:num w:numId="10" w16cid:durableId="927736549">
    <w:abstractNumId w:val="18"/>
  </w:num>
  <w:num w:numId="11" w16cid:durableId="981885077">
    <w:abstractNumId w:val="40"/>
  </w:num>
  <w:num w:numId="12" w16cid:durableId="294602561">
    <w:abstractNumId w:val="68"/>
  </w:num>
  <w:num w:numId="13" w16cid:durableId="1767382310">
    <w:abstractNumId w:val="69"/>
  </w:num>
  <w:num w:numId="14" w16cid:durableId="639379264">
    <w:abstractNumId w:val="1"/>
  </w:num>
  <w:num w:numId="15" w16cid:durableId="2006086017">
    <w:abstractNumId w:val="32"/>
  </w:num>
  <w:num w:numId="16" w16cid:durableId="1636914361">
    <w:abstractNumId w:val="100"/>
  </w:num>
  <w:num w:numId="17" w16cid:durableId="2113548284">
    <w:abstractNumId w:val="31"/>
  </w:num>
  <w:num w:numId="18" w16cid:durableId="1216117085">
    <w:abstractNumId w:val="38"/>
  </w:num>
  <w:num w:numId="19" w16cid:durableId="1462773317">
    <w:abstractNumId w:val="101"/>
  </w:num>
  <w:num w:numId="20" w16cid:durableId="1535266989">
    <w:abstractNumId w:val="74"/>
  </w:num>
  <w:num w:numId="21" w16cid:durableId="103312794">
    <w:abstractNumId w:val="52"/>
  </w:num>
  <w:num w:numId="22" w16cid:durableId="874002961">
    <w:abstractNumId w:val="79"/>
  </w:num>
  <w:num w:numId="23" w16cid:durableId="778111531">
    <w:abstractNumId w:val="67"/>
  </w:num>
  <w:num w:numId="24" w16cid:durableId="1128468688">
    <w:abstractNumId w:val="12"/>
  </w:num>
  <w:num w:numId="25" w16cid:durableId="1450126087">
    <w:abstractNumId w:val="65"/>
  </w:num>
  <w:num w:numId="26" w16cid:durableId="1813978888">
    <w:abstractNumId w:val="27"/>
  </w:num>
  <w:num w:numId="27" w16cid:durableId="1775393265">
    <w:abstractNumId w:val="8"/>
  </w:num>
  <w:num w:numId="28" w16cid:durableId="265695707">
    <w:abstractNumId w:val="61"/>
  </w:num>
  <w:num w:numId="29" w16cid:durableId="1425298517">
    <w:abstractNumId w:val="82"/>
  </w:num>
  <w:num w:numId="30" w16cid:durableId="696925091">
    <w:abstractNumId w:val="15"/>
  </w:num>
  <w:num w:numId="31" w16cid:durableId="267852115">
    <w:abstractNumId w:val="11"/>
  </w:num>
  <w:num w:numId="32" w16cid:durableId="1221984892">
    <w:abstractNumId w:val="2"/>
  </w:num>
  <w:num w:numId="33" w16cid:durableId="974875689">
    <w:abstractNumId w:val="33"/>
  </w:num>
  <w:num w:numId="34" w16cid:durableId="577011568">
    <w:abstractNumId w:val="44"/>
  </w:num>
  <w:num w:numId="35" w16cid:durableId="1921985943">
    <w:abstractNumId w:val="29"/>
  </w:num>
  <w:num w:numId="36" w16cid:durableId="1929149939">
    <w:abstractNumId w:val="88"/>
  </w:num>
  <w:num w:numId="37" w16cid:durableId="1209073980">
    <w:abstractNumId w:val="13"/>
  </w:num>
  <w:num w:numId="38" w16cid:durableId="1606041676">
    <w:abstractNumId w:val="4"/>
  </w:num>
  <w:num w:numId="39" w16cid:durableId="1177957928">
    <w:abstractNumId w:val="39"/>
  </w:num>
  <w:num w:numId="40" w16cid:durableId="1751613426">
    <w:abstractNumId w:val="45"/>
  </w:num>
  <w:num w:numId="41" w16cid:durableId="935137148">
    <w:abstractNumId w:val="0"/>
  </w:num>
  <w:num w:numId="42" w16cid:durableId="792527413">
    <w:abstractNumId w:val="28"/>
  </w:num>
  <w:num w:numId="43" w16cid:durableId="203099957">
    <w:abstractNumId w:val="9"/>
  </w:num>
  <w:num w:numId="44" w16cid:durableId="1233084862">
    <w:abstractNumId w:val="25"/>
  </w:num>
  <w:num w:numId="45" w16cid:durableId="2035183363">
    <w:abstractNumId w:val="21"/>
  </w:num>
  <w:num w:numId="46" w16cid:durableId="922371164">
    <w:abstractNumId w:val="50"/>
  </w:num>
  <w:num w:numId="47" w16cid:durableId="2059666533">
    <w:abstractNumId w:val="70"/>
  </w:num>
  <w:num w:numId="48" w16cid:durableId="1949894174">
    <w:abstractNumId w:val="76"/>
  </w:num>
  <w:num w:numId="49" w16cid:durableId="1169253193">
    <w:abstractNumId w:val="34"/>
  </w:num>
  <w:num w:numId="50" w16cid:durableId="884105237">
    <w:abstractNumId w:val="66"/>
  </w:num>
  <w:num w:numId="51" w16cid:durableId="1695576812">
    <w:abstractNumId w:val="36"/>
  </w:num>
  <w:num w:numId="52" w16cid:durableId="2045052965">
    <w:abstractNumId w:val="42"/>
  </w:num>
  <w:num w:numId="53" w16cid:durableId="754478118">
    <w:abstractNumId w:val="49"/>
  </w:num>
  <w:num w:numId="54" w16cid:durableId="1119497081">
    <w:abstractNumId w:val="96"/>
  </w:num>
  <w:num w:numId="55" w16cid:durableId="1244298611">
    <w:abstractNumId w:val="97"/>
  </w:num>
  <w:num w:numId="56" w16cid:durableId="802580957">
    <w:abstractNumId w:val="16"/>
  </w:num>
  <w:num w:numId="57" w16cid:durableId="19164955">
    <w:abstractNumId w:val="24"/>
  </w:num>
  <w:num w:numId="58" w16cid:durableId="1527211687">
    <w:abstractNumId w:val="98"/>
  </w:num>
  <w:num w:numId="59" w16cid:durableId="505174235">
    <w:abstractNumId w:val="23"/>
  </w:num>
  <w:num w:numId="60" w16cid:durableId="1783575510">
    <w:abstractNumId w:val="54"/>
  </w:num>
  <w:num w:numId="61" w16cid:durableId="568736090">
    <w:abstractNumId w:val="78"/>
  </w:num>
  <w:num w:numId="62" w16cid:durableId="1400982921">
    <w:abstractNumId w:val="59"/>
  </w:num>
  <w:num w:numId="63" w16cid:durableId="332102634">
    <w:abstractNumId w:val="56"/>
  </w:num>
  <w:num w:numId="64" w16cid:durableId="1264386246">
    <w:abstractNumId w:val="30"/>
  </w:num>
  <w:num w:numId="65" w16cid:durableId="866793719">
    <w:abstractNumId w:val="80"/>
  </w:num>
  <w:num w:numId="66" w16cid:durableId="572081889">
    <w:abstractNumId w:val="6"/>
  </w:num>
  <w:num w:numId="67" w16cid:durableId="145977992">
    <w:abstractNumId w:val="92"/>
  </w:num>
  <w:num w:numId="68" w16cid:durableId="1401364749">
    <w:abstractNumId w:val="47"/>
  </w:num>
  <w:num w:numId="69" w16cid:durableId="226646691">
    <w:abstractNumId w:val="94"/>
  </w:num>
  <w:num w:numId="70" w16cid:durableId="562496238">
    <w:abstractNumId w:val="90"/>
  </w:num>
  <w:num w:numId="71" w16cid:durableId="769159244">
    <w:abstractNumId w:val="22"/>
  </w:num>
  <w:num w:numId="72" w16cid:durableId="869345463">
    <w:abstractNumId w:val="43"/>
  </w:num>
  <w:num w:numId="73" w16cid:durableId="1675297819">
    <w:abstractNumId w:val="51"/>
  </w:num>
  <w:num w:numId="74" w16cid:durableId="1158304860">
    <w:abstractNumId w:val="17"/>
  </w:num>
  <w:num w:numId="75" w16cid:durableId="1365911886">
    <w:abstractNumId w:val="58"/>
  </w:num>
  <w:num w:numId="76" w16cid:durableId="318308733">
    <w:abstractNumId w:val="64"/>
  </w:num>
  <w:num w:numId="77" w16cid:durableId="417676470">
    <w:abstractNumId w:val="73"/>
  </w:num>
  <w:num w:numId="78" w16cid:durableId="919218299">
    <w:abstractNumId w:val="35"/>
  </w:num>
  <w:num w:numId="79" w16cid:durableId="1063411444">
    <w:abstractNumId w:val="10"/>
  </w:num>
  <w:num w:numId="80" w16cid:durableId="694843295">
    <w:abstractNumId w:val="75"/>
  </w:num>
  <w:num w:numId="81" w16cid:durableId="1297026715">
    <w:abstractNumId w:val="99"/>
  </w:num>
  <w:num w:numId="82" w16cid:durableId="1924948167">
    <w:abstractNumId w:val="71"/>
  </w:num>
  <w:num w:numId="83" w16cid:durableId="1906068332">
    <w:abstractNumId w:val="3"/>
  </w:num>
  <w:num w:numId="84" w16cid:durableId="57753173">
    <w:abstractNumId w:val="91"/>
  </w:num>
  <w:num w:numId="85" w16cid:durableId="292635752">
    <w:abstractNumId w:val="7"/>
  </w:num>
  <w:num w:numId="86" w16cid:durableId="997004929">
    <w:abstractNumId w:val="85"/>
  </w:num>
  <w:num w:numId="87" w16cid:durableId="924650646">
    <w:abstractNumId w:val="57"/>
  </w:num>
  <w:num w:numId="88" w16cid:durableId="1185437066">
    <w:abstractNumId w:val="37"/>
  </w:num>
  <w:num w:numId="89" w16cid:durableId="1646816404">
    <w:abstractNumId w:val="48"/>
  </w:num>
  <w:num w:numId="90" w16cid:durableId="151529029">
    <w:abstractNumId w:val="89"/>
  </w:num>
  <w:num w:numId="91" w16cid:durableId="805700456">
    <w:abstractNumId w:val="62"/>
  </w:num>
  <w:num w:numId="92" w16cid:durableId="1230648920">
    <w:abstractNumId w:val="81"/>
  </w:num>
  <w:num w:numId="93" w16cid:durableId="1810590654">
    <w:abstractNumId w:val="53"/>
  </w:num>
  <w:num w:numId="94" w16cid:durableId="1189564722">
    <w:abstractNumId w:val="55"/>
  </w:num>
  <w:num w:numId="95" w16cid:durableId="487407896">
    <w:abstractNumId w:val="95"/>
  </w:num>
  <w:num w:numId="96" w16cid:durableId="1870951899">
    <w:abstractNumId w:val="20"/>
  </w:num>
  <w:num w:numId="97" w16cid:durableId="803738891">
    <w:abstractNumId w:val="93"/>
  </w:num>
  <w:num w:numId="98" w16cid:durableId="827983288">
    <w:abstractNumId w:val="14"/>
  </w:num>
  <w:num w:numId="99" w16cid:durableId="686978194">
    <w:abstractNumId w:val="77"/>
  </w:num>
  <w:num w:numId="100" w16cid:durableId="384525235">
    <w:abstractNumId w:val="19"/>
  </w:num>
  <w:num w:numId="101" w16cid:durableId="540291330">
    <w:abstractNumId w:val="86"/>
  </w:num>
  <w:num w:numId="102" w16cid:durableId="1527716264">
    <w:abstractNumId w:val="84"/>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75B"/>
    <w:rsid w:val="00000090"/>
    <w:rsid w:val="00000144"/>
    <w:rsid w:val="000002BC"/>
    <w:rsid w:val="00000376"/>
    <w:rsid w:val="000003AF"/>
    <w:rsid w:val="000003FF"/>
    <w:rsid w:val="000004F4"/>
    <w:rsid w:val="00000694"/>
    <w:rsid w:val="000007CB"/>
    <w:rsid w:val="000007F9"/>
    <w:rsid w:val="000008C0"/>
    <w:rsid w:val="000008D5"/>
    <w:rsid w:val="00000AA5"/>
    <w:rsid w:val="00000BB9"/>
    <w:rsid w:val="00000DA2"/>
    <w:rsid w:val="00000EBD"/>
    <w:rsid w:val="0000123C"/>
    <w:rsid w:val="0000138F"/>
    <w:rsid w:val="00001407"/>
    <w:rsid w:val="00001663"/>
    <w:rsid w:val="0000167A"/>
    <w:rsid w:val="00001711"/>
    <w:rsid w:val="000017C1"/>
    <w:rsid w:val="000018AE"/>
    <w:rsid w:val="00001C1C"/>
    <w:rsid w:val="00001E8C"/>
    <w:rsid w:val="00001ECE"/>
    <w:rsid w:val="000020F5"/>
    <w:rsid w:val="00002164"/>
    <w:rsid w:val="00002217"/>
    <w:rsid w:val="000022CC"/>
    <w:rsid w:val="0000237F"/>
    <w:rsid w:val="00002393"/>
    <w:rsid w:val="00002404"/>
    <w:rsid w:val="0000245C"/>
    <w:rsid w:val="0000249A"/>
    <w:rsid w:val="00002665"/>
    <w:rsid w:val="0000276F"/>
    <w:rsid w:val="00002894"/>
    <w:rsid w:val="000029D2"/>
    <w:rsid w:val="00002AEC"/>
    <w:rsid w:val="00002CC6"/>
    <w:rsid w:val="00002D1A"/>
    <w:rsid w:val="00002DB6"/>
    <w:rsid w:val="00002F33"/>
    <w:rsid w:val="00002FF9"/>
    <w:rsid w:val="000030C0"/>
    <w:rsid w:val="00003396"/>
    <w:rsid w:val="00003552"/>
    <w:rsid w:val="00003571"/>
    <w:rsid w:val="00003602"/>
    <w:rsid w:val="00003650"/>
    <w:rsid w:val="00003674"/>
    <w:rsid w:val="00003ED4"/>
    <w:rsid w:val="0000401E"/>
    <w:rsid w:val="00004230"/>
    <w:rsid w:val="0000426D"/>
    <w:rsid w:val="0000465B"/>
    <w:rsid w:val="000047A7"/>
    <w:rsid w:val="000048BD"/>
    <w:rsid w:val="000049EE"/>
    <w:rsid w:val="00004A39"/>
    <w:rsid w:val="00004AC6"/>
    <w:rsid w:val="00004B59"/>
    <w:rsid w:val="00004C43"/>
    <w:rsid w:val="00005180"/>
    <w:rsid w:val="0000534F"/>
    <w:rsid w:val="00005430"/>
    <w:rsid w:val="0000555A"/>
    <w:rsid w:val="000055FA"/>
    <w:rsid w:val="0000563C"/>
    <w:rsid w:val="00005897"/>
    <w:rsid w:val="000059C4"/>
    <w:rsid w:val="00005A2D"/>
    <w:rsid w:val="00005AA4"/>
    <w:rsid w:val="00005B67"/>
    <w:rsid w:val="00005C57"/>
    <w:rsid w:val="00005DA2"/>
    <w:rsid w:val="00005EFB"/>
    <w:rsid w:val="000062C6"/>
    <w:rsid w:val="000062DF"/>
    <w:rsid w:val="000063BB"/>
    <w:rsid w:val="00006552"/>
    <w:rsid w:val="00006572"/>
    <w:rsid w:val="00006AD0"/>
    <w:rsid w:val="00006B4D"/>
    <w:rsid w:val="00006C4F"/>
    <w:rsid w:val="00006DED"/>
    <w:rsid w:val="000071BA"/>
    <w:rsid w:val="000072C1"/>
    <w:rsid w:val="0000744C"/>
    <w:rsid w:val="0000744D"/>
    <w:rsid w:val="000075E4"/>
    <w:rsid w:val="0000761C"/>
    <w:rsid w:val="000076C0"/>
    <w:rsid w:val="00007808"/>
    <w:rsid w:val="0000783A"/>
    <w:rsid w:val="00007981"/>
    <w:rsid w:val="00007A3C"/>
    <w:rsid w:val="00007B11"/>
    <w:rsid w:val="00007DEE"/>
    <w:rsid w:val="000100E7"/>
    <w:rsid w:val="00010AA6"/>
    <w:rsid w:val="00010ABA"/>
    <w:rsid w:val="00010C93"/>
    <w:rsid w:val="00010DB4"/>
    <w:rsid w:val="00010EBC"/>
    <w:rsid w:val="00010ED0"/>
    <w:rsid w:val="000110D1"/>
    <w:rsid w:val="00011144"/>
    <w:rsid w:val="0001121A"/>
    <w:rsid w:val="000113A4"/>
    <w:rsid w:val="0001149A"/>
    <w:rsid w:val="000114C6"/>
    <w:rsid w:val="000115CC"/>
    <w:rsid w:val="000115E0"/>
    <w:rsid w:val="00011686"/>
    <w:rsid w:val="0001189F"/>
    <w:rsid w:val="00011A04"/>
    <w:rsid w:val="00011BF9"/>
    <w:rsid w:val="00011F36"/>
    <w:rsid w:val="0001201D"/>
    <w:rsid w:val="000122FF"/>
    <w:rsid w:val="000124BF"/>
    <w:rsid w:val="0001252D"/>
    <w:rsid w:val="00012540"/>
    <w:rsid w:val="00012883"/>
    <w:rsid w:val="00012A64"/>
    <w:rsid w:val="00013212"/>
    <w:rsid w:val="0001324D"/>
    <w:rsid w:val="0001368C"/>
    <w:rsid w:val="000137F5"/>
    <w:rsid w:val="00013819"/>
    <w:rsid w:val="00013A17"/>
    <w:rsid w:val="00013C44"/>
    <w:rsid w:val="00013CB2"/>
    <w:rsid w:val="00013D3A"/>
    <w:rsid w:val="00013E47"/>
    <w:rsid w:val="00013FC1"/>
    <w:rsid w:val="000141BC"/>
    <w:rsid w:val="000143A5"/>
    <w:rsid w:val="000144E8"/>
    <w:rsid w:val="0001459D"/>
    <w:rsid w:val="00014768"/>
    <w:rsid w:val="00014A82"/>
    <w:rsid w:val="00014AE3"/>
    <w:rsid w:val="00014CE9"/>
    <w:rsid w:val="00014FAC"/>
    <w:rsid w:val="0001512D"/>
    <w:rsid w:val="000151F1"/>
    <w:rsid w:val="000153D7"/>
    <w:rsid w:val="0001540E"/>
    <w:rsid w:val="00015806"/>
    <w:rsid w:val="000158A0"/>
    <w:rsid w:val="00015A42"/>
    <w:rsid w:val="00015B9C"/>
    <w:rsid w:val="00015BE8"/>
    <w:rsid w:val="00015F04"/>
    <w:rsid w:val="0001604C"/>
    <w:rsid w:val="000164BE"/>
    <w:rsid w:val="000164DF"/>
    <w:rsid w:val="000164F0"/>
    <w:rsid w:val="000167EC"/>
    <w:rsid w:val="000168BE"/>
    <w:rsid w:val="00016ACA"/>
    <w:rsid w:val="00016B06"/>
    <w:rsid w:val="00016D68"/>
    <w:rsid w:val="00016F8B"/>
    <w:rsid w:val="00017033"/>
    <w:rsid w:val="00017279"/>
    <w:rsid w:val="000173D1"/>
    <w:rsid w:val="00017444"/>
    <w:rsid w:val="000174C1"/>
    <w:rsid w:val="0001770C"/>
    <w:rsid w:val="00017938"/>
    <w:rsid w:val="00017968"/>
    <w:rsid w:val="000179C3"/>
    <w:rsid w:val="00017B6F"/>
    <w:rsid w:val="00017F3C"/>
    <w:rsid w:val="0002004C"/>
    <w:rsid w:val="000200AF"/>
    <w:rsid w:val="000201D3"/>
    <w:rsid w:val="000202CA"/>
    <w:rsid w:val="0002032A"/>
    <w:rsid w:val="000205C0"/>
    <w:rsid w:val="00020606"/>
    <w:rsid w:val="000206DE"/>
    <w:rsid w:val="000207D9"/>
    <w:rsid w:val="00020806"/>
    <w:rsid w:val="0002091C"/>
    <w:rsid w:val="000209A4"/>
    <w:rsid w:val="00020AA5"/>
    <w:rsid w:val="00020BBF"/>
    <w:rsid w:val="00021313"/>
    <w:rsid w:val="00021314"/>
    <w:rsid w:val="000213B4"/>
    <w:rsid w:val="000214BB"/>
    <w:rsid w:val="0002167F"/>
    <w:rsid w:val="00021828"/>
    <w:rsid w:val="00021C55"/>
    <w:rsid w:val="00021C8D"/>
    <w:rsid w:val="00021F9B"/>
    <w:rsid w:val="00022086"/>
    <w:rsid w:val="000220BC"/>
    <w:rsid w:val="0002216A"/>
    <w:rsid w:val="00022184"/>
    <w:rsid w:val="00022203"/>
    <w:rsid w:val="000224FA"/>
    <w:rsid w:val="00022586"/>
    <w:rsid w:val="000226C7"/>
    <w:rsid w:val="000228ED"/>
    <w:rsid w:val="00022A68"/>
    <w:rsid w:val="00022A6B"/>
    <w:rsid w:val="00022A8C"/>
    <w:rsid w:val="00022C62"/>
    <w:rsid w:val="00022CE6"/>
    <w:rsid w:val="00022E85"/>
    <w:rsid w:val="00022E8A"/>
    <w:rsid w:val="00022EA2"/>
    <w:rsid w:val="000230EF"/>
    <w:rsid w:val="000230F0"/>
    <w:rsid w:val="0002311E"/>
    <w:rsid w:val="000231F7"/>
    <w:rsid w:val="00023373"/>
    <w:rsid w:val="00023694"/>
    <w:rsid w:val="0002371B"/>
    <w:rsid w:val="0002388E"/>
    <w:rsid w:val="00023AF3"/>
    <w:rsid w:val="00023BA3"/>
    <w:rsid w:val="00023CB1"/>
    <w:rsid w:val="00023DDC"/>
    <w:rsid w:val="00023ECC"/>
    <w:rsid w:val="00024069"/>
    <w:rsid w:val="000242DB"/>
    <w:rsid w:val="00024422"/>
    <w:rsid w:val="00024431"/>
    <w:rsid w:val="00024600"/>
    <w:rsid w:val="0002460B"/>
    <w:rsid w:val="000248BC"/>
    <w:rsid w:val="00024AE4"/>
    <w:rsid w:val="00024E16"/>
    <w:rsid w:val="00024F7C"/>
    <w:rsid w:val="00025094"/>
    <w:rsid w:val="0002531B"/>
    <w:rsid w:val="00025441"/>
    <w:rsid w:val="00025722"/>
    <w:rsid w:val="000257EC"/>
    <w:rsid w:val="0002593C"/>
    <w:rsid w:val="00025A1B"/>
    <w:rsid w:val="00025A24"/>
    <w:rsid w:val="00025C12"/>
    <w:rsid w:val="00025C4F"/>
    <w:rsid w:val="00025CDC"/>
    <w:rsid w:val="00025DD5"/>
    <w:rsid w:val="00025E70"/>
    <w:rsid w:val="00025F62"/>
    <w:rsid w:val="00026000"/>
    <w:rsid w:val="00026025"/>
    <w:rsid w:val="00026340"/>
    <w:rsid w:val="00026C26"/>
    <w:rsid w:val="00026D40"/>
    <w:rsid w:val="00026DF8"/>
    <w:rsid w:val="00026E8A"/>
    <w:rsid w:val="00026EC3"/>
    <w:rsid w:val="00026FD8"/>
    <w:rsid w:val="00026FDB"/>
    <w:rsid w:val="000270E0"/>
    <w:rsid w:val="0002757F"/>
    <w:rsid w:val="000275A7"/>
    <w:rsid w:val="00027810"/>
    <w:rsid w:val="000278F6"/>
    <w:rsid w:val="000279C8"/>
    <w:rsid w:val="00027A3A"/>
    <w:rsid w:val="00027A7F"/>
    <w:rsid w:val="00027AD9"/>
    <w:rsid w:val="00027D68"/>
    <w:rsid w:val="00027ED8"/>
    <w:rsid w:val="00027FF2"/>
    <w:rsid w:val="00030183"/>
    <w:rsid w:val="0003021A"/>
    <w:rsid w:val="00030222"/>
    <w:rsid w:val="00030266"/>
    <w:rsid w:val="00030338"/>
    <w:rsid w:val="00030340"/>
    <w:rsid w:val="000303AA"/>
    <w:rsid w:val="00030655"/>
    <w:rsid w:val="000306BF"/>
    <w:rsid w:val="000306FD"/>
    <w:rsid w:val="0003078E"/>
    <w:rsid w:val="0003082F"/>
    <w:rsid w:val="0003084A"/>
    <w:rsid w:val="000308DA"/>
    <w:rsid w:val="000308F6"/>
    <w:rsid w:val="00030A0C"/>
    <w:rsid w:val="00030C12"/>
    <w:rsid w:val="00030DF9"/>
    <w:rsid w:val="00030E1D"/>
    <w:rsid w:val="00030E97"/>
    <w:rsid w:val="00030EB4"/>
    <w:rsid w:val="00030F6A"/>
    <w:rsid w:val="00031074"/>
    <w:rsid w:val="0003107B"/>
    <w:rsid w:val="0003130D"/>
    <w:rsid w:val="00031348"/>
    <w:rsid w:val="0003167A"/>
    <w:rsid w:val="00031696"/>
    <w:rsid w:val="000317D0"/>
    <w:rsid w:val="000317F8"/>
    <w:rsid w:val="00031CC7"/>
    <w:rsid w:val="00031D09"/>
    <w:rsid w:val="00031E26"/>
    <w:rsid w:val="00031F16"/>
    <w:rsid w:val="0003203C"/>
    <w:rsid w:val="0003208C"/>
    <w:rsid w:val="0003208F"/>
    <w:rsid w:val="000320DE"/>
    <w:rsid w:val="0003211C"/>
    <w:rsid w:val="000321E9"/>
    <w:rsid w:val="000322CE"/>
    <w:rsid w:val="000323B6"/>
    <w:rsid w:val="00032528"/>
    <w:rsid w:val="00032574"/>
    <w:rsid w:val="00032858"/>
    <w:rsid w:val="0003292D"/>
    <w:rsid w:val="00032953"/>
    <w:rsid w:val="00032AA9"/>
    <w:rsid w:val="00032DEC"/>
    <w:rsid w:val="00032E2A"/>
    <w:rsid w:val="00032E38"/>
    <w:rsid w:val="00032E3B"/>
    <w:rsid w:val="000331E2"/>
    <w:rsid w:val="0003332F"/>
    <w:rsid w:val="0003336E"/>
    <w:rsid w:val="00033468"/>
    <w:rsid w:val="000334EB"/>
    <w:rsid w:val="00033557"/>
    <w:rsid w:val="00033725"/>
    <w:rsid w:val="00033771"/>
    <w:rsid w:val="00033822"/>
    <w:rsid w:val="00033A7C"/>
    <w:rsid w:val="00033AE1"/>
    <w:rsid w:val="00033B4C"/>
    <w:rsid w:val="00033CED"/>
    <w:rsid w:val="00033D93"/>
    <w:rsid w:val="00033DA5"/>
    <w:rsid w:val="00033F7B"/>
    <w:rsid w:val="00034079"/>
    <w:rsid w:val="00034379"/>
    <w:rsid w:val="00034495"/>
    <w:rsid w:val="00034567"/>
    <w:rsid w:val="000345C3"/>
    <w:rsid w:val="00034744"/>
    <w:rsid w:val="00034928"/>
    <w:rsid w:val="0003493A"/>
    <w:rsid w:val="00034953"/>
    <w:rsid w:val="000349AF"/>
    <w:rsid w:val="00034B41"/>
    <w:rsid w:val="00034D6E"/>
    <w:rsid w:val="0003533D"/>
    <w:rsid w:val="00035440"/>
    <w:rsid w:val="0003545C"/>
    <w:rsid w:val="0003547C"/>
    <w:rsid w:val="000354C8"/>
    <w:rsid w:val="000355C1"/>
    <w:rsid w:val="0003561C"/>
    <w:rsid w:val="000356DE"/>
    <w:rsid w:val="0003580C"/>
    <w:rsid w:val="00035855"/>
    <w:rsid w:val="0003585C"/>
    <w:rsid w:val="00035923"/>
    <w:rsid w:val="00035965"/>
    <w:rsid w:val="000359FA"/>
    <w:rsid w:val="00035A31"/>
    <w:rsid w:val="00035A5E"/>
    <w:rsid w:val="00035B24"/>
    <w:rsid w:val="00035BD1"/>
    <w:rsid w:val="00035D8B"/>
    <w:rsid w:val="00035DA5"/>
    <w:rsid w:val="00035E55"/>
    <w:rsid w:val="00035FA8"/>
    <w:rsid w:val="00036114"/>
    <w:rsid w:val="000361C4"/>
    <w:rsid w:val="000362EC"/>
    <w:rsid w:val="00036315"/>
    <w:rsid w:val="00036504"/>
    <w:rsid w:val="000365D6"/>
    <w:rsid w:val="0003671F"/>
    <w:rsid w:val="00036856"/>
    <w:rsid w:val="00036BC7"/>
    <w:rsid w:val="00036D2D"/>
    <w:rsid w:val="00036FAA"/>
    <w:rsid w:val="0003703C"/>
    <w:rsid w:val="0003715F"/>
    <w:rsid w:val="0003719D"/>
    <w:rsid w:val="000373B6"/>
    <w:rsid w:val="000378BF"/>
    <w:rsid w:val="00037936"/>
    <w:rsid w:val="0003793D"/>
    <w:rsid w:val="00037974"/>
    <w:rsid w:val="00037A47"/>
    <w:rsid w:val="00037A7A"/>
    <w:rsid w:val="00037B0A"/>
    <w:rsid w:val="00037C0D"/>
    <w:rsid w:val="00037C10"/>
    <w:rsid w:val="00037CF5"/>
    <w:rsid w:val="00037DC4"/>
    <w:rsid w:val="00037E2B"/>
    <w:rsid w:val="00040249"/>
    <w:rsid w:val="0004024A"/>
    <w:rsid w:val="00040313"/>
    <w:rsid w:val="00040386"/>
    <w:rsid w:val="000403B8"/>
    <w:rsid w:val="000404E2"/>
    <w:rsid w:val="000405B8"/>
    <w:rsid w:val="0004061F"/>
    <w:rsid w:val="000407D1"/>
    <w:rsid w:val="00040943"/>
    <w:rsid w:val="00040962"/>
    <w:rsid w:val="00040BF1"/>
    <w:rsid w:val="00040EF2"/>
    <w:rsid w:val="00040F3E"/>
    <w:rsid w:val="00041152"/>
    <w:rsid w:val="0004115D"/>
    <w:rsid w:val="000413C2"/>
    <w:rsid w:val="0004144F"/>
    <w:rsid w:val="0004192A"/>
    <w:rsid w:val="000419AA"/>
    <w:rsid w:val="000419BA"/>
    <w:rsid w:val="00041A22"/>
    <w:rsid w:val="00041ABC"/>
    <w:rsid w:val="00041B45"/>
    <w:rsid w:val="00041DDD"/>
    <w:rsid w:val="00041EC1"/>
    <w:rsid w:val="00041F59"/>
    <w:rsid w:val="00041FE8"/>
    <w:rsid w:val="00041FE9"/>
    <w:rsid w:val="00042228"/>
    <w:rsid w:val="0004228B"/>
    <w:rsid w:val="00042332"/>
    <w:rsid w:val="000424AB"/>
    <w:rsid w:val="000424AC"/>
    <w:rsid w:val="00042514"/>
    <w:rsid w:val="00042573"/>
    <w:rsid w:val="000426DB"/>
    <w:rsid w:val="00042766"/>
    <w:rsid w:val="00042A57"/>
    <w:rsid w:val="00042AE7"/>
    <w:rsid w:val="00042E02"/>
    <w:rsid w:val="0004306B"/>
    <w:rsid w:val="000430D3"/>
    <w:rsid w:val="00043353"/>
    <w:rsid w:val="00043536"/>
    <w:rsid w:val="00043574"/>
    <w:rsid w:val="00043586"/>
    <w:rsid w:val="000435E7"/>
    <w:rsid w:val="000435FF"/>
    <w:rsid w:val="00043921"/>
    <w:rsid w:val="0004392B"/>
    <w:rsid w:val="000439BA"/>
    <w:rsid w:val="00043A15"/>
    <w:rsid w:val="00043A5F"/>
    <w:rsid w:val="00043A9D"/>
    <w:rsid w:val="00043CAE"/>
    <w:rsid w:val="00043CB3"/>
    <w:rsid w:val="00043DF6"/>
    <w:rsid w:val="00043EAC"/>
    <w:rsid w:val="000440E3"/>
    <w:rsid w:val="00044187"/>
    <w:rsid w:val="0004418A"/>
    <w:rsid w:val="00044212"/>
    <w:rsid w:val="000444AD"/>
    <w:rsid w:val="0004457A"/>
    <w:rsid w:val="00044649"/>
    <w:rsid w:val="00044839"/>
    <w:rsid w:val="000448D3"/>
    <w:rsid w:val="00044C2F"/>
    <w:rsid w:val="00044CF6"/>
    <w:rsid w:val="00044D17"/>
    <w:rsid w:val="00044DB6"/>
    <w:rsid w:val="00044F29"/>
    <w:rsid w:val="00045039"/>
    <w:rsid w:val="000450F8"/>
    <w:rsid w:val="00045144"/>
    <w:rsid w:val="000452C3"/>
    <w:rsid w:val="000452E2"/>
    <w:rsid w:val="000454D7"/>
    <w:rsid w:val="0004562B"/>
    <w:rsid w:val="000459D8"/>
    <w:rsid w:val="000459E1"/>
    <w:rsid w:val="00045A41"/>
    <w:rsid w:val="00045B05"/>
    <w:rsid w:val="00045CEE"/>
    <w:rsid w:val="00045D56"/>
    <w:rsid w:val="00045E96"/>
    <w:rsid w:val="00045F40"/>
    <w:rsid w:val="00046070"/>
    <w:rsid w:val="0004618A"/>
    <w:rsid w:val="0004619E"/>
    <w:rsid w:val="00046298"/>
    <w:rsid w:val="0004656B"/>
    <w:rsid w:val="000466C9"/>
    <w:rsid w:val="0004672C"/>
    <w:rsid w:val="000467CE"/>
    <w:rsid w:val="000467F8"/>
    <w:rsid w:val="00046841"/>
    <w:rsid w:val="00046A31"/>
    <w:rsid w:val="00046C51"/>
    <w:rsid w:val="00046C60"/>
    <w:rsid w:val="00046D0A"/>
    <w:rsid w:val="00046E9A"/>
    <w:rsid w:val="00046ECA"/>
    <w:rsid w:val="00046FFD"/>
    <w:rsid w:val="0004707F"/>
    <w:rsid w:val="000471F4"/>
    <w:rsid w:val="000472E0"/>
    <w:rsid w:val="0004734E"/>
    <w:rsid w:val="000473ED"/>
    <w:rsid w:val="000474EC"/>
    <w:rsid w:val="00047919"/>
    <w:rsid w:val="00047C7A"/>
    <w:rsid w:val="00047DED"/>
    <w:rsid w:val="00047E58"/>
    <w:rsid w:val="000501BA"/>
    <w:rsid w:val="000501E4"/>
    <w:rsid w:val="00050284"/>
    <w:rsid w:val="00050291"/>
    <w:rsid w:val="0005036A"/>
    <w:rsid w:val="00050486"/>
    <w:rsid w:val="000505C1"/>
    <w:rsid w:val="000506BB"/>
    <w:rsid w:val="00050970"/>
    <w:rsid w:val="0005107E"/>
    <w:rsid w:val="000510D7"/>
    <w:rsid w:val="000514AF"/>
    <w:rsid w:val="000515F1"/>
    <w:rsid w:val="000516F4"/>
    <w:rsid w:val="00051847"/>
    <w:rsid w:val="000519CF"/>
    <w:rsid w:val="00051ADF"/>
    <w:rsid w:val="00051AFE"/>
    <w:rsid w:val="00051B54"/>
    <w:rsid w:val="00051C6B"/>
    <w:rsid w:val="00051DB3"/>
    <w:rsid w:val="00051ED8"/>
    <w:rsid w:val="00051EDF"/>
    <w:rsid w:val="00051F87"/>
    <w:rsid w:val="0005200B"/>
    <w:rsid w:val="0005200C"/>
    <w:rsid w:val="0005219C"/>
    <w:rsid w:val="000522CA"/>
    <w:rsid w:val="00052425"/>
    <w:rsid w:val="000524D5"/>
    <w:rsid w:val="0005255D"/>
    <w:rsid w:val="00052696"/>
    <w:rsid w:val="000527C4"/>
    <w:rsid w:val="0005288F"/>
    <w:rsid w:val="00052A0D"/>
    <w:rsid w:val="00052CD5"/>
    <w:rsid w:val="00052E49"/>
    <w:rsid w:val="00052E73"/>
    <w:rsid w:val="0005305D"/>
    <w:rsid w:val="0005306F"/>
    <w:rsid w:val="0005308C"/>
    <w:rsid w:val="000532F2"/>
    <w:rsid w:val="0005334D"/>
    <w:rsid w:val="00053362"/>
    <w:rsid w:val="00053600"/>
    <w:rsid w:val="0005371B"/>
    <w:rsid w:val="00053833"/>
    <w:rsid w:val="00053941"/>
    <w:rsid w:val="00053958"/>
    <w:rsid w:val="00053A79"/>
    <w:rsid w:val="00053AC9"/>
    <w:rsid w:val="00053AEB"/>
    <w:rsid w:val="00053C87"/>
    <w:rsid w:val="00053DBB"/>
    <w:rsid w:val="00053E1E"/>
    <w:rsid w:val="0005417E"/>
    <w:rsid w:val="000541A0"/>
    <w:rsid w:val="0005421F"/>
    <w:rsid w:val="00054234"/>
    <w:rsid w:val="0005446F"/>
    <w:rsid w:val="00054539"/>
    <w:rsid w:val="000545FB"/>
    <w:rsid w:val="0005464D"/>
    <w:rsid w:val="000546F2"/>
    <w:rsid w:val="00054763"/>
    <w:rsid w:val="00054938"/>
    <w:rsid w:val="00054F2F"/>
    <w:rsid w:val="00054FBB"/>
    <w:rsid w:val="00055058"/>
    <w:rsid w:val="0005517A"/>
    <w:rsid w:val="00055289"/>
    <w:rsid w:val="00055392"/>
    <w:rsid w:val="000553A4"/>
    <w:rsid w:val="0005549E"/>
    <w:rsid w:val="0005553A"/>
    <w:rsid w:val="000555FC"/>
    <w:rsid w:val="000558A1"/>
    <w:rsid w:val="000558BB"/>
    <w:rsid w:val="000558EA"/>
    <w:rsid w:val="00055959"/>
    <w:rsid w:val="00055A08"/>
    <w:rsid w:val="00055B7B"/>
    <w:rsid w:val="00055C72"/>
    <w:rsid w:val="00055CFD"/>
    <w:rsid w:val="00055D03"/>
    <w:rsid w:val="00055D49"/>
    <w:rsid w:val="00055D8F"/>
    <w:rsid w:val="00055DBA"/>
    <w:rsid w:val="00055EF8"/>
    <w:rsid w:val="000562DA"/>
    <w:rsid w:val="000563B2"/>
    <w:rsid w:val="000568EF"/>
    <w:rsid w:val="00056A38"/>
    <w:rsid w:val="00056AF7"/>
    <w:rsid w:val="00056D1B"/>
    <w:rsid w:val="00056D83"/>
    <w:rsid w:val="00056DDB"/>
    <w:rsid w:val="00056DEE"/>
    <w:rsid w:val="00056FF7"/>
    <w:rsid w:val="00056FFE"/>
    <w:rsid w:val="000575C3"/>
    <w:rsid w:val="0005767D"/>
    <w:rsid w:val="00057896"/>
    <w:rsid w:val="00057965"/>
    <w:rsid w:val="000579FA"/>
    <w:rsid w:val="00057A75"/>
    <w:rsid w:val="00057AA4"/>
    <w:rsid w:val="00057B01"/>
    <w:rsid w:val="00057B49"/>
    <w:rsid w:val="00057C09"/>
    <w:rsid w:val="00057C76"/>
    <w:rsid w:val="000604CB"/>
    <w:rsid w:val="0006076D"/>
    <w:rsid w:val="0006086A"/>
    <w:rsid w:val="00060AC1"/>
    <w:rsid w:val="00060BEF"/>
    <w:rsid w:val="00060D7B"/>
    <w:rsid w:val="00060E6E"/>
    <w:rsid w:val="00060F04"/>
    <w:rsid w:val="00061117"/>
    <w:rsid w:val="0006112D"/>
    <w:rsid w:val="00061138"/>
    <w:rsid w:val="0006126D"/>
    <w:rsid w:val="000612A1"/>
    <w:rsid w:val="00061349"/>
    <w:rsid w:val="0006154A"/>
    <w:rsid w:val="000615AA"/>
    <w:rsid w:val="000616C0"/>
    <w:rsid w:val="00061706"/>
    <w:rsid w:val="000618D7"/>
    <w:rsid w:val="00061A16"/>
    <w:rsid w:val="00061ABD"/>
    <w:rsid w:val="00061B13"/>
    <w:rsid w:val="00061DBF"/>
    <w:rsid w:val="00061EF4"/>
    <w:rsid w:val="00061FAD"/>
    <w:rsid w:val="0006207E"/>
    <w:rsid w:val="000620AF"/>
    <w:rsid w:val="00062148"/>
    <w:rsid w:val="00062171"/>
    <w:rsid w:val="0006217D"/>
    <w:rsid w:val="0006225D"/>
    <w:rsid w:val="00062650"/>
    <w:rsid w:val="000629DD"/>
    <w:rsid w:val="00062A68"/>
    <w:rsid w:val="00062B2E"/>
    <w:rsid w:val="00062BF8"/>
    <w:rsid w:val="00062C93"/>
    <w:rsid w:val="00062CF0"/>
    <w:rsid w:val="00062DA5"/>
    <w:rsid w:val="00062FD7"/>
    <w:rsid w:val="00063111"/>
    <w:rsid w:val="000631BC"/>
    <w:rsid w:val="000633F3"/>
    <w:rsid w:val="00063448"/>
    <w:rsid w:val="000634D9"/>
    <w:rsid w:val="0006366F"/>
    <w:rsid w:val="000637EC"/>
    <w:rsid w:val="00063AF1"/>
    <w:rsid w:val="00063C88"/>
    <w:rsid w:val="00063D40"/>
    <w:rsid w:val="00063D41"/>
    <w:rsid w:val="00063EA8"/>
    <w:rsid w:val="00064178"/>
    <w:rsid w:val="00064217"/>
    <w:rsid w:val="00064283"/>
    <w:rsid w:val="0006431F"/>
    <w:rsid w:val="0006458D"/>
    <w:rsid w:val="00064607"/>
    <w:rsid w:val="000647FD"/>
    <w:rsid w:val="00064E1F"/>
    <w:rsid w:val="000651FA"/>
    <w:rsid w:val="00065385"/>
    <w:rsid w:val="00065746"/>
    <w:rsid w:val="00065780"/>
    <w:rsid w:val="00065882"/>
    <w:rsid w:val="00065886"/>
    <w:rsid w:val="000658AC"/>
    <w:rsid w:val="000658CD"/>
    <w:rsid w:val="0006596A"/>
    <w:rsid w:val="00065E35"/>
    <w:rsid w:val="00065E4F"/>
    <w:rsid w:val="00065E81"/>
    <w:rsid w:val="00065EAB"/>
    <w:rsid w:val="00065F7B"/>
    <w:rsid w:val="00065F89"/>
    <w:rsid w:val="00066099"/>
    <w:rsid w:val="000661DE"/>
    <w:rsid w:val="00066649"/>
    <w:rsid w:val="000666AD"/>
    <w:rsid w:val="0006684A"/>
    <w:rsid w:val="00066DB1"/>
    <w:rsid w:val="00066E77"/>
    <w:rsid w:val="00066E8B"/>
    <w:rsid w:val="00066F95"/>
    <w:rsid w:val="00067123"/>
    <w:rsid w:val="000672AC"/>
    <w:rsid w:val="000672C7"/>
    <w:rsid w:val="000676AB"/>
    <w:rsid w:val="000676C5"/>
    <w:rsid w:val="000677A6"/>
    <w:rsid w:val="000678A0"/>
    <w:rsid w:val="000678AA"/>
    <w:rsid w:val="00067950"/>
    <w:rsid w:val="00067B06"/>
    <w:rsid w:val="00067B65"/>
    <w:rsid w:val="00067E48"/>
    <w:rsid w:val="00067E97"/>
    <w:rsid w:val="000701D5"/>
    <w:rsid w:val="00070219"/>
    <w:rsid w:val="0007044C"/>
    <w:rsid w:val="000704E2"/>
    <w:rsid w:val="0007076C"/>
    <w:rsid w:val="00070797"/>
    <w:rsid w:val="000707A2"/>
    <w:rsid w:val="00070890"/>
    <w:rsid w:val="000708AE"/>
    <w:rsid w:val="0007090B"/>
    <w:rsid w:val="000709FB"/>
    <w:rsid w:val="00070A5B"/>
    <w:rsid w:val="00070B80"/>
    <w:rsid w:val="00070D92"/>
    <w:rsid w:val="00070DDB"/>
    <w:rsid w:val="00070EC1"/>
    <w:rsid w:val="00070EEF"/>
    <w:rsid w:val="00070F41"/>
    <w:rsid w:val="0007106A"/>
    <w:rsid w:val="000712BF"/>
    <w:rsid w:val="0007138A"/>
    <w:rsid w:val="000714C2"/>
    <w:rsid w:val="00071814"/>
    <w:rsid w:val="00071942"/>
    <w:rsid w:val="00071A87"/>
    <w:rsid w:val="00071B2D"/>
    <w:rsid w:val="00071E9F"/>
    <w:rsid w:val="00071F4C"/>
    <w:rsid w:val="00072288"/>
    <w:rsid w:val="000722AC"/>
    <w:rsid w:val="000725B3"/>
    <w:rsid w:val="000725D0"/>
    <w:rsid w:val="000726CF"/>
    <w:rsid w:val="00072806"/>
    <w:rsid w:val="000728BB"/>
    <w:rsid w:val="00072A6D"/>
    <w:rsid w:val="00072AB0"/>
    <w:rsid w:val="00072AE5"/>
    <w:rsid w:val="00072BC4"/>
    <w:rsid w:val="00072C51"/>
    <w:rsid w:val="00072FC1"/>
    <w:rsid w:val="00073260"/>
    <w:rsid w:val="000732AF"/>
    <w:rsid w:val="000732D9"/>
    <w:rsid w:val="000733A3"/>
    <w:rsid w:val="00073527"/>
    <w:rsid w:val="00073579"/>
    <w:rsid w:val="0007377E"/>
    <w:rsid w:val="000738C3"/>
    <w:rsid w:val="00073AAD"/>
    <w:rsid w:val="00073BEF"/>
    <w:rsid w:val="00073EF3"/>
    <w:rsid w:val="0007433C"/>
    <w:rsid w:val="00074441"/>
    <w:rsid w:val="00074476"/>
    <w:rsid w:val="00074582"/>
    <w:rsid w:val="00074797"/>
    <w:rsid w:val="000747DE"/>
    <w:rsid w:val="0007497A"/>
    <w:rsid w:val="00074A67"/>
    <w:rsid w:val="00074C12"/>
    <w:rsid w:val="00074C3A"/>
    <w:rsid w:val="00074DE7"/>
    <w:rsid w:val="00074E5E"/>
    <w:rsid w:val="00074EB5"/>
    <w:rsid w:val="000750AC"/>
    <w:rsid w:val="0007515D"/>
    <w:rsid w:val="00075390"/>
    <w:rsid w:val="000753C8"/>
    <w:rsid w:val="000754D0"/>
    <w:rsid w:val="000755FA"/>
    <w:rsid w:val="000756C8"/>
    <w:rsid w:val="000757E0"/>
    <w:rsid w:val="000758EC"/>
    <w:rsid w:val="00075A82"/>
    <w:rsid w:val="00075B1E"/>
    <w:rsid w:val="00075B39"/>
    <w:rsid w:val="00075B3F"/>
    <w:rsid w:val="00075E17"/>
    <w:rsid w:val="00075E27"/>
    <w:rsid w:val="00075E49"/>
    <w:rsid w:val="0007627D"/>
    <w:rsid w:val="0007638E"/>
    <w:rsid w:val="0007659B"/>
    <w:rsid w:val="000765DE"/>
    <w:rsid w:val="00076731"/>
    <w:rsid w:val="000768B9"/>
    <w:rsid w:val="00076AB7"/>
    <w:rsid w:val="00076C29"/>
    <w:rsid w:val="00076D30"/>
    <w:rsid w:val="00076E40"/>
    <w:rsid w:val="000770D7"/>
    <w:rsid w:val="0007716A"/>
    <w:rsid w:val="00077456"/>
    <w:rsid w:val="00077556"/>
    <w:rsid w:val="0007758B"/>
    <w:rsid w:val="000779A0"/>
    <w:rsid w:val="00077A28"/>
    <w:rsid w:val="00077A98"/>
    <w:rsid w:val="00077DD1"/>
    <w:rsid w:val="00077ECB"/>
    <w:rsid w:val="0008009C"/>
    <w:rsid w:val="000803D9"/>
    <w:rsid w:val="00080417"/>
    <w:rsid w:val="0008092C"/>
    <w:rsid w:val="00080A06"/>
    <w:rsid w:val="00080BB6"/>
    <w:rsid w:val="00081015"/>
    <w:rsid w:val="00081067"/>
    <w:rsid w:val="000810BF"/>
    <w:rsid w:val="00081568"/>
    <w:rsid w:val="000816C5"/>
    <w:rsid w:val="000816CF"/>
    <w:rsid w:val="000819F5"/>
    <w:rsid w:val="00081BE9"/>
    <w:rsid w:val="00081E27"/>
    <w:rsid w:val="00082032"/>
    <w:rsid w:val="000821D2"/>
    <w:rsid w:val="00082262"/>
    <w:rsid w:val="0008256B"/>
    <w:rsid w:val="0008257E"/>
    <w:rsid w:val="000825B6"/>
    <w:rsid w:val="000825DB"/>
    <w:rsid w:val="00082600"/>
    <w:rsid w:val="0008270C"/>
    <w:rsid w:val="00082B33"/>
    <w:rsid w:val="00082BCC"/>
    <w:rsid w:val="00082D3F"/>
    <w:rsid w:val="00082F2A"/>
    <w:rsid w:val="00082F81"/>
    <w:rsid w:val="00083023"/>
    <w:rsid w:val="0008308F"/>
    <w:rsid w:val="000830C8"/>
    <w:rsid w:val="0008315E"/>
    <w:rsid w:val="00083325"/>
    <w:rsid w:val="00083451"/>
    <w:rsid w:val="00083690"/>
    <w:rsid w:val="0008391F"/>
    <w:rsid w:val="00083A0B"/>
    <w:rsid w:val="00083D29"/>
    <w:rsid w:val="00083D3C"/>
    <w:rsid w:val="00083D4D"/>
    <w:rsid w:val="00083D6D"/>
    <w:rsid w:val="00083D9F"/>
    <w:rsid w:val="00083E3D"/>
    <w:rsid w:val="00083E54"/>
    <w:rsid w:val="00083F53"/>
    <w:rsid w:val="0008403C"/>
    <w:rsid w:val="000841B4"/>
    <w:rsid w:val="0008429D"/>
    <w:rsid w:val="00084534"/>
    <w:rsid w:val="0008456A"/>
    <w:rsid w:val="0008457F"/>
    <w:rsid w:val="000845F2"/>
    <w:rsid w:val="00084769"/>
    <w:rsid w:val="00084B43"/>
    <w:rsid w:val="00084C4E"/>
    <w:rsid w:val="00084CA1"/>
    <w:rsid w:val="00084E67"/>
    <w:rsid w:val="00084F7D"/>
    <w:rsid w:val="00085058"/>
    <w:rsid w:val="00085185"/>
    <w:rsid w:val="00085434"/>
    <w:rsid w:val="00085541"/>
    <w:rsid w:val="00085592"/>
    <w:rsid w:val="000855ED"/>
    <w:rsid w:val="00085616"/>
    <w:rsid w:val="000856C4"/>
    <w:rsid w:val="000857CA"/>
    <w:rsid w:val="00085951"/>
    <w:rsid w:val="00085AD9"/>
    <w:rsid w:val="00085D3F"/>
    <w:rsid w:val="00085E2F"/>
    <w:rsid w:val="00085FC7"/>
    <w:rsid w:val="00085FDE"/>
    <w:rsid w:val="00086040"/>
    <w:rsid w:val="0008625D"/>
    <w:rsid w:val="00086286"/>
    <w:rsid w:val="00086312"/>
    <w:rsid w:val="00086325"/>
    <w:rsid w:val="000863EB"/>
    <w:rsid w:val="00086636"/>
    <w:rsid w:val="000866A6"/>
    <w:rsid w:val="000866D8"/>
    <w:rsid w:val="00086B88"/>
    <w:rsid w:val="00086C9A"/>
    <w:rsid w:val="00086D56"/>
    <w:rsid w:val="00086EA9"/>
    <w:rsid w:val="00086EC9"/>
    <w:rsid w:val="00086ED7"/>
    <w:rsid w:val="00086F3A"/>
    <w:rsid w:val="00086F83"/>
    <w:rsid w:val="000870C2"/>
    <w:rsid w:val="0008715C"/>
    <w:rsid w:val="0008740D"/>
    <w:rsid w:val="0008750D"/>
    <w:rsid w:val="00087823"/>
    <w:rsid w:val="000878EB"/>
    <w:rsid w:val="000878EC"/>
    <w:rsid w:val="00087ACD"/>
    <w:rsid w:val="00087BAB"/>
    <w:rsid w:val="00087D16"/>
    <w:rsid w:val="00087D34"/>
    <w:rsid w:val="00087F3C"/>
    <w:rsid w:val="00087F71"/>
    <w:rsid w:val="00090157"/>
    <w:rsid w:val="000902A2"/>
    <w:rsid w:val="000902DC"/>
    <w:rsid w:val="0009059A"/>
    <w:rsid w:val="0009059E"/>
    <w:rsid w:val="000906BA"/>
    <w:rsid w:val="000909C2"/>
    <w:rsid w:val="000909D6"/>
    <w:rsid w:val="00090BFE"/>
    <w:rsid w:val="00090D04"/>
    <w:rsid w:val="00090F8C"/>
    <w:rsid w:val="00091162"/>
    <w:rsid w:val="00091469"/>
    <w:rsid w:val="000914F6"/>
    <w:rsid w:val="00091580"/>
    <w:rsid w:val="000915C8"/>
    <w:rsid w:val="000917BB"/>
    <w:rsid w:val="00091A2E"/>
    <w:rsid w:val="00091B8B"/>
    <w:rsid w:val="00091C24"/>
    <w:rsid w:val="00092180"/>
    <w:rsid w:val="00092193"/>
    <w:rsid w:val="000921E0"/>
    <w:rsid w:val="00092200"/>
    <w:rsid w:val="0009239A"/>
    <w:rsid w:val="00092446"/>
    <w:rsid w:val="0009259C"/>
    <w:rsid w:val="000925DE"/>
    <w:rsid w:val="00092689"/>
    <w:rsid w:val="00092AAE"/>
    <w:rsid w:val="00092AC9"/>
    <w:rsid w:val="00092DC2"/>
    <w:rsid w:val="00092E9D"/>
    <w:rsid w:val="000930B3"/>
    <w:rsid w:val="000930BE"/>
    <w:rsid w:val="000930F7"/>
    <w:rsid w:val="000931B7"/>
    <w:rsid w:val="000931BC"/>
    <w:rsid w:val="0009320D"/>
    <w:rsid w:val="0009327F"/>
    <w:rsid w:val="000932A6"/>
    <w:rsid w:val="0009349C"/>
    <w:rsid w:val="000934F5"/>
    <w:rsid w:val="0009357A"/>
    <w:rsid w:val="000935EF"/>
    <w:rsid w:val="00093662"/>
    <w:rsid w:val="000936DE"/>
    <w:rsid w:val="000936E7"/>
    <w:rsid w:val="000939AD"/>
    <w:rsid w:val="000939C9"/>
    <w:rsid w:val="00093AA2"/>
    <w:rsid w:val="00093B60"/>
    <w:rsid w:val="00093B9E"/>
    <w:rsid w:val="00093D33"/>
    <w:rsid w:val="00093D85"/>
    <w:rsid w:val="00093EC3"/>
    <w:rsid w:val="00093F2B"/>
    <w:rsid w:val="000941AF"/>
    <w:rsid w:val="00094264"/>
    <w:rsid w:val="000942F3"/>
    <w:rsid w:val="00094397"/>
    <w:rsid w:val="0009475C"/>
    <w:rsid w:val="0009484D"/>
    <w:rsid w:val="00094AE6"/>
    <w:rsid w:val="00094D32"/>
    <w:rsid w:val="0009505C"/>
    <w:rsid w:val="00095131"/>
    <w:rsid w:val="0009530D"/>
    <w:rsid w:val="00095321"/>
    <w:rsid w:val="00095484"/>
    <w:rsid w:val="000954CE"/>
    <w:rsid w:val="0009555D"/>
    <w:rsid w:val="000957E1"/>
    <w:rsid w:val="00095800"/>
    <w:rsid w:val="00095801"/>
    <w:rsid w:val="0009592A"/>
    <w:rsid w:val="000959D0"/>
    <w:rsid w:val="00095DE1"/>
    <w:rsid w:val="00095E58"/>
    <w:rsid w:val="00095F57"/>
    <w:rsid w:val="00096025"/>
    <w:rsid w:val="0009606A"/>
    <w:rsid w:val="000961E8"/>
    <w:rsid w:val="000961ED"/>
    <w:rsid w:val="0009621B"/>
    <w:rsid w:val="00096301"/>
    <w:rsid w:val="000964AF"/>
    <w:rsid w:val="000966DF"/>
    <w:rsid w:val="00096734"/>
    <w:rsid w:val="00096926"/>
    <w:rsid w:val="0009697C"/>
    <w:rsid w:val="00096AB7"/>
    <w:rsid w:val="00096ABB"/>
    <w:rsid w:val="00096AF1"/>
    <w:rsid w:val="00096C40"/>
    <w:rsid w:val="00096CA5"/>
    <w:rsid w:val="00096FF5"/>
    <w:rsid w:val="000970AD"/>
    <w:rsid w:val="00097186"/>
    <w:rsid w:val="0009721E"/>
    <w:rsid w:val="000973B1"/>
    <w:rsid w:val="000973F2"/>
    <w:rsid w:val="000974B1"/>
    <w:rsid w:val="0009773C"/>
    <w:rsid w:val="0009792F"/>
    <w:rsid w:val="00097988"/>
    <w:rsid w:val="00097A59"/>
    <w:rsid w:val="00097AC0"/>
    <w:rsid w:val="00097BDF"/>
    <w:rsid w:val="00097E27"/>
    <w:rsid w:val="00097EA9"/>
    <w:rsid w:val="00097EB7"/>
    <w:rsid w:val="00097F62"/>
    <w:rsid w:val="00097F68"/>
    <w:rsid w:val="000A007D"/>
    <w:rsid w:val="000A0231"/>
    <w:rsid w:val="000A03BB"/>
    <w:rsid w:val="000A068F"/>
    <w:rsid w:val="000A0734"/>
    <w:rsid w:val="000A0782"/>
    <w:rsid w:val="000A0B7F"/>
    <w:rsid w:val="000A101B"/>
    <w:rsid w:val="000A1154"/>
    <w:rsid w:val="000A12F9"/>
    <w:rsid w:val="000A175E"/>
    <w:rsid w:val="000A176A"/>
    <w:rsid w:val="000A178C"/>
    <w:rsid w:val="000A188F"/>
    <w:rsid w:val="000A19A4"/>
    <w:rsid w:val="000A1A2B"/>
    <w:rsid w:val="000A1BCF"/>
    <w:rsid w:val="000A1F97"/>
    <w:rsid w:val="000A1FDB"/>
    <w:rsid w:val="000A2072"/>
    <w:rsid w:val="000A20BD"/>
    <w:rsid w:val="000A2279"/>
    <w:rsid w:val="000A2629"/>
    <w:rsid w:val="000A273B"/>
    <w:rsid w:val="000A2990"/>
    <w:rsid w:val="000A2A56"/>
    <w:rsid w:val="000A2B89"/>
    <w:rsid w:val="000A2C39"/>
    <w:rsid w:val="000A2C78"/>
    <w:rsid w:val="000A2CA7"/>
    <w:rsid w:val="000A2CAD"/>
    <w:rsid w:val="000A2CDC"/>
    <w:rsid w:val="000A2E08"/>
    <w:rsid w:val="000A2E50"/>
    <w:rsid w:val="000A2F1F"/>
    <w:rsid w:val="000A302A"/>
    <w:rsid w:val="000A31D8"/>
    <w:rsid w:val="000A31EF"/>
    <w:rsid w:val="000A3259"/>
    <w:rsid w:val="000A3524"/>
    <w:rsid w:val="000A3681"/>
    <w:rsid w:val="000A379F"/>
    <w:rsid w:val="000A3875"/>
    <w:rsid w:val="000A3924"/>
    <w:rsid w:val="000A3A18"/>
    <w:rsid w:val="000A3B52"/>
    <w:rsid w:val="000A3F5F"/>
    <w:rsid w:val="000A427B"/>
    <w:rsid w:val="000A4298"/>
    <w:rsid w:val="000A43F3"/>
    <w:rsid w:val="000A450F"/>
    <w:rsid w:val="000A45DF"/>
    <w:rsid w:val="000A4688"/>
    <w:rsid w:val="000A4750"/>
    <w:rsid w:val="000A4787"/>
    <w:rsid w:val="000A479A"/>
    <w:rsid w:val="000A481C"/>
    <w:rsid w:val="000A4879"/>
    <w:rsid w:val="000A487F"/>
    <w:rsid w:val="000A4DA8"/>
    <w:rsid w:val="000A4DAD"/>
    <w:rsid w:val="000A5104"/>
    <w:rsid w:val="000A5133"/>
    <w:rsid w:val="000A515D"/>
    <w:rsid w:val="000A5162"/>
    <w:rsid w:val="000A5437"/>
    <w:rsid w:val="000A545D"/>
    <w:rsid w:val="000A5BD3"/>
    <w:rsid w:val="000A5D39"/>
    <w:rsid w:val="000A5E81"/>
    <w:rsid w:val="000A61BA"/>
    <w:rsid w:val="000A642E"/>
    <w:rsid w:val="000A66DB"/>
    <w:rsid w:val="000A672B"/>
    <w:rsid w:val="000A678F"/>
    <w:rsid w:val="000A681C"/>
    <w:rsid w:val="000A6A29"/>
    <w:rsid w:val="000A6A93"/>
    <w:rsid w:val="000A6F70"/>
    <w:rsid w:val="000A6F89"/>
    <w:rsid w:val="000A6FE1"/>
    <w:rsid w:val="000A70E2"/>
    <w:rsid w:val="000A7124"/>
    <w:rsid w:val="000A728C"/>
    <w:rsid w:val="000A743F"/>
    <w:rsid w:val="000A75E5"/>
    <w:rsid w:val="000A75FE"/>
    <w:rsid w:val="000A7720"/>
    <w:rsid w:val="000A772E"/>
    <w:rsid w:val="000A78C7"/>
    <w:rsid w:val="000A7B77"/>
    <w:rsid w:val="000A7B9A"/>
    <w:rsid w:val="000A7C14"/>
    <w:rsid w:val="000A7CA5"/>
    <w:rsid w:val="000A7EA7"/>
    <w:rsid w:val="000A7EBB"/>
    <w:rsid w:val="000A7F70"/>
    <w:rsid w:val="000A7FB4"/>
    <w:rsid w:val="000A7FBB"/>
    <w:rsid w:val="000B001D"/>
    <w:rsid w:val="000B0160"/>
    <w:rsid w:val="000B01F5"/>
    <w:rsid w:val="000B020E"/>
    <w:rsid w:val="000B02D8"/>
    <w:rsid w:val="000B050E"/>
    <w:rsid w:val="000B0530"/>
    <w:rsid w:val="000B059B"/>
    <w:rsid w:val="000B05FD"/>
    <w:rsid w:val="000B06D7"/>
    <w:rsid w:val="000B07B1"/>
    <w:rsid w:val="000B0861"/>
    <w:rsid w:val="000B0AFF"/>
    <w:rsid w:val="000B0B41"/>
    <w:rsid w:val="000B0BD5"/>
    <w:rsid w:val="000B115E"/>
    <w:rsid w:val="000B11BF"/>
    <w:rsid w:val="000B11FB"/>
    <w:rsid w:val="000B129E"/>
    <w:rsid w:val="000B1318"/>
    <w:rsid w:val="000B152B"/>
    <w:rsid w:val="000B16DB"/>
    <w:rsid w:val="000B1750"/>
    <w:rsid w:val="000B1908"/>
    <w:rsid w:val="000B1D07"/>
    <w:rsid w:val="000B22B7"/>
    <w:rsid w:val="000B22F7"/>
    <w:rsid w:val="000B23E8"/>
    <w:rsid w:val="000B24C0"/>
    <w:rsid w:val="000B24D7"/>
    <w:rsid w:val="000B257B"/>
    <w:rsid w:val="000B2628"/>
    <w:rsid w:val="000B282E"/>
    <w:rsid w:val="000B2872"/>
    <w:rsid w:val="000B2CF7"/>
    <w:rsid w:val="000B2D71"/>
    <w:rsid w:val="000B2D7D"/>
    <w:rsid w:val="000B2E06"/>
    <w:rsid w:val="000B2F0C"/>
    <w:rsid w:val="000B301C"/>
    <w:rsid w:val="000B3190"/>
    <w:rsid w:val="000B31B8"/>
    <w:rsid w:val="000B3302"/>
    <w:rsid w:val="000B33EC"/>
    <w:rsid w:val="000B3832"/>
    <w:rsid w:val="000B388B"/>
    <w:rsid w:val="000B38E2"/>
    <w:rsid w:val="000B3B29"/>
    <w:rsid w:val="000B3BD9"/>
    <w:rsid w:val="000B3F80"/>
    <w:rsid w:val="000B3F9C"/>
    <w:rsid w:val="000B403E"/>
    <w:rsid w:val="000B40E9"/>
    <w:rsid w:val="000B47AE"/>
    <w:rsid w:val="000B491A"/>
    <w:rsid w:val="000B4989"/>
    <w:rsid w:val="000B4A86"/>
    <w:rsid w:val="000B4A9D"/>
    <w:rsid w:val="000B4B11"/>
    <w:rsid w:val="000B4CD1"/>
    <w:rsid w:val="000B4EDE"/>
    <w:rsid w:val="000B4F1A"/>
    <w:rsid w:val="000B5034"/>
    <w:rsid w:val="000B5098"/>
    <w:rsid w:val="000B5253"/>
    <w:rsid w:val="000B52B2"/>
    <w:rsid w:val="000B52C6"/>
    <w:rsid w:val="000B52DE"/>
    <w:rsid w:val="000B52EC"/>
    <w:rsid w:val="000B5352"/>
    <w:rsid w:val="000B53EC"/>
    <w:rsid w:val="000B53F8"/>
    <w:rsid w:val="000B56E9"/>
    <w:rsid w:val="000B57ED"/>
    <w:rsid w:val="000B5834"/>
    <w:rsid w:val="000B5A9D"/>
    <w:rsid w:val="000B5B00"/>
    <w:rsid w:val="000B5CF6"/>
    <w:rsid w:val="000B5FCE"/>
    <w:rsid w:val="000B609B"/>
    <w:rsid w:val="000B60F7"/>
    <w:rsid w:val="000B634D"/>
    <w:rsid w:val="000B644C"/>
    <w:rsid w:val="000B65D0"/>
    <w:rsid w:val="000B6745"/>
    <w:rsid w:val="000B68FD"/>
    <w:rsid w:val="000B6A74"/>
    <w:rsid w:val="000B6B64"/>
    <w:rsid w:val="000B6C0D"/>
    <w:rsid w:val="000B6C89"/>
    <w:rsid w:val="000B6D54"/>
    <w:rsid w:val="000B6FD2"/>
    <w:rsid w:val="000B7029"/>
    <w:rsid w:val="000B7076"/>
    <w:rsid w:val="000B719A"/>
    <w:rsid w:val="000B7245"/>
    <w:rsid w:val="000B7333"/>
    <w:rsid w:val="000B75F0"/>
    <w:rsid w:val="000B7644"/>
    <w:rsid w:val="000B7774"/>
    <w:rsid w:val="000B7945"/>
    <w:rsid w:val="000B7967"/>
    <w:rsid w:val="000B7A40"/>
    <w:rsid w:val="000B7AB0"/>
    <w:rsid w:val="000B7BA2"/>
    <w:rsid w:val="000B7E71"/>
    <w:rsid w:val="000B7F3D"/>
    <w:rsid w:val="000C0092"/>
    <w:rsid w:val="000C00F3"/>
    <w:rsid w:val="000C01F6"/>
    <w:rsid w:val="000C01F9"/>
    <w:rsid w:val="000C037F"/>
    <w:rsid w:val="000C03CF"/>
    <w:rsid w:val="000C042A"/>
    <w:rsid w:val="000C04B2"/>
    <w:rsid w:val="000C0520"/>
    <w:rsid w:val="000C05E1"/>
    <w:rsid w:val="000C0959"/>
    <w:rsid w:val="000C09E8"/>
    <w:rsid w:val="000C0AC0"/>
    <w:rsid w:val="000C0B1E"/>
    <w:rsid w:val="000C0B32"/>
    <w:rsid w:val="000C0B3B"/>
    <w:rsid w:val="000C0B95"/>
    <w:rsid w:val="000C0D65"/>
    <w:rsid w:val="000C0DAD"/>
    <w:rsid w:val="000C0DDF"/>
    <w:rsid w:val="000C0E46"/>
    <w:rsid w:val="000C0E8B"/>
    <w:rsid w:val="000C0EE3"/>
    <w:rsid w:val="000C0F22"/>
    <w:rsid w:val="000C0F69"/>
    <w:rsid w:val="000C0FE0"/>
    <w:rsid w:val="000C1227"/>
    <w:rsid w:val="000C1352"/>
    <w:rsid w:val="000C14CE"/>
    <w:rsid w:val="000C159F"/>
    <w:rsid w:val="000C15C1"/>
    <w:rsid w:val="000C176C"/>
    <w:rsid w:val="000C18DD"/>
    <w:rsid w:val="000C19CC"/>
    <w:rsid w:val="000C1A93"/>
    <w:rsid w:val="000C1B73"/>
    <w:rsid w:val="000C1C01"/>
    <w:rsid w:val="000C1DA9"/>
    <w:rsid w:val="000C1DF4"/>
    <w:rsid w:val="000C2043"/>
    <w:rsid w:val="000C2137"/>
    <w:rsid w:val="000C2139"/>
    <w:rsid w:val="000C2216"/>
    <w:rsid w:val="000C23D7"/>
    <w:rsid w:val="000C24FA"/>
    <w:rsid w:val="000C25CA"/>
    <w:rsid w:val="000C27CC"/>
    <w:rsid w:val="000C289F"/>
    <w:rsid w:val="000C2B80"/>
    <w:rsid w:val="000C2D98"/>
    <w:rsid w:val="000C2E1D"/>
    <w:rsid w:val="000C2EB2"/>
    <w:rsid w:val="000C2FD0"/>
    <w:rsid w:val="000C31F5"/>
    <w:rsid w:val="000C321A"/>
    <w:rsid w:val="000C32C6"/>
    <w:rsid w:val="000C32FE"/>
    <w:rsid w:val="000C3380"/>
    <w:rsid w:val="000C33AC"/>
    <w:rsid w:val="000C34A5"/>
    <w:rsid w:val="000C3555"/>
    <w:rsid w:val="000C3673"/>
    <w:rsid w:val="000C370A"/>
    <w:rsid w:val="000C3796"/>
    <w:rsid w:val="000C37F4"/>
    <w:rsid w:val="000C3A57"/>
    <w:rsid w:val="000C3B68"/>
    <w:rsid w:val="000C3BB3"/>
    <w:rsid w:val="000C3C1B"/>
    <w:rsid w:val="000C3C28"/>
    <w:rsid w:val="000C3DAB"/>
    <w:rsid w:val="000C4165"/>
    <w:rsid w:val="000C42D9"/>
    <w:rsid w:val="000C4375"/>
    <w:rsid w:val="000C437E"/>
    <w:rsid w:val="000C45CD"/>
    <w:rsid w:val="000C480F"/>
    <w:rsid w:val="000C4A08"/>
    <w:rsid w:val="000C4D9F"/>
    <w:rsid w:val="000C4DFD"/>
    <w:rsid w:val="000C4E69"/>
    <w:rsid w:val="000C4FB1"/>
    <w:rsid w:val="000C50E5"/>
    <w:rsid w:val="000C5145"/>
    <w:rsid w:val="000C53AC"/>
    <w:rsid w:val="000C540F"/>
    <w:rsid w:val="000C550A"/>
    <w:rsid w:val="000C5577"/>
    <w:rsid w:val="000C5634"/>
    <w:rsid w:val="000C581B"/>
    <w:rsid w:val="000C5A32"/>
    <w:rsid w:val="000C5C03"/>
    <w:rsid w:val="000C5CF3"/>
    <w:rsid w:val="000C5D52"/>
    <w:rsid w:val="000C5F6C"/>
    <w:rsid w:val="000C61A1"/>
    <w:rsid w:val="000C629C"/>
    <w:rsid w:val="000C6335"/>
    <w:rsid w:val="000C6389"/>
    <w:rsid w:val="000C64C1"/>
    <w:rsid w:val="000C6617"/>
    <w:rsid w:val="000C6747"/>
    <w:rsid w:val="000C67E6"/>
    <w:rsid w:val="000C6880"/>
    <w:rsid w:val="000C6B84"/>
    <w:rsid w:val="000C6D86"/>
    <w:rsid w:val="000C6FD3"/>
    <w:rsid w:val="000C71E8"/>
    <w:rsid w:val="000C72DA"/>
    <w:rsid w:val="000C7307"/>
    <w:rsid w:val="000C7321"/>
    <w:rsid w:val="000C74CE"/>
    <w:rsid w:val="000C7621"/>
    <w:rsid w:val="000C799A"/>
    <w:rsid w:val="000C7A5D"/>
    <w:rsid w:val="000C7AEE"/>
    <w:rsid w:val="000C7EBB"/>
    <w:rsid w:val="000C7FF1"/>
    <w:rsid w:val="000D022A"/>
    <w:rsid w:val="000D02D1"/>
    <w:rsid w:val="000D043D"/>
    <w:rsid w:val="000D050C"/>
    <w:rsid w:val="000D054D"/>
    <w:rsid w:val="000D05C1"/>
    <w:rsid w:val="000D0604"/>
    <w:rsid w:val="000D0C7B"/>
    <w:rsid w:val="000D0DFB"/>
    <w:rsid w:val="000D0E40"/>
    <w:rsid w:val="000D0F99"/>
    <w:rsid w:val="000D0FB1"/>
    <w:rsid w:val="000D1072"/>
    <w:rsid w:val="000D1164"/>
    <w:rsid w:val="000D11F9"/>
    <w:rsid w:val="000D1510"/>
    <w:rsid w:val="000D1536"/>
    <w:rsid w:val="000D15C3"/>
    <w:rsid w:val="000D17BD"/>
    <w:rsid w:val="000D1912"/>
    <w:rsid w:val="000D19C0"/>
    <w:rsid w:val="000D1AB0"/>
    <w:rsid w:val="000D1BFB"/>
    <w:rsid w:val="000D1C42"/>
    <w:rsid w:val="000D1D3E"/>
    <w:rsid w:val="000D2121"/>
    <w:rsid w:val="000D22CF"/>
    <w:rsid w:val="000D22D8"/>
    <w:rsid w:val="000D26EC"/>
    <w:rsid w:val="000D271B"/>
    <w:rsid w:val="000D271E"/>
    <w:rsid w:val="000D273D"/>
    <w:rsid w:val="000D2864"/>
    <w:rsid w:val="000D293C"/>
    <w:rsid w:val="000D2A39"/>
    <w:rsid w:val="000D2A96"/>
    <w:rsid w:val="000D2A9F"/>
    <w:rsid w:val="000D2B7C"/>
    <w:rsid w:val="000D2D2E"/>
    <w:rsid w:val="000D2E42"/>
    <w:rsid w:val="000D2F21"/>
    <w:rsid w:val="000D303D"/>
    <w:rsid w:val="000D3206"/>
    <w:rsid w:val="000D3258"/>
    <w:rsid w:val="000D3504"/>
    <w:rsid w:val="000D351E"/>
    <w:rsid w:val="000D37C2"/>
    <w:rsid w:val="000D3A64"/>
    <w:rsid w:val="000D3B02"/>
    <w:rsid w:val="000D3B1D"/>
    <w:rsid w:val="000D3B92"/>
    <w:rsid w:val="000D3FAE"/>
    <w:rsid w:val="000D3FD3"/>
    <w:rsid w:val="000D4355"/>
    <w:rsid w:val="000D476D"/>
    <w:rsid w:val="000D47D4"/>
    <w:rsid w:val="000D4A38"/>
    <w:rsid w:val="000D4A7E"/>
    <w:rsid w:val="000D4AFA"/>
    <w:rsid w:val="000D4BAB"/>
    <w:rsid w:val="000D4E2F"/>
    <w:rsid w:val="000D4F03"/>
    <w:rsid w:val="000D4F5C"/>
    <w:rsid w:val="000D51FE"/>
    <w:rsid w:val="000D5321"/>
    <w:rsid w:val="000D554E"/>
    <w:rsid w:val="000D55D9"/>
    <w:rsid w:val="000D572C"/>
    <w:rsid w:val="000D5AFD"/>
    <w:rsid w:val="000D5BAB"/>
    <w:rsid w:val="000D6165"/>
    <w:rsid w:val="000D62C5"/>
    <w:rsid w:val="000D62D4"/>
    <w:rsid w:val="000D6413"/>
    <w:rsid w:val="000D6472"/>
    <w:rsid w:val="000D66ED"/>
    <w:rsid w:val="000D6904"/>
    <w:rsid w:val="000D6D77"/>
    <w:rsid w:val="000D6D7A"/>
    <w:rsid w:val="000D6DDE"/>
    <w:rsid w:val="000D6F12"/>
    <w:rsid w:val="000D7027"/>
    <w:rsid w:val="000D715E"/>
    <w:rsid w:val="000D7243"/>
    <w:rsid w:val="000D7338"/>
    <w:rsid w:val="000D7579"/>
    <w:rsid w:val="000D759B"/>
    <w:rsid w:val="000D7BB7"/>
    <w:rsid w:val="000D7CDB"/>
    <w:rsid w:val="000D7F1C"/>
    <w:rsid w:val="000E0008"/>
    <w:rsid w:val="000E0149"/>
    <w:rsid w:val="000E035C"/>
    <w:rsid w:val="000E0558"/>
    <w:rsid w:val="000E05E2"/>
    <w:rsid w:val="000E070D"/>
    <w:rsid w:val="000E07E8"/>
    <w:rsid w:val="000E0B17"/>
    <w:rsid w:val="000E0B5A"/>
    <w:rsid w:val="000E0B6E"/>
    <w:rsid w:val="000E0D19"/>
    <w:rsid w:val="000E0E47"/>
    <w:rsid w:val="000E0EB3"/>
    <w:rsid w:val="000E1058"/>
    <w:rsid w:val="000E1062"/>
    <w:rsid w:val="000E110C"/>
    <w:rsid w:val="000E11C9"/>
    <w:rsid w:val="000E1359"/>
    <w:rsid w:val="000E13DD"/>
    <w:rsid w:val="000E1688"/>
    <w:rsid w:val="000E16A1"/>
    <w:rsid w:val="000E19D3"/>
    <w:rsid w:val="000E19E0"/>
    <w:rsid w:val="000E1B49"/>
    <w:rsid w:val="000E1C50"/>
    <w:rsid w:val="000E1C94"/>
    <w:rsid w:val="000E1D97"/>
    <w:rsid w:val="000E1DB1"/>
    <w:rsid w:val="000E1E22"/>
    <w:rsid w:val="000E1E87"/>
    <w:rsid w:val="000E1F36"/>
    <w:rsid w:val="000E1FA2"/>
    <w:rsid w:val="000E204F"/>
    <w:rsid w:val="000E2173"/>
    <w:rsid w:val="000E223F"/>
    <w:rsid w:val="000E2371"/>
    <w:rsid w:val="000E24D5"/>
    <w:rsid w:val="000E2520"/>
    <w:rsid w:val="000E2795"/>
    <w:rsid w:val="000E2A4F"/>
    <w:rsid w:val="000E2A50"/>
    <w:rsid w:val="000E2A7D"/>
    <w:rsid w:val="000E2AB8"/>
    <w:rsid w:val="000E2AE0"/>
    <w:rsid w:val="000E2BB5"/>
    <w:rsid w:val="000E2BB6"/>
    <w:rsid w:val="000E2C73"/>
    <w:rsid w:val="000E2CDC"/>
    <w:rsid w:val="000E2D8A"/>
    <w:rsid w:val="000E2E41"/>
    <w:rsid w:val="000E2EC4"/>
    <w:rsid w:val="000E2F4A"/>
    <w:rsid w:val="000E302C"/>
    <w:rsid w:val="000E34BD"/>
    <w:rsid w:val="000E37BF"/>
    <w:rsid w:val="000E3A09"/>
    <w:rsid w:val="000E3A97"/>
    <w:rsid w:val="000E3AF9"/>
    <w:rsid w:val="000E3DB7"/>
    <w:rsid w:val="000E3EBD"/>
    <w:rsid w:val="000E4085"/>
    <w:rsid w:val="000E4203"/>
    <w:rsid w:val="000E4225"/>
    <w:rsid w:val="000E422A"/>
    <w:rsid w:val="000E43D1"/>
    <w:rsid w:val="000E43F4"/>
    <w:rsid w:val="000E44F5"/>
    <w:rsid w:val="000E4524"/>
    <w:rsid w:val="000E4855"/>
    <w:rsid w:val="000E486E"/>
    <w:rsid w:val="000E49C1"/>
    <w:rsid w:val="000E4B83"/>
    <w:rsid w:val="000E4EAC"/>
    <w:rsid w:val="000E4F64"/>
    <w:rsid w:val="000E4F7F"/>
    <w:rsid w:val="000E4F96"/>
    <w:rsid w:val="000E5039"/>
    <w:rsid w:val="000E52A1"/>
    <w:rsid w:val="000E53D9"/>
    <w:rsid w:val="000E54E9"/>
    <w:rsid w:val="000E5555"/>
    <w:rsid w:val="000E5669"/>
    <w:rsid w:val="000E56D5"/>
    <w:rsid w:val="000E5888"/>
    <w:rsid w:val="000E58B9"/>
    <w:rsid w:val="000E59DE"/>
    <w:rsid w:val="000E5A93"/>
    <w:rsid w:val="000E5B20"/>
    <w:rsid w:val="000E5B66"/>
    <w:rsid w:val="000E5DBD"/>
    <w:rsid w:val="000E5DFD"/>
    <w:rsid w:val="000E5E3A"/>
    <w:rsid w:val="000E5EE7"/>
    <w:rsid w:val="000E6048"/>
    <w:rsid w:val="000E620C"/>
    <w:rsid w:val="000E6264"/>
    <w:rsid w:val="000E62B2"/>
    <w:rsid w:val="000E6302"/>
    <w:rsid w:val="000E6368"/>
    <w:rsid w:val="000E637E"/>
    <w:rsid w:val="000E668C"/>
    <w:rsid w:val="000E6761"/>
    <w:rsid w:val="000E6828"/>
    <w:rsid w:val="000E6875"/>
    <w:rsid w:val="000E6A86"/>
    <w:rsid w:val="000E6B12"/>
    <w:rsid w:val="000E6CB4"/>
    <w:rsid w:val="000E6D99"/>
    <w:rsid w:val="000E6E11"/>
    <w:rsid w:val="000E6E77"/>
    <w:rsid w:val="000E6FC1"/>
    <w:rsid w:val="000E712B"/>
    <w:rsid w:val="000E74F6"/>
    <w:rsid w:val="000E756D"/>
    <w:rsid w:val="000E7708"/>
    <w:rsid w:val="000E789F"/>
    <w:rsid w:val="000E7A22"/>
    <w:rsid w:val="000E7CB1"/>
    <w:rsid w:val="000E7CE5"/>
    <w:rsid w:val="000E7D86"/>
    <w:rsid w:val="000E7DC8"/>
    <w:rsid w:val="000E7F22"/>
    <w:rsid w:val="000F0088"/>
    <w:rsid w:val="000F0186"/>
    <w:rsid w:val="000F0330"/>
    <w:rsid w:val="000F0461"/>
    <w:rsid w:val="000F05E7"/>
    <w:rsid w:val="000F0770"/>
    <w:rsid w:val="000F07F5"/>
    <w:rsid w:val="000F09CB"/>
    <w:rsid w:val="000F09FE"/>
    <w:rsid w:val="000F0A24"/>
    <w:rsid w:val="000F0AF6"/>
    <w:rsid w:val="000F0BE6"/>
    <w:rsid w:val="000F0BF8"/>
    <w:rsid w:val="000F0C5E"/>
    <w:rsid w:val="000F0EDE"/>
    <w:rsid w:val="000F0FAA"/>
    <w:rsid w:val="000F115C"/>
    <w:rsid w:val="000F11D2"/>
    <w:rsid w:val="000F1461"/>
    <w:rsid w:val="000F14BB"/>
    <w:rsid w:val="000F1680"/>
    <w:rsid w:val="000F17E5"/>
    <w:rsid w:val="000F1814"/>
    <w:rsid w:val="000F1836"/>
    <w:rsid w:val="000F1940"/>
    <w:rsid w:val="000F19E5"/>
    <w:rsid w:val="000F1BCD"/>
    <w:rsid w:val="000F1C6F"/>
    <w:rsid w:val="000F1DAD"/>
    <w:rsid w:val="000F1DF0"/>
    <w:rsid w:val="000F1E10"/>
    <w:rsid w:val="000F1E5A"/>
    <w:rsid w:val="000F1EC2"/>
    <w:rsid w:val="000F1F30"/>
    <w:rsid w:val="000F1F75"/>
    <w:rsid w:val="000F1F8C"/>
    <w:rsid w:val="000F1FFE"/>
    <w:rsid w:val="000F2079"/>
    <w:rsid w:val="000F216C"/>
    <w:rsid w:val="000F219C"/>
    <w:rsid w:val="000F2274"/>
    <w:rsid w:val="000F2363"/>
    <w:rsid w:val="000F2592"/>
    <w:rsid w:val="000F263E"/>
    <w:rsid w:val="000F2771"/>
    <w:rsid w:val="000F2A62"/>
    <w:rsid w:val="000F2A73"/>
    <w:rsid w:val="000F2AD3"/>
    <w:rsid w:val="000F2E3E"/>
    <w:rsid w:val="000F2EDE"/>
    <w:rsid w:val="000F2FEC"/>
    <w:rsid w:val="000F3072"/>
    <w:rsid w:val="000F30CA"/>
    <w:rsid w:val="000F3137"/>
    <w:rsid w:val="000F342A"/>
    <w:rsid w:val="000F3435"/>
    <w:rsid w:val="000F345F"/>
    <w:rsid w:val="000F3544"/>
    <w:rsid w:val="000F356D"/>
    <w:rsid w:val="000F3671"/>
    <w:rsid w:val="000F3876"/>
    <w:rsid w:val="000F3999"/>
    <w:rsid w:val="000F39CD"/>
    <w:rsid w:val="000F3A4F"/>
    <w:rsid w:val="000F3A8A"/>
    <w:rsid w:val="000F3BB1"/>
    <w:rsid w:val="000F3BF9"/>
    <w:rsid w:val="000F3C45"/>
    <w:rsid w:val="000F3CD6"/>
    <w:rsid w:val="000F3D68"/>
    <w:rsid w:val="000F3E7D"/>
    <w:rsid w:val="000F3EEB"/>
    <w:rsid w:val="000F4191"/>
    <w:rsid w:val="000F42E6"/>
    <w:rsid w:val="000F432C"/>
    <w:rsid w:val="000F439A"/>
    <w:rsid w:val="000F45A5"/>
    <w:rsid w:val="000F4651"/>
    <w:rsid w:val="000F4684"/>
    <w:rsid w:val="000F46DC"/>
    <w:rsid w:val="000F47EF"/>
    <w:rsid w:val="000F4A8E"/>
    <w:rsid w:val="000F4B4F"/>
    <w:rsid w:val="000F4B79"/>
    <w:rsid w:val="000F4BB9"/>
    <w:rsid w:val="000F4C4F"/>
    <w:rsid w:val="000F4CC6"/>
    <w:rsid w:val="000F4D12"/>
    <w:rsid w:val="000F4D1B"/>
    <w:rsid w:val="000F4D3C"/>
    <w:rsid w:val="000F4D60"/>
    <w:rsid w:val="000F4DE4"/>
    <w:rsid w:val="000F4E14"/>
    <w:rsid w:val="000F5120"/>
    <w:rsid w:val="000F5335"/>
    <w:rsid w:val="000F5679"/>
    <w:rsid w:val="000F576D"/>
    <w:rsid w:val="000F5990"/>
    <w:rsid w:val="000F5B3F"/>
    <w:rsid w:val="000F5EC1"/>
    <w:rsid w:val="000F5F4E"/>
    <w:rsid w:val="000F6118"/>
    <w:rsid w:val="000F6127"/>
    <w:rsid w:val="000F62A1"/>
    <w:rsid w:val="000F6308"/>
    <w:rsid w:val="000F644C"/>
    <w:rsid w:val="000F645C"/>
    <w:rsid w:val="000F6526"/>
    <w:rsid w:val="000F66B9"/>
    <w:rsid w:val="000F66F0"/>
    <w:rsid w:val="000F6807"/>
    <w:rsid w:val="000F690F"/>
    <w:rsid w:val="000F6B09"/>
    <w:rsid w:val="000F6B9F"/>
    <w:rsid w:val="000F6D8E"/>
    <w:rsid w:val="000F6F46"/>
    <w:rsid w:val="000F703C"/>
    <w:rsid w:val="000F719C"/>
    <w:rsid w:val="000F722A"/>
    <w:rsid w:val="000F7242"/>
    <w:rsid w:val="000F728E"/>
    <w:rsid w:val="000F72FF"/>
    <w:rsid w:val="000F73E0"/>
    <w:rsid w:val="000F743C"/>
    <w:rsid w:val="000F74D0"/>
    <w:rsid w:val="000F77C5"/>
    <w:rsid w:val="000F7A33"/>
    <w:rsid w:val="000F7BBB"/>
    <w:rsid w:val="000F7E91"/>
    <w:rsid w:val="00100060"/>
    <w:rsid w:val="00100068"/>
    <w:rsid w:val="0010057D"/>
    <w:rsid w:val="00100770"/>
    <w:rsid w:val="00100807"/>
    <w:rsid w:val="00100934"/>
    <w:rsid w:val="0010094E"/>
    <w:rsid w:val="00100985"/>
    <w:rsid w:val="00100AC1"/>
    <w:rsid w:val="00100B6B"/>
    <w:rsid w:val="00100C97"/>
    <w:rsid w:val="00100CE7"/>
    <w:rsid w:val="00100F94"/>
    <w:rsid w:val="0010133A"/>
    <w:rsid w:val="0010137E"/>
    <w:rsid w:val="00101390"/>
    <w:rsid w:val="001015F4"/>
    <w:rsid w:val="00101708"/>
    <w:rsid w:val="001017BE"/>
    <w:rsid w:val="001018B1"/>
    <w:rsid w:val="00101953"/>
    <w:rsid w:val="001019A9"/>
    <w:rsid w:val="001019BA"/>
    <w:rsid w:val="00101B1F"/>
    <w:rsid w:val="00101BA9"/>
    <w:rsid w:val="00101CD1"/>
    <w:rsid w:val="00101D8A"/>
    <w:rsid w:val="00101E9F"/>
    <w:rsid w:val="0010217B"/>
    <w:rsid w:val="0010218F"/>
    <w:rsid w:val="00102262"/>
    <w:rsid w:val="001022D0"/>
    <w:rsid w:val="0010231B"/>
    <w:rsid w:val="0010236E"/>
    <w:rsid w:val="001024AE"/>
    <w:rsid w:val="001024E0"/>
    <w:rsid w:val="001024F9"/>
    <w:rsid w:val="00102603"/>
    <w:rsid w:val="00102610"/>
    <w:rsid w:val="001027E7"/>
    <w:rsid w:val="001028C7"/>
    <w:rsid w:val="00102BC9"/>
    <w:rsid w:val="00102BDC"/>
    <w:rsid w:val="00102BE7"/>
    <w:rsid w:val="00102F98"/>
    <w:rsid w:val="00102FD3"/>
    <w:rsid w:val="001030A3"/>
    <w:rsid w:val="001030B7"/>
    <w:rsid w:val="001031A6"/>
    <w:rsid w:val="00103239"/>
    <w:rsid w:val="001033F2"/>
    <w:rsid w:val="00103564"/>
    <w:rsid w:val="001036C6"/>
    <w:rsid w:val="0010373D"/>
    <w:rsid w:val="0010388A"/>
    <w:rsid w:val="001039D3"/>
    <w:rsid w:val="00103B8D"/>
    <w:rsid w:val="00103D3F"/>
    <w:rsid w:val="00103EF7"/>
    <w:rsid w:val="00103F5A"/>
    <w:rsid w:val="00104081"/>
    <w:rsid w:val="00104241"/>
    <w:rsid w:val="001042AA"/>
    <w:rsid w:val="00104575"/>
    <w:rsid w:val="001045E6"/>
    <w:rsid w:val="00104664"/>
    <w:rsid w:val="001046D8"/>
    <w:rsid w:val="00104737"/>
    <w:rsid w:val="001049A1"/>
    <w:rsid w:val="00104A58"/>
    <w:rsid w:val="00104A7A"/>
    <w:rsid w:val="00104C0F"/>
    <w:rsid w:val="00104D14"/>
    <w:rsid w:val="00104E1D"/>
    <w:rsid w:val="00104E5A"/>
    <w:rsid w:val="00104F64"/>
    <w:rsid w:val="00104FD4"/>
    <w:rsid w:val="001052AB"/>
    <w:rsid w:val="0010532D"/>
    <w:rsid w:val="0010539B"/>
    <w:rsid w:val="001053DF"/>
    <w:rsid w:val="001053E3"/>
    <w:rsid w:val="00105417"/>
    <w:rsid w:val="001055D2"/>
    <w:rsid w:val="00105752"/>
    <w:rsid w:val="00105A38"/>
    <w:rsid w:val="00105AA1"/>
    <w:rsid w:val="00105C41"/>
    <w:rsid w:val="00105D66"/>
    <w:rsid w:val="00105DC3"/>
    <w:rsid w:val="00105E19"/>
    <w:rsid w:val="00105FC8"/>
    <w:rsid w:val="00106007"/>
    <w:rsid w:val="001061E0"/>
    <w:rsid w:val="001061ED"/>
    <w:rsid w:val="0010647D"/>
    <w:rsid w:val="0010659C"/>
    <w:rsid w:val="001066F6"/>
    <w:rsid w:val="001069B1"/>
    <w:rsid w:val="00106A68"/>
    <w:rsid w:val="00106C7A"/>
    <w:rsid w:val="00106D47"/>
    <w:rsid w:val="001070BF"/>
    <w:rsid w:val="00107124"/>
    <w:rsid w:val="0010715B"/>
    <w:rsid w:val="001071DB"/>
    <w:rsid w:val="001072B7"/>
    <w:rsid w:val="001073AC"/>
    <w:rsid w:val="00107B8C"/>
    <w:rsid w:val="00107BFE"/>
    <w:rsid w:val="00107D62"/>
    <w:rsid w:val="00107E09"/>
    <w:rsid w:val="00107E92"/>
    <w:rsid w:val="00107FB0"/>
    <w:rsid w:val="00110162"/>
    <w:rsid w:val="001105D0"/>
    <w:rsid w:val="00110738"/>
    <w:rsid w:val="00110D34"/>
    <w:rsid w:val="001111BC"/>
    <w:rsid w:val="00111252"/>
    <w:rsid w:val="00111421"/>
    <w:rsid w:val="0011161E"/>
    <w:rsid w:val="0011163D"/>
    <w:rsid w:val="001117C0"/>
    <w:rsid w:val="00111803"/>
    <w:rsid w:val="001119AE"/>
    <w:rsid w:val="00111E7C"/>
    <w:rsid w:val="00112021"/>
    <w:rsid w:val="001120E3"/>
    <w:rsid w:val="001120E9"/>
    <w:rsid w:val="00112182"/>
    <w:rsid w:val="00112281"/>
    <w:rsid w:val="0011229B"/>
    <w:rsid w:val="001122E8"/>
    <w:rsid w:val="00112347"/>
    <w:rsid w:val="00112378"/>
    <w:rsid w:val="00112386"/>
    <w:rsid w:val="00112415"/>
    <w:rsid w:val="0011244C"/>
    <w:rsid w:val="001124B4"/>
    <w:rsid w:val="001124B7"/>
    <w:rsid w:val="00112886"/>
    <w:rsid w:val="001128BE"/>
    <w:rsid w:val="00112A0F"/>
    <w:rsid w:val="00112A30"/>
    <w:rsid w:val="00112B1B"/>
    <w:rsid w:val="00112B5E"/>
    <w:rsid w:val="00112BCA"/>
    <w:rsid w:val="00112BFB"/>
    <w:rsid w:val="00112DB3"/>
    <w:rsid w:val="00112E07"/>
    <w:rsid w:val="0011311A"/>
    <w:rsid w:val="0011331B"/>
    <w:rsid w:val="00113348"/>
    <w:rsid w:val="00113374"/>
    <w:rsid w:val="001133A2"/>
    <w:rsid w:val="001134CE"/>
    <w:rsid w:val="001138E7"/>
    <w:rsid w:val="00113959"/>
    <w:rsid w:val="00113AE8"/>
    <w:rsid w:val="00113B13"/>
    <w:rsid w:val="00113B86"/>
    <w:rsid w:val="00113C02"/>
    <w:rsid w:val="00113C98"/>
    <w:rsid w:val="0011403C"/>
    <w:rsid w:val="001141A6"/>
    <w:rsid w:val="0011422E"/>
    <w:rsid w:val="00114359"/>
    <w:rsid w:val="001143A1"/>
    <w:rsid w:val="0011470C"/>
    <w:rsid w:val="0011489C"/>
    <w:rsid w:val="0011493E"/>
    <w:rsid w:val="00114969"/>
    <w:rsid w:val="001149BE"/>
    <w:rsid w:val="001149FC"/>
    <w:rsid w:val="00114B68"/>
    <w:rsid w:val="00114C4B"/>
    <w:rsid w:val="00114C87"/>
    <w:rsid w:val="00114E4F"/>
    <w:rsid w:val="00114F7B"/>
    <w:rsid w:val="00115048"/>
    <w:rsid w:val="00115073"/>
    <w:rsid w:val="00115165"/>
    <w:rsid w:val="001153E2"/>
    <w:rsid w:val="00115429"/>
    <w:rsid w:val="00115503"/>
    <w:rsid w:val="00115552"/>
    <w:rsid w:val="001158EA"/>
    <w:rsid w:val="001161F7"/>
    <w:rsid w:val="001162F4"/>
    <w:rsid w:val="001163F4"/>
    <w:rsid w:val="00116471"/>
    <w:rsid w:val="00116516"/>
    <w:rsid w:val="00116584"/>
    <w:rsid w:val="001165C3"/>
    <w:rsid w:val="00116683"/>
    <w:rsid w:val="00116A31"/>
    <w:rsid w:val="00116A6B"/>
    <w:rsid w:val="00116AA4"/>
    <w:rsid w:val="00116BB3"/>
    <w:rsid w:val="00116CB7"/>
    <w:rsid w:val="00117342"/>
    <w:rsid w:val="001174D2"/>
    <w:rsid w:val="00117627"/>
    <w:rsid w:val="001177DF"/>
    <w:rsid w:val="0011796F"/>
    <w:rsid w:val="00117D68"/>
    <w:rsid w:val="00117EA1"/>
    <w:rsid w:val="00117F7B"/>
    <w:rsid w:val="00117FFB"/>
    <w:rsid w:val="00120185"/>
    <w:rsid w:val="001201CA"/>
    <w:rsid w:val="001201F1"/>
    <w:rsid w:val="001202A0"/>
    <w:rsid w:val="00120300"/>
    <w:rsid w:val="0012035A"/>
    <w:rsid w:val="001203BA"/>
    <w:rsid w:val="001203C5"/>
    <w:rsid w:val="001204D5"/>
    <w:rsid w:val="00120638"/>
    <w:rsid w:val="001208F3"/>
    <w:rsid w:val="00120AFD"/>
    <w:rsid w:val="00120BCA"/>
    <w:rsid w:val="00120C92"/>
    <w:rsid w:val="00120E4E"/>
    <w:rsid w:val="00120FA9"/>
    <w:rsid w:val="00121011"/>
    <w:rsid w:val="0012104C"/>
    <w:rsid w:val="00121082"/>
    <w:rsid w:val="00121118"/>
    <w:rsid w:val="00121862"/>
    <w:rsid w:val="0012188C"/>
    <w:rsid w:val="00121896"/>
    <w:rsid w:val="00121AEF"/>
    <w:rsid w:val="00121B9A"/>
    <w:rsid w:val="00121E31"/>
    <w:rsid w:val="00121E60"/>
    <w:rsid w:val="0012200B"/>
    <w:rsid w:val="00122104"/>
    <w:rsid w:val="00122313"/>
    <w:rsid w:val="001223FF"/>
    <w:rsid w:val="001227D7"/>
    <w:rsid w:val="00122878"/>
    <w:rsid w:val="001228EB"/>
    <w:rsid w:val="001228F4"/>
    <w:rsid w:val="00122D61"/>
    <w:rsid w:val="00122F9B"/>
    <w:rsid w:val="001231DC"/>
    <w:rsid w:val="001237A5"/>
    <w:rsid w:val="001237B0"/>
    <w:rsid w:val="001237E9"/>
    <w:rsid w:val="001239CA"/>
    <w:rsid w:val="00123BE7"/>
    <w:rsid w:val="00123C53"/>
    <w:rsid w:val="0012406E"/>
    <w:rsid w:val="001241FF"/>
    <w:rsid w:val="001243F2"/>
    <w:rsid w:val="00124825"/>
    <w:rsid w:val="001248A6"/>
    <w:rsid w:val="00124ACD"/>
    <w:rsid w:val="00124AF5"/>
    <w:rsid w:val="00124CA0"/>
    <w:rsid w:val="00124DD6"/>
    <w:rsid w:val="00124F92"/>
    <w:rsid w:val="001250C4"/>
    <w:rsid w:val="0012510A"/>
    <w:rsid w:val="001251C6"/>
    <w:rsid w:val="001251F6"/>
    <w:rsid w:val="001251F7"/>
    <w:rsid w:val="00125200"/>
    <w:rsid w:val="0012522F"/>
    <w:rsid w:val="0012551C"/>
    <w:rsid w:val="0012551E"/>
    <w:rsid w:val="00125528"/>
    <w:rsid w:val="00125AAF"/>
    <w:rsid w:val="00125B40"/>
    <w:rsid w:val="00125B58"/>
    <w:rsid w:val="00125BFD"/>
    <w:rsid w:val="00125C57"/>
    <w:rsid w:val="00125C86"/>
    <w:rsid w:val="00125CA8"/>
    <w:rsid w:val="00125D3E"/>
    <w:rsid w:val="00125EF9"/>
    <w:rsid w:val="00125F37"/>
    <w:rsid w:val="00126383"/>
    <w:rsid w:val="00126574"/>
    <w:rsid w:val="0012674E"/>
    <w:rsid w:val="00126784"/>
    <w:rsid w:val="001269CE"/>
    <w:rsid w:val="001269F8"/>
    <w:rsid w:val="00126CB1"/>
    <w:rsid w:val="00127031"/>
    <w:rsid w:val="00127181"/>
    <w:rsid w:val="0012725E"/>
    <w:rsid w:val="0012730F"/>
    <w:rsid w:val="0012749A"/>
    <w:rsid w:val="001274DD"/>
    <w:rsid w:val="0012759E"/>
    <w:rsid w:val="0012763E"/>
    <w:rsid w:val="001278AE"/>
    <w:rsid w:val="001278E7"/>
    <w:rsid w:val="001278FC"/>
    <w:rsid w:val="001279B9"/>
    <w:rsid w:val="00127AFB"/>
    <w:rsid w:val="00127B9B"/>
    <w:rsid w:val="00127E87"/>
    <w:rsid w:val="00127F10"/>
    <w:rsid w:val="00127F66"/>
    <w:rsid w:val="00127FAC"/>
    <w:rsid w:val="0013000A"/>
    <w:rsid w:val="001300A0"/>
    <w:rsid w:val="001300AE"/>
    <w:rsid w:val="00130276"/>
    <w:rsid w:val="001304C4"/>
    <w:rsid w:val="001305F5"/>
    <w:rsid w:val="001307F5"/>
    <w:rsid w:val="00130BDF"/>
    <w:rsid w:val="00130BE1"/>
    <w:rsid w:val="00130C1A"/>
    <w:rsid w:val="00130C66"/>
    <w:rsid w:val="0013108A"/>
    <w:rsid w:val="00131246"/>
    <w:rsid w:val="00131678"/>
    <w:rsid w:val="001316CD"/>
    <w:rsid w:val="0013187A"/>
    <w:rsid w:val="001318EA"/>
    <w:rsid w:val="00131963"/>
    <w:rsid w:val="00131CAF"/>
    <w:rsid w:val="00131D0A"/>
    <w:rsid w:val="00131DB0"/>
    <w:rsid w:val="00131DCA"/>
    <w:rsid w:val="00131EF2"/>
    <w:rsid w:val="00132080"/>
    <w:rsid w:val="0013208C"/>
    <w:rsid w:val="0013234F"/>
    <w:rsid w:val="00132369"/>
    <w:rsid w:val="001323BE"/>
    <w:rsid w:val="00132408"/>
    <w:rsid w:val="00132449"/>
    <w:rsid w:val="001326DE"/>
    <w:rsid w:val="001328BE"/>
    <w:rsid w:val="001329CA"/>
    <w:rsid w:val="00132A4A"/>
    <w:rsid w:val="00132BF7"/>
    <w:rsid w:val="00132E95"/>
    <w:rsid w:val="00132FE6"/>
    <w:rsid w:val="00133050"/>
    <w:rsid w:val="0013330D"/>
    <w:rsid w:val="0013335B"/>
    <w:rsid w:val="0013352F"/>
    <w:rsid w:val="001335E8"/>
    <w:rsid w:val="001336DD"/>
    <w:rsid w:val="001338C9"/>
    <w:rsid w:val="00133ADF"/>
    <w:rsid w:val="00133C5B"/>
    <w:rsid w:val="00133CDF"/>
    <w:rsid w:val="00133D57"/>
    <w:rsid w:val="00133D6F"/>
    <w:rsid w:val="00133E1F"/>
    <w:rsid w:val="0013416D"/>
    <w:rsid w:val="001341B8"/>
    <w:rsid w:val="001342FA"/>
    <w:rsid w:val="00134356"/>
    <w:rsid w:val="00134563"/>
    <w:rsid w:val="00134645"/>
    <w:rsid w:val="001346C7"/>
    <w:rsid w:val="00134768"/>
    <w:rsid w:val="001348DF"/>
    <w:rsid w:val="00134C80"/>
    <w:rsid w:val="00134D4F"/>
    <w:rsid w:val="00134DD0"/>
    <w:rsid w:val="0013507D"/>
    <w:rsid w:val="00135787"/>
    <w:rsid w:val="001359C2"/>
    <w:rsid w:val="00135A73"/>
    <w:rsid w:val="00135BBA"/>
    <w:rsid w:val="00135D24"/>
    <w:rsid w:val="00135D3C"/>
    <w:rsid w:val="00135D6C"/>
    <w:rsid w:val="00135DBF"/>
    <w:rsid w:val="001360CD"/>
    <w:rsid w:val="001367F9"/>
    <w:rsid w:val="00136884"/>
    <w:rsid w:val="001369CF"/>
    <w:rsid w:val="00136A80"/>
    <w:rsid w:val="00136BC2"/>
    <w:rsid w:val="00136CF6"/>
    <w:rsid w:val="00136D1A"/>
    <w:rsid w:val="00136D47"/>
    <w:rsid w:val="00136F83"/>
    <w:rsid w:val="00137373"/>
    <w:rsid w:val="00137614"/>
    <w:rsid w:val="001376D8"/>
    <w:rsid w:val="00137707"/>
    <w:rsid w:val="001378BF"/>
    <w:rsid w:val="001378C1"/>
    <w:rsid w:val="0013799D"/>
    <w:rsid w:val="001379A5"/>
    <w:rsid w:val="001379F8"/>
    <w:rsid w:val="00137A55"/>
    <w:rsid w:val="00137B20"/>
    <w:rsid w:val="00137BB7"/>
    <w:rsid w:val="00137D4B"/>
    <w:rsid w:val="00137DDD"/>
    <w:rsid w:val="001400D3"/>
    <w:rsid w:val="001401E9"/>
    <w:rsid w:val="001406C8"/>
    <w:rsid w:val="0014075D"/>
    <w:rsid w:val="0014080E"/>
    <w:rsid w:val="00140821"/>
    <w:rsid w:val="00140890"/>
    <w:rsid w:val="001408EB"/>
    <w:rsid w:val="0014099F"/>
    <w:rsid w:val="001409A1"/>
    <w:rsid w:val="00140A2C"/>
    <w:rsid w:val="00140AD3"/>
    <w:rsid w:val="00140C3E"/>
    <w:rsid w:val="00140D60"/>
    <w:rsid w:val="00140DE4"/>
    <w:rsid w:val="00140ED7"/>
    <w:rsid w:val="001410D0"/>
    <w:rsid w:val="001411B1"/>
    <w:rsid w:val="0014134E"/>
    <w:rsid w:val="001413E2"/>
    <w:rsid w:val="00141764"/>
    <w:rsid w:val="0014185B"/>
    <w:rsid w:val="00141F9F"/>
    <w:rsid w:val="00141FC2"/>
    <w:rsid w:val="001424E5"/>
    <w:rsid w:val="001425E4"/>
    <w:rsid w:val="0014268C"/>
    <w:rsid w:val="00142953"/>
    <w:rsid w:val="00142A95"/>
    <w:rsid w:val="00142C95"/>
    <w:rsid w:val="00142E2B"/>
    <w:rsid w:val="00142EFA"/>
    <w:rsid w:val="001431AE"/>
    <w:rsid w:val="0014324A"/>
    <w:rsid w:val="00143297"/>
    <w:rsid w:val="001437AE"/>
    <w:rsid w:val="00143CBD"/>
    <w:rsid w:val="00143CCE"/>
    <w:rsid w:val="00143D51"/>
    <w:rsid w:val="00143D90"/>
    <w:rsid w:val="00143DB5"/>
    <w:rsid w:val="0014437A"/>
    <w:rsid w:val="00144436"/>
    <w:rsid w:val="001445BE"/>
    <w:rsid w:val="00144663"/>
    <w:rsid w:val="001446FE"/>
    <w:rsid w:val="00144979"/>
    <w:rsid w:val="00144A94"/>
    <w:rsid w:val="00144B1B"/>
    <w:rsid w:val="00144CB1"/>
    <w:rsid w:val="00144CF4"/>
    <w:rsid w:val="00144D56"/>
    <w:rsid w:val="00144D69"/>
    <w:rsid w:val="00144DB5"/>
    <w:rsid w:val="00145091"/>
    <w:rsid w:val="001450F2"/>
    <w:rsid w:val="00145194"/>
    <w:rsid w:val="00145210"/>
    <w:rsid w:val="0014530D"/>
    <w:rsid w:val="0014536C"/>
    <w:rsid w:val="001453D4"/>
    <w:rsid w:val="00145524"/>
    <w:rsid w:val="00145574"/>
    <w:rsid w:val="001455E0"/>
    <w:rsid w:val="00145697"/>
    <w:rsid w:val="0014598D"/>
    <w:rsid w:val="00145AC5"/>
    <w:rsid w:val="00145CB8"/>
    <w:rsid w:val="00145D17"/>
    <w:rsid w:val="00145E60"/>
    <w:rsid w:val="00145E7E"/>
    <w:rsid w:val="00145F1B"/>
    <w:rsid w:val="00145FB2"/>
    <w:rsid w:val="0014611B"/>
    <w:rsid w:val="001463BF"/>
    <w:rsid w:val="001464AB"/>
    <w:rsid w:val="0014658F"/>
    <w:rsid w:val="001467A5"/>
    <w:rsid w:val="001467C0"/>
    <w:rsid w:val="001468F0"/>
    <w:rsid w:val="00146B02"/>
    <w:rsid w:val="00146C5F"/>
    <w:rsid w:val="00146D94"/>
    <w:rsid w:val="001470DC"/>
    <w:rsid w:val="00147281"/>
    <w:rsid w:val="001474C1"/>
    <w:rsid w:val="00147622"/>
    <w:rsid w:val="00147691"/>
    <w:rsid w:val="0014778E"/>
    <w:rsid w:val="001477E4"/>
    <w:rsid w:val="0014795C"/>
    <w:rsid w:val="001479ED"/>
    <w:rsid w:val="00147B86"/>
    <w:rsid w:val="00147F45"/>
    <w:rsid w:val="00150124"/>
    <w:rsid w:val="0015017B"/>
    <w:rsid w:val="00150206"/>
    <w:rsid w:val="001505A9"/>
    <w:rsid w:val="0015064E"/>
    <w:rsid w:val="001507D1"/>
    <w:rsid w:val="00150BFA"/>
    <w:rsid w:val="0015115D"/>
    <w:rsid w:val="00151363"/>
    <w:rsid w:val="001513AB"/>
    <w:rsid w:val="00151568"/>
    <w:rsid w:val="00151757"/>
    <w:rsid w:val="001518D5"/>
    <w:rsid w:val="001519D6"/>
    <w:rsid w:val="00151B13"/>
    <w:rsid w:val="00151FA0"/>
    <w:rsid w:val="001520CF"/>
    <w:rsid w:val="0015216F"/>
    <w:rsid w:val="001521FE"/>
    <w:rsid w:val="001522D4"/>
    <w:rsid w:val="0015240A"/>
    <w:rsid w:val="001524A1"/>
    <w:rsid w:val="001526D9"/>
    <w:rsid w:val="001526FD"/>
    <w:rsid w:val="001528BA"/>
    <w:rsid w:val="00152A51"/>
    <w:rsid w:val="00152B3C"/>
    <w:rsid w:val="00152ED4"/>
    <w:rsid w:val="001531E0"/>
    <w:rsid w:val="0015322C"/>
    <w:rsid w:val="001535FA"/>
    <w:rsid w:val="0015368C"/>
    <w:rsid w:val="00153AEB"/>
    <w:rsid w:val="00153CCB"/>
    <w:rsid w:val="00153CF4"/>
    <w:rsid w:val="00153CF5"/>
    <w:rsid w:val="00153D84"/>
    <w:rsid w:val="00153DBB"/>
    <w:rsid w:val="00153FBD"/>
    <w:rsid w:val="0015423D"/>
    <w:rsid w:val="001542A6"/>
    <w:rsid w:val="00154325"/>
    <w:rsid w:val="001543AD"/>
    <w:rsid w:val="0015449C"/>
    <w:rsid w:val="001544F3"/>
    <w:rsid w:val="00154584"/>
    <w:rsid w:val="00154626"/>
    <w:rsid w:val="00154705"/>
    <w:rsid w:val="00154725"/>
    <w:rsid w:val="0015484A"/>
    <w:rsid w:val="001548B5"/>
    <w:rsid w:val="001548BB"/>
    <w:rsid w:val="001548EC"/>
    <w:rsid w:val="00154B80"/>
    <w:rsid w:val="00154BC0"/>
    <w:rsid w:val="00154C16"/>
    <w:rsid w:val="00154C5A"/>
    <w:rsid w:val="00154C5C"/>
    <w:rsid w:val="00154C68"/>
    <w:rsid w:val="00154C88"/>
    <w:rsid w:val="00154CC7"/>
    <w:rsid w:val="00154CD5"/>
    <w:rsid w:val="00154D0C"/>
    <w:rsid w:val="00154DAD"/>
    <w:rsid w:val="00154FF0"/>
    <w:rsid w:val="00155034"/>
    <w:rsid w:val="001550D4"/>
    <w:rsid w:val="00155590"/>
    <w:rsid w:val="00155766"/>
    <w:rsid w:val="00155768"/>
    <w:rsid w:val="0015576F"/>
    <w:rsid w:val="001557BD"/>
    <w:rsid w:val="0015580D"/>
    <w:rsid w:val="001558D3"/>
    <w:rsid w:val="00155938"/>
    <w:rsid w:val="0015595E"/>
    <w:rsid w:val="00155987"/>
    <w:rsid w:val="00155A53"/>
    <w:rsid w:val="00155BED"/>
    <w:rsid w:val="00155C0F"/>
    <w:rsid w:val="00155C7C"/>
    <w:rsid w:val="00155D6F"/>
    <w:rsid w:val="00155EC0"/>
    <w:rsid w:val="00155F2C"/>
    <w:rsid w:val="00155F4B"/>
    <w:rsid w:val="00155F81"/>
    <w:rsid w:val="00155FDF"/>
    <w:rsid w:val="001560CD"/>
    <w:rsid w:val="00156153"/>
    <w:rsid w:val="001561AB"/>
    <w:rsid w:val="00156285"/>
    <w:rsid w:val="0015653B"/>
    <w:rsid w:val="0015653C"/>
    <w:rsid w:val="001565FE"/>
    <w:rsid w:val="0015695F"/>
    <w:rsid w:val="00156B7E"/>
    <w:rsid w:val="00156C3D"/>
    <w:rsid w:val="00156CB2"/>
    <w:rsid w:val="00156D90"/>
    <w:rsid w:val="00156E1C"/>
    <w:rsid w:val="00156F0B"/>
    <w:rsid w:val="00156FE8"/>
    <w:rsid w:val="0015701A"/>
    <w:rsid w:val="001571AC"/>
    <w:rsid w:val="001571FE"/>
    <w:rsid w:val="00157205"/>
    <w:rsid w:val="001572BE"/>
    <w:rsid w:val="00157302"/>
    <w:rsid w:val="00157543"/>
    <w:rsid w:val="0015762D"/>
    <w:rsid w:val="00157978"/>
    <w:rsid w:val="00157C9D"/>
    <w:rsid w:val="00157D0B"/>
    <w:rsid w:val="00157D28"/>
    <w:rsid w:val="00157D5E"/>
    <w:rsid w:val="00157FAD"/>
    <w:rsid w:val="0016015E"/>
    <w:rsid w:val="00160334"/>
    <w:rsid w:val="0016040F"/>
    <w:rsid w:val="001606A9"/>
    <w:rsid w:val="0016079C"/>
    <w:rsid w:val="0016081A"/>
    <w:rsid w:val="00160826"/>
    <w:rsid w:val="00160874"/>
    <w:rsid w:val="00160973"/>
    <w:rsid w:val="00160987"/>
    <w:rsid w:val="00160C50"/>
    <w:rsid w:val="00160E1B"/>
    <w:rsid w:val="00160E2E"/>
    <w:rsid w:val="00160E49"/>
    <w:rsid w:val="00160F62"/>
    <w:rsid w:val="00160FD2"/>
    <w:rsid w:val="0016111C"/>
    <w:rsid w:val="00161157"/>
    <w:rsid w:val="001611B0"/>
    <w:rsid w:val="001614B0"/>
    <w:rsid w:val="0016170D"/>
    <w:rsid w:val="0016188F"/>
    <w:rsid w:val="00161969"/>
    <w:rsid w:val="0016196E"/>
    <w:rsid w:val="001619B7"/>
    <w:rsid w:val="00161A13"/>
    <w:rsid w:val="00161A2B"/>
    <w:rsid w:val="00161AA9"/>
    <w:rsid w:val="00161D25"/>
    <w:rsid w:val="00161E05"/>
    <w:rsid w:val="00161F5E"/>
    <w:rsid w:val="00161F89"/>
    <w:rsid w:val="00162181"/>
    <w:rsid w:val="00162190"/>
    <w:rsid w:val="001622D2"/>
    <w:rsid w:val="00162457"/>
    <w:rsid w:val="00162592"/>
    <w:rsid w:val="00162694"/>
    <w:rsid w:val="001629CF"/>
    <w:rsid w:val="00162B91"/>
    <w:rsid w:val="00162CA8"/>
    <w:rsid w:val="00162F53"/>
    <w:rsid w:val="00163293"/>
    <w:rsid w:val="001633DA"/>
    <w:rsid w:val="00163670"/>
    <w:rsid w:val="00163685"/>
    <w:rsid w:val="001636A8"/>
    <w:rsid w:val="0016379C"/>
    <w:rsid w:val="001639BA"/>
    <w:rsid w:val="00163AA5"/>
    <w:rsid w:val="00163C0A"/>
    <w:rsid w:val="00164010"/>
    <w:rsid w:val="001640BC"/>
    <w:rsid w:val="00164263"/>
    <w:rsid w:val="0016467B"/>
    <w:rsid w:val="001647DB"/>
    <w:rsid w:val="00164885"/>
    <w:rsid w:val="0016492E"/>
    <w:rsid w:val="00164B2E"/>
    <w:rsid w:val="00164C12"/>
    <w:rsid w:val="00164CCF"/>
    <w:rsid w:val="00164F48"/>
    <w:rsid w:val="00164FB3"/>
    <w:rsid w:val="0016506B"/>
    <w:rsid w:val="0016518B"/>
    <w:rsid w:val="00165515"/>
    <w:rsid w:val="0016551E"/>
    <w:rsid w:val="001657D3"/>
    <w:rsid w:val="0016580B"/>
    <w:rsid w:val="00165829"/>
    <w:rsid w:val="0016584F"/>
    <w:rsid w:val="001659D6"/>
    <w:rsid w:val="00165A2A"/>
    <w:rsid w:val="00165A97"/>
    <w:rsid w:val="00165D7C"/>
    <w:rsid w:val="00165E3A"/>
    <w:rsid w:val="00165F32"/>
    <w:rsid w:val="00165FA4"/>
    <w:rsid w:val="0016606C"/>
    <w:rsid w:val="0016625D"/>
    <w:rsid w:val="0016652B"/>
    <w:rsid w:val="00166656"/>
    <w:rsid w:val="00166932"/>
    <w:rsid w:val="0016699C"/>
    <w:rsid w:val="00166A91"/>
    <w:rsid w:val="00166B2F"/>
    <w:rsid w:val="00166B61"/>
    <w:rsid w:val="00166BB3"/>
    <w:rsid w:val="00166C42"/>
    <w:rsid w:val="00166CEC"/>
    <w:rsid w:val="00166F49"/>
    <w:rsid w:val="00166F70"/>
    <w:rsid w:val="0016718A"/>
    <w:rsid w:val="0016740C"/>
    <w:rsid w:val="0016750A"/>
    <w:rsid w:val="00167592"/>
    <w:rsid w:val="0016787C"/>
    <w:rsid w:val="00167907"/>
    <w:rsid w:val="0016792B"/>
    <w:rsid w:val="00167E33"/>
    <w:rsid w:val="00167F18"/>
    <w:rsid w:val="00167F93"/>
    <w:rsid w:val="00167FC0"/>
    <w:rsid w:val="001700A0"/>
    <w:rsid w:val="00170446"/>
    <w:rsid w:val="001705CA"/>
    <w:rsid w:val="00170602"/>
    <w:rsid w:val="001707A1"/>
    <w:rsid w:val="00170A59"/>
    <w:rsid w:val="00170ABF"/>
    <w:rsid w:val="00170AD4"/>
    <w:rsid w:val="00170CED"/>
    <w:rsid w:val="00170EA2"/>
    <w:rsid w:val="00170EEB"/>
    <w:rsid w:val="00170F58"/>
    <w:rsid w:val="00171196"/>
    <w:rsid w:val="00171832"/>
    <w:rsid w:val="0017186B"/>
    <w:rsid w:val="00171881"/>
    <w:rsid w:val="001718FF"/>
    <w:rsid w:val="00171910"/>
    <w:rsid w:val="00171A59"/>
    <w:rsid w:val="00171A5D"/>
    <w:rsid w:val="00171AB9"/>
    <w:rsid w:val="00171B7B"/>
    <w:rsid w:val="001720B8"/>
    <w:rsid w:val="001721A2"/>
    <w:rsid w:val="001723D9"/>
    <w:rsid w:val="0017278E"/>
    <w:rsid w:val="001729A7"/>
    <w:rsid w:val="00172B4F"/>
    <w:rsid w:val="00172C5E"/>
    <w:rsid w:val="00172E67"/>
    <w:rsid w:val="00172F23"/>
    <w:rsid w:val="0017303F"/>
    <w:rsid w:val="001730B6"/>
    <w:rsid w:val="0017311F"/>
    <w:rsid w:val="001732C6"/>
    <w:rsid w:val="0017334D"/>
    <w:rsid w:val="001735B4"/>
    <w:rsid w:val="001737B2"/>
    <w:rsid w:val="001737D8"/>
    <w:rsid w:val="001737F0"/>
    <w:rsid w:val="001739BC"/>
    <w:rsid w:val="00173F63"/>
    <w:rsid w:val="00173FB1"/>
    <w:rsid w:val="00173FE2"/>
    <w:rsid w:val="001740BC"/>
    <w:rsid w:val="00174354"/>
    <w:rsid w:val="00174396"/>
    <w:rsid w:val="0017453A"/>
    <w:rsid w:val="00174647"/>
    <w:rsid w:val="0017484F"/>
    <w:rsid w:val="00174970"/>
    <w:rsid w:val="001749D2"/>
    <w:rsid w:val="00174AB1"/>
    <w:rsid w:val="00174B39"/>
    <w:rsid w:val="00174C3A"/>
    <w:rsid w:val="00174DD6"/>
    <w:rsid w:val="0017502C"/>
    <w:rsid w:val="001750D7"/>
    <w:rsid w:val="001751B7"/>
    <w:rsid w:val="00175342"/>
    <w:rsid w:val="001754AD"/>
    <w:rsid w:val="00175563"/>
    <w:rsid w:val="00175720"/>
    <w:rsid w:val="00175845"/>
    <w:rsid w:val="00175C31"/>
    <w:rsid w:val="00176025"/>
    <w:rsid w:val="001761CA"/>
    <w:rsid w:val="00176263"/>
    <w:rsid w:val="00176268"/>
    <w:rsid w:val="00176406"/>
    <w:rsid w:val="0017645A"/>
    <w:rsid w:val="00176558"/>
    <w:rsid w:val="00176786"/>
    <w:rsid w:val="001767DD"/>
    <w:rsid w:val="00176A50"/>
    <w:rsid w:val="00176B1F"/>
    <w:rsid w:val="00176C63"/>
    <w:rsid w:val="00176C74"/>
    <w:rsid w:val="00176D28"/>
    <w:rsid w:val="00176D7C"/>
    <w:rsid w:val="00176DB4"/>
    <w:rsid w:val="00177394"/>
    <w:rsid w:val="0017739C"/>
    <w:rsid w:val="00177528"/>
    <w:rsid w:val="00177565"/>
    <w:rsid w:val="00177567"/>
    <w:rsid w:val="001775A6"/>
    <w:rsid w:val="00177780"/>
    <w:rsid w:val="00177882"/>
    <w:rsid w:val="00177AE2"/>
    <w:rsid w:val="00177B3E"/>
    <w:rsid w:val="00177CDD"/>
    <w:rsid w:val="00177D7A"/>
    <w:rsid w:val="00177D8A"/>
    <w:rsid w:val="00177DD7"/>
    <w:rsid w:val="00177FB2"/>
    <w:rsid w:val="00177FC1"/>
    <w:rsid w:val="001802F9"/>
    <w:rsid w:val="0018030E"/>
    <w:rsid w:val="001803AF"/>
    <w:rsid w:val="00180489"/>
    <w:rsid w:val="00180747"/>
    <w:rsid w:val="00180756"/>
    <w:rsid w:val="00180AED"/>
    <w:rsid w:val="00180B30"/>
    <w:rsid w:val="00180BBF"/>
    <w:rsid w:val="00180EDB"/>
    <w:rsid w:val="00181133"/>
    <w:rsid w:val="0018115F"/>
    <w:rsid w:val="001812D1"/>
    <w:rsid w:val="001812D4"/>
    <w:rsid w:val="001812E1"/>
    <w:rsid w:val="001812FA"/>
    <w:rsid w:val="0018130F"/>
    <w:rsid w:val="00181551"/>
    <w:rsid w:val="001815CC"/>
    <w:rsid w:val="00181634"/>
    <w:rsid w:val="0018183C"/>
    <w:rsid w:val="001819AD"/>
    <w:rsid w:val="00181A15"/>
    <w:rsid w:val="00181A58"/>
    <w:rsid w:val="00181B69"/>
    <w:rsid w:val="00181D5D"/>
    <w:rsid w:val="00181D71"/>
    <w:rsid w:val="00181F83"/>
    <w:rsid w:val="00181F96"/>
    <w:rsid w:val="001820C1"/>
    <w:rsid w:val="001821AD"/>
    <w:rsid w:val="00182249"/>
    <w:rsid w:val="0018243A"/>
    <w:rsid w:val="001826AC"/>
    <w:rsid w:val="0018278A"/>
    <w:rsid w:val="0018285E"/>
    <w:rsid w:val="00182A97"/>
    <w:rsid w:val="00182AFD"/>
    <w:rsid w:val="00182BFE"/>
    <w:rsid w:val="00182C66"/>
    <w:rsid w:val="00182F5E"/>
    <w:rsid w:val="0018302F"/>
    <w:rsid w:val="0018304E"/>
    <w:rsid w:val="00183125"/>
    <w:rsid w:val="001833AC"/>
    <w:rsid w:val="001835AB"/>
    <w:rsid w:val="00183616"/>
    <w:rsid w:val="0018375E"/>
    <w:rsid w:val="001838BE"/>
    <w:rsid w:val="001839FC"/>
    <w:rsid w:val="00183A9C"/>
    <w:rsid w:val="00183AF3"/>
    <w:rsid w:val="00183BE3"/>
    <w:rsid w:val="00183C3B"/>
    <w:rsid w:val="00183F51"/>
    <w:rsid w:val="00183FB2"/>
    <w:rsid w:val="00184024"/>
    <w:rsid w:val="0018413D"/>
    <w:rsid w:val="00184256"/>
    <w:rsid w:val="001842E7"/>
    <w:rsid w:val="00184359"/>
    <w:rsid w:val="001843B1"/>
    <w:rsid w:val="0018445B"/>
    <w:rsid w:val="001844E5"/>
    <w:rsid w:val="00184540"/>
    <w:rsid w:val="00184624"/>
    <w:rsid w:val="00184A20"/>
    <w:rsid w:val="00184D32"/>
    <w:rsid w:val="00184E24"/>
    <w:rsid w:val="00184FB6"/>
    <w:rsid w:val="00185095"/>
    <w:rsid w:val="00185131"/>
    <w:rsid w:val="00185365"/>
    <w:rsid w:val="001853A4"/>
    <w:rsid w:val="00185544"/>
    <w:rsid w:val="00185793"/>
    <w:rsid w:val="00185A7A"/>
    <w:rsid w:val="00185EAB"/>
    <w:rsid w:val="00185EAF"/>
    <w:rsid w:val="00185F0C"/>
    <w:rsid w:val="00185F54"/>
    <w:rsid w:val="0018609F"/>
    <w:rsid w:val="00186216"/>
    <w:rsid w:val="001862BA"/>
    <w:rsid w:val="00186370"/>
    <w:rsid w:val="001863B2"/>
    <w:rsid w:val="001867C3"/>
    <w:rsid w:val="00186893"/>
    <w:rsid w:val="00186997"/>
    <w:rsid w:val="001869AC"/>
    <w:rsid w:val="001869AF"/>
    <w:rsid w:val="001869FE"/>
    <w:rsid w:val="00186A4F"/>
    <w:rsid w:val="00186B06"/>
    <w:rsid w:val="00186C0B"/>
    <w:rsid w:val="00186E6A"/>
    <w:rsid w:val="00186F19"/>
    <w:rsid w:val="00186F84"/>
    <w:rsid w:val="00186F96"/>
    <w:rsid w:val="00186FBC"/>
    <w:rsid w:val="00187006"/>
    <w:rsid w:val="00187078"/>
    <w:rsid w:val="001870D9"/>
    <w:rsid w:val="0018718D"/>
    <w:rsid w:val="0018724F"/>
    <w:rsid w:val="00187305"/>
    <w:rsid w:val="001874B3"/>
    <w:rsid w:val="001875EF"/>
    <w:rsid w:val="00187844"/>
    <w:rsid w:val="00187AE2"/>
    <w:rsid w:val="00187E8F"/>
    <w:rsid w:val="00187EB5"/>
    <w:rsid w:val="00187FE3"/>
    <w:rsid w:val="0019000C"/>
    <w:rsid w:val="001903E3"/>
    <w:rsid w:val="00190428"/>
    <w:rsid w:val="001906AB"/>
    <w:rsid w:val="00190899"/>
    <w:rsid w:val="001908AB"/>
    <w:rsid w:val="001908D2"/>
    <w:rsid w:val="00190978"/>
    <w:rsid w:val="00190ABC"/>
    <w:rsid w:val="00190D66"/>
    <w:rsid w:val="00190E13"/>
    <w:rsid w:val="00191273"/>
    <w:rsid w:val="001912E2"/>
    <w:rsid w:val="001912F8"/>
    <w:rsid w:val="00191412"/>
    <w:rsid w:val="001914C3"/>
    <w:rsid w:val="001915DB"/>
    <w:rsid w:val="00191639"/>
    <w:rsid w:val="001916AD"/>
    <w:rsid w:val="00191856"/>
    <w:rsid w:val="0019187F"/>
    <w:rsid w:val="00191933"/>
    <w:rsid w:val="00191997"/>
    <w:rsid w:val="001919C5"/>
    <w:rsid w:val="00192027"/>
    <w:rsid w:val="001924B2"/>
    <w:rsid w:val="001925F8"/>
    <w:rsid w:val="00192759"/>
    <w:rsid w:val="00192797"/>
    <w:rsid w:val="0019289E"/>
    <w:rsid w:val="00192955"/>
    <w:rsid w:val="00192BD2"/>
    <w:rsid w:val="00192C3B"/>
    <w:rsid w:val="00192C7F"/>
    <w:rsid w:val="00192E1E"/>
    <w:rsid w:val="00193036"/>
    <w:rsid w:val="00193159"/>
    <w:rsid w:val="0019329F"/>
    <w:rsid w:val="0019339F"/>
    <w:rsid w:val="001933F9"/>
    <w:rsid w:val="0019387E"/>
    <w:rsid w:val="0019388E"/>
    <w:rsid w:val="001938A3"/>
    <w:rsid w:val="001938C7"/>
    <w:rsid w:val="00193978"/>
    <w:rsid w:val="00193A26"/>
    <w:rsid w:val="00193A8B"/>
    <w:rsid w:val="00193AC3"/>
    <w:rsid w:val="00193B87"/>
    <w:rsid w:val="00193BA0"/>
    <w:rsid w:val="00193D68"/>
    <w:rsid w:val="00193E00"/>
    <w:rsid w:val="00193E5F"/>
    <w:rsid w:val="00193E66"/>
    <w:rsid w:val="00193F0A"/>
    <w:rsid w:val="00194065"/>
    <w:rsid w:val="00194216"/>
    <w:rsid w:val="001942E1"/>
    <w:rsid w:val="0019431F"/>
    <w:rsid w:val="00194AE1"/>
    <w:rsid w:val="00194D6A"/>
    <w:rsid w:val="00194DF3"/>
    <w:rsid w:val="00194EFB"/>
    <w:rsid w:val="00195046"/>
    <w:rsid w:val="001951F8"/>
    <w:rsid w:val="001953EF"/>
    <w:rsid w:val="00195436"/>
    <w:rsid w:val="0019545A"/>
    <w:rsid w:val="001956DA"/>
    <w:rsid w:val="00195720"/>
    <w:rsid w:val="001958B8"/>
    <w:rsid w:val="00195AB8"/>
    <w:rsid w:val="00195B6C"/>
    <w:rsid w:val="00195C66"/>
    <w:rsid w:val="00195E52"/>
    <w:rsid w:val="00195F23"/>
    <w:rsid w:val="00196014"/>
    <w:rsid w:val="00196342"/>
    <w:rsid w:val="00196420"/>
    <w:rsid w:val="0019646A"/>
    <w:rsid w:val="0019649F"/>
    <w:rsid w:val="001966A3"/>
    <w:rsid w:val="001968C3"/>
    <w:rsid w:val="00196A0F"/>
    <w:rsid w:val="00196AD6"/>
    <w:rsid w:val="00196C61"/>
    <w:rsid w:val="00196CC1"/>
    <w:rsid w:val="00196E11"/>
    <w:rsid w:val="00196F62"/>
    <w:rsid w:val="00197020"/>
    <w:rsid w:val="00197096"/>
    <w:rsid w:val="001971B2"/>
    <w:rsid w:val="00197472"/>
    <w:rsid w:val="00197535"/>
    <w:rsid w:val="001975D0"/>
    <w:rsid w:val="00197613"/>
    <w:rsid w:val="00197645"/>
    <w:rsid w:val="0019767A"/>
    <w:rsid w:val="0019786C"/>
    <w:rsid w:val="001978F7"/>
    <w:rsid w:val="001979E3"/>
    <w:rsid w:val="00197D17"/>
    <w:rsid w:val="001A0011"/>
    <w:rsid w:val="001A00B2"/>
    <w:rsid w:val="001A016B"/>
    <w:rsid w:val="001A0371"/>
    <w:rsid w:val="001A03E1"/>
    <w:rsid w:val="001A049E"/>
    <w:rsid w:val="001A050C"/>
    <w:rsid w:val="001A0534"/>
    <w:rsid w:val="001A06B0"/>
    <w:rsid w:val="001A06B9"/>
    <w:rsid w:val="001A0742"/>
    <w:rsid w:val="001A07C9"/>
    <w:rsid w:val="001A096A"/>
    <w:rsid w:val="001A0AA7"/>
    <w:rsid w:val="001A0FD1"/>
    <w:rsid w:val="001A1057"/>
    <w:rsid w:val="001A107C"/>
    <w:rsid w:val="001A1107"/>
    <w:rsid w:val="001A11E6"/>
    <w:rsid w:val="001A1308"/>
    <w:rsid w:val="001A1451"/>
    <w:rsid w:val="001A15B4"/>
    <w:rsid w:val="001A1654"/>
    <w:rsid w:val="001A16AE"/>
    <w:rsid w:val="001A1810"/>
    <w:rsid w:val="001A193F"/>
    <w:rsid w:val="001A1A32"/>
    <w:rsid w:val="001A1C72"/>
    <w:rsid w:val="001A1D09"/>
    <w:rsid w:val="001A1D96"/>
    <w:rsid w:val="001A1E92"/>
    <w:rsid w:val="001A1ED3"/>
    <w:rsid w:val="001A20AF"/>
    <w:rsid w:val="001A21C2"/>
    <w:rsid w:val="001A22B6"/>
    <w:rsid w:val="001A23BB"/>
    <w:rsid w:val="001A2515"/>
    <w:rsid w:val="001A2554"/>
    <w:rsid w:val="001A2572"/>
    <w:rsid w:val="001A2587"/>
    <w:rsid w:val="001A25B3"/>
    <w:rsid w:val="001A2722"/>
    <w:rsid w:val="001A274B"/>
    <w:rsid w:val="001A274E"/>
    <w:rsid w:val="001A27CB"/>
    <w:rsid w:val="001A284B"/>
    <w:rsid w:val="001A2B80"/>
    <w:rsid w:val="001A2CBC"/>
    <w:rsid w:val="001A2D5D"/>
    <w:rsid w:val="001A2D8E"/>
    <w:rsid w:val="001A2F78"/>
    <w:rsid w:val="001A2FFF"/>
    <w:rsid w:val="001A3154"/>
    <w:rsid w:val="001A31F6"/>
    <w:rsid w:val="001A333B"/>
    <w:rsid w:val="001A3359"/>
    <w:rsid w:val="001A3753"/>
    <w:rsid w:val="001A38C0"/>
    <w:rsid w:val="001A39AB"/>
    <w:rsid w:val="001A3C16"/>
    <w:rsid w:val="001A3D71"/>
    <w:rsid w:val="001A3E58"/>
    <w:rsid w:val="001A40B8"/>
    <w:rsid w:val="001A42DE"/>
    <w:rsid w:val="001A436B"/>
    <w:rsid w:val="001A444A"/>
    <w:rsid w:val="001A4517"/>
    <w:rsid w:val="001A4630"/>
    <w:rsid w:val="001A4AE6"/>
    <w:rsid w:val="001A4B34"/>
    <w:rsid w:val="001A4BE8"/>
    <w:rsid w:val="001A4CB5"/>
    <w:rsid w:val="001A4D24"/>
    <w:rsid w:val="001A507F"/>
    <w:rsid w:val="001A5168"/>
    <w:rsid w:val="001A522E"/>
    <w:rsid w:val="001A53B5"/>
    <w:rsid w:val="001A5554"/>
    <w:rsid w:val="001A558E"/>
    <w:rsid w:val="001A563B"/>
    <w:rsid w:val="001A57A3"/>
    <w:rsid w:val="001A59C6"/>
    <w:rsid w:val="001A5ABB"/>
    <w:rsid w:val="001A5D45"/>
    <w:rsid w:val="001A5FA9"/>
    <w:rsid w:val="001A61B7"/>
    <w:rsid w:val="001A6286"/>
    <w:rsid w:val="001A6301"/>
    <w:rsid w:val="001A64A1"/>
    <w:rsid w:val="001A6560"/>
    <w:rsid w:val="001A6599"/>
    <w:rsid w:val="001A6876"/>
    <w:rsid w:val="001A6887"/>
    <w:rsid w:val="001A6918"/>
    <w:rsid w:val="001A6C30"/>
    <w:rsid w:val="001A6C3E"/>
    <w:rsid w:val="001A6C4D"/>
    <w:rsid w:val="001A6CDA"/>
    <w:rsid w:val="001A6D1A"/>
    <w:rsid w:val="001A6DF0"/>
    <w:rsid w:val="001A6E30"/>
    <w:rsid w:val="001A70AD"/>
    <w:rsid w:val="001A71B2"/>
    <w:rsid w:val="001A7214"/>
    <w:rsid w:val="001A75FA"/>
    <w:rsid w:val="001A7796"/>
    <w:rsid w:val="001A7811"/>
    <w:rsid w:val="001A7876"/>
    <w:rsid w:val="001A7B47"/>
    <w:rsid w:val="001A7B8F"/>
    <w:rsid w:val="001A7C70"/>
    <w:rsid w:val="001A7E68"/>
    <w:rsid w:val="001A7E73"/>
    <w:rsid w:val="001B0113"/>
    <w:rsid w:val="001B06CC"/>
    <w:rsid w:val="001B07D4"/>
    <w:rsid w:val="001B08FB"/>
    <w:rsid w:val="001B0A16"/>
    <w:rsid w:val="001B0C53"/>
    <w:rsid w:val="001B0C60"/>
    <w:rsid w:val="001B0D12"/>
    <w:rsid w:val="001B0DE2"/>
    <w:rsid w:val="001B0E0E"/>
    <w:rsid w:val="001B0E5F"/>
    <w:rsid w:val="001B0E7C"/>
    <w:rsid w:val="001B103B"/>
    <w:rsid w:val="001B103D"/>
    <w:rsid w:val="001B1114"/>
    <w:rsid w:val="001B13F5"/>
    <w:rsid w:val="001B1416"/>
    <w:rsid w:val="001B141D"/>
    <w:rsid w:val="001B1474"/>
    <w:rsid w:val="001B14E8"/>
    <w:rsid w:val="001B163D"/>
    <w:rsid w:val="001B1891"/>
    <w:rsid w:val="001B1909"/>
    <w:rsid w:val="001B19DD"/>
    <w:rsid w:val="001B1A70"/>
    <w:rsid w:val="001B1AB4"/>
    <w:rsid w:val="001B1CA8"/>
    <w:rsid w:val="001B1D84"/>
    <w:rsid w:val="001B1E6F"/>
    <w:rsid w:val="001B1EB0"/>
    <w:rsid w:val="001B1EB7"/>
    <w:rsid w:val="001B1FB4"/>
    <w:rsid w:val="001B206E"/>
    <w:rsid w:val="001B208E"/>
    <w:rsid w:val="001B2158"/>
    <w:rsid w:val="001B2282"/>
    <w:rsid w:val="001B23CA"/>
    <w:rsid w:val="001B263D"/>
    <w:rsid w:val="001B26DE"/>
    <w:rsid w:val="001B2702"/>
    <w:rsid w:val="001B283E"/>
    <w:rsid w:val="001B2DE1"/>
    <w:rsid w:val="001B303C"/>
    <w:rsid w:val="001B30A8"/>
    <w:rsid w:val="001B33CB"/>
    <w:rsid w:val="001B345C"/>
    <w:rsid w:val="001B3686"/>
    <w:rsid w:val="001B371B"/>
    <w:rsid w:val="001B3734"/>
    <w:rsid w:val="001B374B"/>
    <w:rsid w:val="001B3C41"/>
    <w:rsid w:val="001B3C90"/>
    <w:rsid w:val="001B3EC4"/>
    <w:rsid w:val="001B3F68"/>
    <w:rsid w:val="001B40A4"/>
    <w:rsid w:val="001B4304"/>
    <w:rsid w:val="001B4426"/>
    <w:rsid w:val="001B44AD"/>
    <w:rsid w:val="001B46FF"/>
    <w:rsid w:val="001B476E"/>
    <w:rsid w:val="001B4BE9"/>
    <w:rsid w:val="001B4E13"/>
    <w:rsid w:val="001B4F47"/>
    <w:rsid w:val="001B4FE8"/>
    <w:rsid w:val="001B500D"/>
    <w:rsid w:val="001B50CC"/>
    <w:rsid w:val="001B51E5"/>
    <w:rsid w:val="001B52D4"/>
    <w:rsid w:val="001B534F"/>
    <w:rsid w:val="001B55A2"/>
    <w:rsid w:val="001B569D"/>
    <w:rsid w:val="001B5B77"/>
    <w:rsid w:val="001B5BFC"/>
    <w:rsid w:val="001B5D49"/>
    <w:rsid w:val="001B5EE2"/>
    <w:rsid w:val="001B5F00"/>
    <w:rsid w:val="001B5F11"/>
    <w:rsid w:val="001B5FF1"/>
    <w:rsid w:val="001B634D"/>
    <w:rsid w:val="001B6350"/>
    <w:rsid w:val="001B6373"/>
    <w:rsid w:val="001B63DE"/>
    <w:rsid w:val="001B641E"/>
    <w:rsid w:val="001B6562"/>
    <w:rsid w:val="001B65A0"/>
    <w:rsid w:val="001B65AE"/>
    <w:rsid w:val="001B6782"/>
    <w:rsid w:val="001B6785"/>
    <w:rsid w:val="001B6789"/>
    <w:rsid w:val="001B6952"/>
    <w:rsid w:val="001B6986"/>
    <w:rsid w:val="001B6A91"/>
    <w:rsid w:val="001B6AF1"/>
    <w:rsid w:val="001B6B62"/>
    <w:rsid w:val="001B6B64"/>
    <w:rsid w:val="001B6DA3"/>
    <w:rsid w:val="001B6E1C"/>
    <w:rsid w:val="001B6E99"/>
    <w:rsid w:val="001B6F2C"/>
    <w:rsid w:val="001B6F67"/>
    <w:rsid w:val="001B7387"/>
    <w:rsid w:val="001B7810"/>
    <w:rsid w:val="001B788D"/>
    <w:rsid w:val="001B7956"/>
    <w:rsid w:val="001B799C"/>
    <w:rsid w:val="001B7A20"/>
    <w:rsid w:val="001B7D52"/>
    <w:rsid w:val="001B7E44"/>
    <w:rsid w:val="001B7E74"/>
    <w:rsid w:val="001B7FC6"/>
    <w:rsid w:val="001C02F7"/>
    <w:rsid w:val="001C0580"/>
    <w:rsid w:val="001C0636"/>
    <w:rsid w:val="001C066D"/>
    <w:rsid w:val="001C0A10"/>
    <w:rsid w:val="001C0A7D"/>
    <w:rsid w:val="001C0B6B"/>
    <w:rsid w:val="001C0F1B"/>
    <w:rsid w:val="001C0F81"/>
    <w:rsid w:val="001C1111"/>
    <w:rsid w:val="001C1253"/>
    <w:rsid w:val="001C129B"/>
    <w:rsid w:val="001C12C3"/>
    <w:rsid w:val="001C12F2"/>
    <w:rsid w:val="001C13DB"/>
    <w:rsid w:val="001C13FB"/>
    <w:rsid w:val="001C167D"/>
    <w:rsid w:val="001C1726"/>
    <w:rsid w:val="001C17A7"/>
    <w:rsid w:val="001C1931"/>
    <w:rsid w:val="001C193C"/>
    <w:rsid w:val="001C1A11"/>
    <w:rsid w:val="001C1BF1"/>
    <w:rsid w:val="001C1C05"/>
    <w:rsid w:val="001C1EC5"/>
    <w:rsid w:val="001C1FB0"/>
    <w:rsid w:val="001C1FD4"/>
    <w:rsid w:val="001C201B"/>
    <w:rsid w:val="001C2029"/>
    <w:rsid w:val="001C20AB"/>
    <w:rsid w:val="001C2150"/>
    <w:rsid w:val="001C2350"/>
    <w:rsid w:val="001C2569"/>
    <w:rsid w:val="001C261B"/>
    <w:rsid w:val="001C280D"/>
    <w:rsid w:val="001C2AED"/>
    <w:rsid w:val="001C2CFE"/>
    <w:rsid w:val="001C2D49"/>
    <w:rsid w:val="001C2DC9"/>
    <w:rsid w:val="001C2EDC"/>
    <w:rsid w:val="001C3067"/>
    <w:rsid w:val="001C3079"/>
    <w:rsid w:val="001C317F"/>
    <w:rsid w:val="001C3182"/>
    <w:rsid w:val="001C31F0"/>
    <w:rsid w:val="001C324B"/>
    <w:rsid w:val="001C32CB"/>
    <w:rsid w:val="001C33F8"/>
    <w:rsid w:val="001C34A8"/>
    <w:rsid w:val="001C34EE"/>
    <w:rsid w:val="001C3615"/>
    <w:rsid w:val="001C3625"/>
    <w:rsid w:val="001C39BD"/>
    <w:rsid w:val="001C3A6C"/>
    <w:rsid w:val="001C3A7D"/>
    <w:rsid w:val="001C3B9C"/>
    <w:rsid w:val="001C3DC2"/>
    <w:rsid w:val="001C3E1F"/>
    <w:rsid w:val="001C3EE1"/>
    <w:rsid w:val="001C40FE"/>
    <w:rsid w:val="001C42F8"/>
    <w:rsid w:val="001C4412"/>
    <w:rsid w:val="001C44E6"/>
    <w:rsid w:val="001C44E7"/>
    <w:rsid w:val="001C4624"/>
    <w:rsid w:val="001C4656"/>
    <w:rsid w:val="001C49EA"/>
    <w:rsid w:val="001C4A75"/>
    <w:rsid w:val="001C4BC8"/>
    <w:rsid w:val="001C4BF1"/>
    <w:rsid w:val="001C4C8D"/>
    <w:rsid w:val="001C4EA5"/>
    <w:rsid w:val="001C4ED3"/>
    <w:rsid w:val="001C4FDD"/>
    <w:rsid w:val="001C507D"/>
    <w:rsid w:val="001C513B"/>
    <w:rsid w:val="001C51B3"/>
    <w:rsid w:val="001C51CE"/>
    <w:rsid w:val="001C51E7"/>
    <w:rsid w:val="001C5608"/>
    <w:rsid w:val="001C5647"/>
    <w:rsid w:val="001C5686"/>
    <w:rsid w:val="001C56BB"/>
    <w:rsid w:val="001C57F0"/>
    <w:rsid w:val="001C5AF4"/>
    <w:rsid w:val="001C5DE2"/>
    <w:rsid w:val="001C5DF7"/>
    <w:rsid w:val="001C5E49"/>
    <w:rsid w:val="001C5F29"/>
    <w:rsid w:val="001C5F38"/>
    <w:rsid w:val="001C5FD9"/>
    <w:rsid w:val="001C6338"/>
    <w:rsid w:val="001C6540"/>
    <w:rsid w:val="001C65A5"/>
    <w:rsid w:val="001C66F0"/>
    <w:rsid w:val="001C68AA"/>
    <w:rsid w:val="001C68BB"/>
    <w:rsid w:val="001C696F"/>
    <w:rsid w:val="001C69C0"/>
    <w:rsid w:val="001C69FC"/>
    <w:rsid w:val="001C6BC5"/>
    <w:rsid w:val="001C6DF4"/>
    <w:rsid w:val="001C732E"/>
    <w:rsid w:val="001C73C9"/>
    <w:rsid w:val="001C74EF"/>
    <w:rsid w:val="001C7654"/>
    <w:rsid w:val="001C781A"/>
    <w:rsid w:val="001C797C"/>
    <w:rsid w:val="001C79AD"/>
    <w:rsid w:val="001C7B0E"/>
    <w:rsid w:val="001C7B70"/>
    <w:rsid w:val="001C7B78"/>
    <w:rsid w:val="001C7C42"/>
    <w:rsid w:val="001C7CB2"/>
    <w:rsid w:val="001C7F1C"/>
    <w:rsid w:val="001D005C"/>
    <w:rsid w:val="001D00E3"/>
    <w:rsid w:val="001D0322"/>
    <w:rsid w:val="001D0379"/>
    <w:rsid w:val="001D0448"/>
    <w:rsid w:val="001D06FE"/>
    <w:rsid w:val="001D0710"/>
    <w:rsid w:val="001D0906"/>
    <w:rsid w:val="001D0924"/>
    <w:rsid w:val="001D09F2"/>
    <w:rsid w:val="001D0A45"/>
    <w:rsid w:val="001D0B42"/>
    <w:rsid w:val="001D1054"/>
    <w:rsid w:val="001D1138"/>
    <w:rsid w:val="001D124B"/>
    <w:rsid w:val="001D1499"/>
    <w:rsid w:val="001D14FC"/>
    <w:rsid w:val="001D1701"/>
    <w:rsid w:val="001D1722"/>
    <w:rsid w:val="001D1B57"/>
    <w:rsid w:val="001D1BB9"/>
    <w:rsid w:val="001D1BD6"/>
    <w:rsid w:val="001D1EBE"/>
    <w:rsid w:val="001D22A4"/>
    <w:rsid w:val="001D245D"/>
    <w:rsid w:val="001D2464"/>
    <w:rsid w:val="001D28D8"/>
    <w:rsid w:val="001D2A99"/>
    <w:rsid w:val="001D2A9E"/>
    <w:rsid w:val="001D2C0A"/>
    <w:rsid w:val="001D2D6B"/>
    <w:rsid w:val="001D2EEF"/>
    <w:rsid w:val="001D2FF6"/>
    <w:rsid w:val="001D30BA"/>
    <w:rsid w:val="001D31EF"/>
    <w:rsid w:val="001D3314"/>
    <w:rsid w:val="001D3326"/>
    <w:rsid w:val="001D335C"/>
    <w:rsid w:val="001D34D2"/>
    <w:rsid w:val="001D3510"/>
    <w:rsid w:val="001D35D9"/>
    <w:rsid w:val="001D35FD"/>
    <w:rsid w:val="001D3644"/>
    <w:rsid w:val="001D3747"/>
    <w:rsid w:val="001D37B4"/>
    <w:rsid w:val="001D3863"/>
    <w:rsid w:val="001D3ADB"/>
    <w:rsid w:val="001D3B09"/>
    <w:rsid w:val="001D3B18"/>
    <w:rsid w:val="001D3BDC"/>
    <w:rsid w:val="001D3C0C"/>
    <w:rsid w:val="001D3C6A"/>
    <w:rsid w:val="001D3D84"/>
    <w:rsid w:val="001D3DA7"/>
    <w:rsid w:val="001D3DE0"/>
    <w:rsid w:val="001D3EF3"/>
    <w:rsid w:val="001D4050"/>
    <w:rsid w:val="001D409A"/>
    <w:rsid w:val="001D40A6"/>
    <w:rsid w:val="001D40DA"/>
    <w:rsid w:val="001D4166"/>
    <w:rsid w:val="001D4172"/>
    <w:rsid w:val="001D4200"/>
    <w:rsid w:val="001D437A"/>
    <w:rsid w:val="001D438A"/>
    <w:rsid w:val="001D4645"/>
    <w:rsid w:val="001D46E7"/>
    <w:rsid w:val="001D4AED"/>
    <w:rsid w:val="001D4B77"/>
    <w:rsid w:val="001D4BA2"/>
    <w:rsid w:val="001D4D41"/>
    <w:rsid w:val="001D51CA"/>
    <w:rsid w:val="001D5246"/>
    <w:rsid w:val="001D534F"/>
    <w:rsid w:val="001D5688"/>
    <w:rsid w:val="001D5975"/>
    <w:rsid w:val="001D5B07"/>
    <w:rsid w:val="001D5B61"/>
    <w:rsid w:val="001D5BDE"/>
    <w:rsid w:val="001D5BE8"/>
    <w:rsid w:val="001D5D19"/>
    <w:rsid w:val="001D5DC3"/>
    <w:rsid w:val="001D5E8F"/>
    <w:rsid w:val="001D64DB"/>
    <w:rsid w:val="001D66E3"/>
    <w:rsid w:val="001D685F"/>
    <w:rsid w:val="001D6B43"/>
    <w:rsid w:val="001D6B62"/>
    <w:rsid w:val="001D6BE2"/>
    <w:rsid w:val="001D6C77"/>
    <w:rsid w:val="001D6FF5"/>
    <w:rsid w:val="001D726B"/>
    <w:rsid w:val="001D734B"/>
    <w:rsid w:val="001D752F"/>
    <w:rsid w:val="001D753E"/>
    <w:rsid w:val="001D766B"/>
    <w:rsid w:val="001D76D2"/>
    <w:rsid w:val="001D77FD"/>
    <w:rsid w:val="001D78A5"/>
    <w:rsid w:val="001D78A8"/>
    <w:rsid w:val="001D78B1"/>
    <w:rsid w:val="001D7961"/>
    <w:rsid w:val="001D7AC5"/>
    <w:rsid w:val="001D7D03"/>
    <w:rsid w:val="001D7EAA"/>
    <w:rsid w:val="001E01D5"/>
    <w:rsid w:val="001E03C0"/>
    <w:rsid w:val="001E0402"/>
    <w:rsid w:val="001E0425"/>
    <w:rsid w:val="001E04A4"/>
    <w:rsid w:val="001E05B3"/>
    <w:rsid w:val="001E0654"/>
    <w:rsid w:val="001E06B0"/>
    <w:rsid w:val="001E0775"/>
    <w:rsid w:val="001E07DA"/>
    <w:rsid w:val="001E095D"/>
    <w:rsid w:val="001E09D5"/>
    <w:rsid w:val="001E0A14"/>
    <w:rsid w:val="001E0B5D"/>
    <w:rsid w:val="001E0C27"/>
    <w:rsid w:val="001E0D6A"/>
    <w:rsid w:val="001E0DA1"/>
    <w:rsid w:val="001E0DFD"/>
    <w:rsid w:val="001E0F2E"/>
    <w:rsid w:val="001E1152"/>
    <w:rsid w:val="001E11B9"/>
    <w:rsid w:val="001E1245"/>
    <w:rsid w:val="001E12AB"/>
    <w:rsid w:val="001E135C"/>
    <w:rsid w:val="001E1514"/>
    <w:rsid w:val="001E1638"/>
    <w:rsid w:val="001E16BA"/>
    <w:rsid w:val="001E174D"/>
    <w:rsid w:val="001E18E5"/>
    <w:rsid w:val="001E1972"/>
    <w:rsid w:val="001E19DB"/>
    <w:rsid w:val="001E1AD4"/>
    <w:rsid w:val="001E1B00"/>
    <w:rsid w:val="001E1B4C"/>
    <w:rsid w:val="001E1DD5"/>
    <w:rsid w:val="001E1E46"/>
    <w:rsid w:val="001E21BC"/>
    <w:rsid w:val="001E21DA"/>
    <w:rsid w:val="001E229E"/>
    <w:rsid w:val="001E2512"/>
    <w:rsid w:val="001E2623"/>
    <w:rsid w:val="001E2A07"/>
    <w:rsid w:val="001E2ADE"/>
    <w:rsid w:val="001E2B87"/>
    <w:rsid w:val="001E2CCA"/>
    <w:rsid w:val="001E2CD9"/>
    <w:rsid w:val="001E2D7E"/>
    <w:rsid w:val="001E2E3C"/>
    <w:rsid w:val="001E31FB"/>
    <w:rsid w:val="001E323E"/>
    <w:rsid w:val="001E336B"/>
    <w:rsid w:val="001E33F3"/>
    <w:rsid w:val="001E360D"/>
    <w:rsid w:val="001E372F"/>
    <w:rsid w:val="001E37D7"/>
    <w:rsid w:val="001E387F"/>
    <w:rsid w:val="001E3938"/>
    <w:rsid w:val="001E399C"/>
    <w:rsid w:val="001E3B07"/>
    <w:rsid w:val="001E3B15"/>
    <w:rsid w:val="001E3B69"/>
    <w:rsid w:val="001E3BB6"/>
    <w:rsid w:val="001E3C6F"/>
    <w:rsid w:val="001E3EEA"/>
    <w:rsid w:val="001E3FA3"/>
    <w:rsid w:val="001E40A5"/>
    <w:rsid w:val="001E4198"/>
    <w:rsid w:val="001E41C2"/>
    <w:rsid w:val="001E41FF"/>
    <w:rsid w:val="001E429E"/>
    <w:rsid w:val="001E42D5"/>
    <w:rsid w:val="001E43C6"/>
    <w:rsid w:val="001E43DA"/>
    <w:rsid w:val="001E4682"/>
    <w:rsid w:val="001E490E"/>
    <w:rsid w:val="001E49BE"/>
    <w:rsid w:val="001E4C86"/>
    <w:rsid w:val="001E4DB8"/>
    <w:rsid w:val="001E4F92"/>
    <w:rsid w:val="001E4F9D"/>
    <w:rsid w:val="001E50B3"/>
    <w:rsid w:val="001E5218"/>
    <w:rsid w:val="001E52E6"/>
    <w:rsid w:val="001E542E"/>
    <w:rsid w:val="001E5567"/>
    <w:rsid w:val="001E55E4"/>
    <w:rsid w:val="001E5757"/>
    <w:rsid w:val="001E5895"/>
    <w:rsid w:val="001E58D3"/>
    <w:rsid w:val="001E5A1B"/>
    <w:rsid w:val="001E5E54"/>
    <w:rsid w:val="001E6024"/>
    <w:rsid w:val="001E60E0"/>
    <w:rsid w:val="001E61AD"/>
    <w:rsid w:val="001E6223"/>
    <w:rsid w:val="001E629F"/>
    <w:rsid w:val="001E62D4"/>
    <w:rsid w:val="001E63C3"/>
    <w:rsid w:val="001E63CD"/>
    <w:rsid w:val="001E63E1"/>
    <w:rsid w:val="001E6590"/>
    <w:rsid w:val="001E69D9"/>
    <w:rsid w:val="001E6A3E"/>
    <w:rsid w:val="001E6A8F"/>
    <w:rsid w:val="001E6B1A"/>
    <w:rsid w:val="001E6C51"/>
    <w:rsid w:val="001E6D6A"/>
    <w:rsid w:val="001E6D74"/>
    <w:rsid w:val="001E6DD6"/>
    <w:rsid w:val="001E6F7A"/>
    <w:rsid w:val="001E6F9B"/>
    <w:rsid w:val="001E6F9E"/>
    <w:rsid w:val="001E6FEF"/>
    <w:rsid w:val="001E70EF"/>
    <w:rsid w:val="001E716C"/>
    <w:rsid w:val="001E7194"/>
    <w:rsid w:val="001E71DA"/>
    <w:rsid w:val="001E728C"/>
    <w:rsid w:val="001E7674"/>
    <w:rsid w:val="001E768C"/>
    <w:rsid w:val="001E772C"/>
    <w:rsid w:val="001E7AA1"/>
    <w:rsid w:val="001E7B74"/>
    <w:rsid w:val="001E7E7A"/>
    <w:rsid w:val="001E7EFA"/>
    <w:rsid w:val="001F001F"/>
    <w:rsid w:val="001F0186"/>
    <w:rsid w:val="001F041C"/>
    <w:rsid w:val="001F04E7"/>
    <w:rsid w:val="001F0611"/>
    <w:rsid w:val="001F0707"/>
    <w:rsid w:val="001F070B"/>
    <w:rsid w:val="001F0897"/>
    <w:rsid w:val="001F090C"/>
    <w:rsid w:val="001F0945"/>
    <w:rsid w:val="001F09DE"/>
    <w:rsid w:val="001F0A28"/>
    <w:rsid w:val="001F0A39"/>
    <w:rsid w:val="001F0CFF"/>
    <w:rsid w:val="001F0E4D"/>
    <w:rsid w:val="001F0F36"/>
    <w:rsid w:val="001F0F38"/>
    <w:rsid w:val="001F0F88"/>
    <w:rsid w:val="001F0F9F"/>
    <w:rsid w:val="001F1071"/>
    <w:rsid w:val="001F1226"/>
    <w:rsid w:val="001F129B"/>
    <w:rsid w:val="001F1307"/>
    <w:rsid w:val="001F1641"/>
    <w:rsid w:val="001F16FC"/>
    <w:rsid w:val="001F18B8"/>
    <w:rsid w:val="001F1A88"/>
    <w:rsid w:val="001F1B3F"/>
    <w:rsid w:val="001F1BC1"/>
    <w:rsid w:val="001F1BF1"/>
    <w:rsid w:val="001F1BFA"/>
    <w:rsid w:val="001F1CE5"/>
    <w:rsid w:val="001F1FDB"/>
    <w:rsid w:val="001F2082"/>
    <w:rsid w:val="001F20FE"/>
    <w:rsid w:val="001F217F"/>
    <w:rsid w:val="001F21DE"/>
    <w:rsid w:val="001F2350"/>
    <w:rsid w:val="001F2444"/>
    <w:rsid w:val="001F244A"/>
    <w:rsid w:val="001F2454"/>
    <w:rsid w:val="001F25EE"/>
    <w:rsid w:val="001F283A"/>
    <w:rsid w:val="001F2848"/>
    <w:rsid w:val="001F2851"/>
    <w:rsid w:val="001F2918"/>
    <w:rsid w:val="001F2A5E"/>
    <w:rsid w:val="001F2A64"/>
    <w:rsid w:val="001F2AF5"/>
    <w:rsid w:val="001F2B67"/>
    <w:rsid w:val="001F2C9C"/>
    <w:rsid w:val="001F2EAA"/>
    <w:rsid w:val="001F3027"/>
    <w:rsid w:val="001F3046"/>
    <w:rsid w:val="001F3121"/>
    <w:rsid w:val="001F3221"/>
    <w:rsid w:val="001F335B"/>
    <w:rsid w:val="001F33DF"/>
    <w:rsid w:val="001F34B0"/>
    <w:rsid w:val="001F34E0"/>
    <w:rsid w:val="001F359F"/>
    <w:rsid w:val="001F363F"/>
    <w:rsid w:val="001F3C4C"/>
    <w:rsid w:val="001F3D44"/>
    <w:rsid w:val="001F3E8C"/>
    <w:rsid w:val="001F3F29"/>
    <w:rsid w:val="001F3F56"/>
    <w:rsid w:val="001F4098"/>
    <w:rsid w:val="001F4519"/>
    <w:rsid w:val="001F467B"/>
    <w:rsid w:val="001F4723"/>
    <w:rsid w:val="001F4A1E"/>
    <w:rsid w:val="001F4A6D"/>
    <w:rsid w:val="001F4AB3"/>
    <w:rsid w:val="001F4B36"/>
    <w:rsid w:val="001F4C57"/>
    <w:rsid w:val="001F4EEE"/>
    <w:rsid w:val="001F5090"/>
    <w:rsid w:val="001F5173"/>
    <w:rsid w:val="001F5230"/>
    <w:rsid w:val="001F528B"/>
    <w:rsid w:val="001F52AB"/>
    <w:rsid w:val="001F52DC"/>
    <w:rsid w:val="001F540D"/>
    <w:rsid w:val="001F54E9"/>
    <w:rsid w:val="001F57C4"/>
    <w:rsid w:val="001F57E7"/>
    <w:rsid w:val="001F584F"/>
    <w:rsid w:val="001F5921"/>
    <w:rsid w:val="001F5950"/>
    <w:rsid w:val="001F5A9A"/>
    <w:rsid w:val="001F5AE3"/>
    <w:rsid w:val="001F5BC0"/>
    <w:rsid w:val="001F5BE1"/>
    <w:rsid w:val="001F5BE2"/>
    <w:rsid w:val="001F5CFD"/>
    <w:rsid w:val="001F5DE8"/>
    <w:rsid w:val="001F5F0A"/>
    <w:rsid w:val="001F5F42"/>
    <w:rsid w:val="001F5F5C"/>
    <w:rsid w:val="001F6016"/>
    <w:rsid w:val="001F61EC"/>
    <w:rsid w:val="001F65E4"/>
    <w:rsid w:val="001F65EB"/>
    <w:rsid w:val="001F660E"/>
    <w:rsid w:val="001F6660"/>
    <w:rsid w:val="001F6667"/>
    <w:rsid w:val="001F68B4"/>
    <w:rsid w:val="001F69BF"/>
    <w:rsid w:val="001F6A78"/>
    <w:rsid w:val="001F6B06"/>
    <w:rsid w:val="001F70B5"/>
    <w:rsid w:val="001F712C"/>
    <w:rsid w:val="001F7185"/>
    <w:rsid w:val="001F7469"/>
    <w:rsid w:val="001F7658"/>
    <w:rsid w:val="001F76D4"/>
    <w:rsid w:val="001F773D"/>
    <w:rsid w:val="001F77A1"/>
    <w:rsid w:val="001F7838"/>
    <w:rsid w:val="001F7849"/>
    <w:rsid w:val="001F7ACB"/>
    <w:rsid w:val="001F7B09"/>
    <w:rsid w:val="001F7BA8"/>
    <w:rsid w:val="001F7D73"/>
    <w:rsid w:val="001F7ED9"/>
    <w:rsid w:val="00200105"/>
    <w:rsid w:val="0020010B"/>
    <w:rsid w:val="0020011B"/>
    <w:rsid w:val="00200141"/>
    <w:rsid w:val="002002C0"/>
    <w:rsid w:val="00200327"/>
    <w:rsid w:val="002003CE"/>
    <w:rsid w:val="002003DD"/>
    <w:rsid w:val="002003E4"/>
    <w:rsid w:val="00200442"/>
    <w:rsid w:val="00200443"/>
    <w:rsid w:val="002005E5"/>
    <w:rsid w:val="0020064D"/>
    <w:rsid w:val="0020066F"/>
    <w:rsid w:val="00200961"/>
    <w:rsid w:val="00200B42"/>
    <w:rsid w:val="00200BB1"/>
    <w:rsid w:val="00200CC7"/>
    <w:rsid w:val="00200D00"/>
    <w:rsid w:val="00200D3A"/>
    <w:rsid w:val="00200DB6"/>
    <w:rsid w:val="00201003"/>
    <w:rsid w:val="002013B2"/>
    <w:rsid w:val="002014EC"/>
    <w:rsid w:val="00201525"/>
    <w:rsid w:val="00201549"/>
    <w:rsid w:val="0020168C"/>
    <w:rsid w:val="0020197C"/>
    <w:rsid w:val="00201A7A"/>
    <w:rsid w:val="00201AD7"/>
    <w:rsid w:val="00201AF5"/>
    <w:rsid w:val="00201BAA"/>
    <w:rsid w:val="00201C7F"/>
    <w:rsid w:val="00201CF0"/>
    <w:rsid w:val="00201D03"/>
    <w:rsid w:val="00201D85"/>
    <w:rsid w:val="00201EA7"/>
    <w:rsid w:val="00201F44"/>
    <w:rsid w:val="00201F88"/>
    <w:rsid w:val="0020201A"/>
    <w:rsid w:val="002020B7"/>
    <w:rsid w:val="0020214F"/>
    <w:rsid w:val="0020228D"/>
    <w:rsid w:val="00202603"/>
    <w:rsid w:val="00202633"/>
    <w:rsid w:val="00202967"/>
    <w:rsid w:val="002029E3"/>
    <w:rsid w:val="00202A2B"/>
    <w:rsid w:val="00202A3B"/>
    <w:rsid w:val="00202B25"/>
    <w:rsid w:val="00202B54"/>
    <w:rsid w:val="00202C95"/>
    <w:rsid w:val="00202CA3"/>
    <w:rsid w:val="00202E7F"/>
    <w:rsid w:val="002030E8"/>
    <w:rsid w:val="0020316B"/>
    <w:rsid w:val="0020318D"/>
    <w:rsid w:val="0020354A"/>
    <w:rsid w:val="002035EB"/>
    <w:rsid w:val="0020396F"/>
    <w:rsid w:val="00203A67"/>
    <w:rsid w:val="00203AAF"/>
    <w:rsid w:val="00203AB9"/>
    <w:rsid w:val="00203ADB"/>
    <w:rsid w:val="00203B5E"/>
    <w:rsid w:val="00203C88"/>
    <w:rsid w:val="00203DFA"/>
    <w:rsid w:val="00203E78"/>
    <w:rsid w:val="00203F09"/>
    <w:rsid w:val="00203FAC"/>
    <w:rsid w:val="00203FB3"/>
    <w:rsid w:val="00204024"/>
    <w:rsid w:val="00204159"/>
    <w:rsid w:val="00204210"/>
    <w:rsid w:val="0020429E"/>
    <w:rsid w:val="00204529"/>
    <w:rsid w:val="002045D2"/>
    <w:rsid w:val="0020491D"/>
    <w:rsid w:val="0020493C"/>
    <w:rsid w:val="002049DC"/>
    <w:rsid w:val="00204A9E"/>
    <w:rsid w:val="00204CB3"/>
    <w:rsid w:val="00204D91"/>
    <w:rsid w:val="00204F93"/>
    <w:rsid w:val="00205120"/>
    <w:rsid w:val="002052A5"/>
    <w:rsid w:val="00205339"/>
    <w:rsid w:val="00205369"/>
    <w:rsid w:val="0020562D"/>
    <w:rsid w:val="00205B10"/>
    <w:rsid w:val="00205C81"/>
    <w:rsid w:val="00205C8F"/>
    <w:rsid w:val="00205F56"/>
    <w:rsid w:val="00205FF1"/>
    <w:rsid w:val="0020619C"/>
    <w:rsid w:val="002062EE"/>
    <w:rsid w:val="00206399"/>
    <w:rsid w:val="002063AC"/>
    <w:rsid w:val="0020661D"/>
    <w:rsid w:val="00206686"/>
    <w:rsid w:val="002069BC"/>
    <w:rsid w:val="00206BF4"/>
    <w:rsid w:val="00206C8D"/>
    <w:rsid w:val="00206D18"/>
    <w:rsid w:val="00206D33"/>
    <w:rsid w:val="00206FA4"/>
    <w:rsid w:val="0020706A"/>
    <w:rsid w:val="002072EB"/>
    <w:rsid w:val="00207401"/>
    <w:rsid w:val="002074F1"/>
    <w:rsid w:val="00207520"/>
    <w:rsid w:val="002076F8"/>
    <w:rsid w:val="00207A17"/>
    <w:rsid w:val="00207B0F"/>
    <w:rsid w:val="00207B3B"/>
    <w:rsid w:val="00207B83"/>
    <w:rsid w:val="00207CA1"/>
    <w:rsid w:val="00207E56"/>
    <w:rsid w:val="00207FBE"/>
    <w:rsid w:val="002105A0"/>
    <w:rsid w:val="00210665"/>
    <w:rsid w:val="00210704"/>
    <w:rsid w:val="0021081C"/>
    <w:rsid w:val="00210989"/>
    <w:rsid w:val="002109FB"/>
    <w:rsid w:val="00210DE9"/>
    <w:rsid w:val="00210F21"/>
    <w:rsid w:val="00210FEE"/>
    <w:rsid w:val="0021113A"/>
    <w:rsid w:val="00211145"/>
    <w:rsid w:val="002112B2"/>
    <w:rsid w:val="002112C8"/>
    <w:rsid w:val="00211357"/>
    <w:rsid w:val="002113A0"/>
    <w:rsid w:val="002113FA"/>
    <w:rsid w:val="002114DE"/>
    <w:rsid w:val="0021151C"/>
    <w:rsid w:val="00211597"/>
    <w:rsid w:val="0021185F"/>
    <w:rsid w:val="00211893"/>
    <w:rsid w:val="002118B2"/>
    <w:rsid w:val="00211908"/>
    <w:rsid w:val="00211A3D"/>
    <w:rsid w:val="00211EDC"/>
    <w:rsid w:val="00211FA6"/>
    <w:rsid w:val="00211FEA"/>
    <w:rsid w:val="002121AC"/>
    <w:rsid w:val="0021224E"/>
    <w:rsid w:val="002123CF"/>
    <w:rsid w:val="00212573"/>
    <w:rsid w:val="002128B4"/>
    <w:rsid w:val="00212952"/>
    <w:rsid w:val="00212966"/>
    <w:rsid w:val="0021297F"/>
    <w:rsid w:val="002129EA"/>
    <w:rsid w:val="00212A8D"/>
    <w:rsid w:val="00212D56"/>
    <w:rsid w:val="00212DCA"/>
    <w:rsid w:val="00212EEE"/>
    <w:rsid w:val="00212F09"/>
    <w:rsid w:val="0021305C"/>
    <w:rsid w:val="0021347C"/>
    <w:rsid w:val="00213579"/>
    <w:rsid w:val="0021364C"/>
    <w:rsid w:val="00213670"/>
    <w:rsid w:val="00213726"/>
    <w:rsid w:val="002137F7"/>
    <w:rsid w:val="0021381B"/>
    <w:rsid w:val="002139F2"/>
    <w:rsid w:val="00213C2E"/>
    <w:rsid w:val="00213D2F"/>
    <w:rsid w:val="00213DC6"/>
    <w:rsid w:val="00214188"/>
    <w:rsid w:val="00214193"/>
    <w:rsid w:val="002144D6"/>
    <w:rsid w:val="00214501"/>
    <w:rsid w:val="00214562"/>
    <w:rsid w:val="00214605"/>
    <w:rsid w:val="00214698"/>
    <w:rsid w:val="0021478D"/>
    <w:rsid w:val="002147AD"/>
    <w:rsid w:val="0021482F"/>
    <w:rsid w:val="002148D5"/>
    <w:rsid w:val="00214901"/>
    <w:rsid w:val="00214A3D"/>
    <w:rsid w:val="00214D95"/>
    <w:rsid w:val="00214E8B"/>
    <w:rsid w:val="0021514B"/>
    <w:rsid w:val="0021536D"/>
    <w:rsid w:val="00215400"/>
    <w:rsid w:val="002155FA"/>
    <w:rsid w:val="00215640"/>
    <w:rsid w:val="002156EA"/>
    <w:rsid w:val="00215743"/>
    <w:rsid w:val="002158C6"/>
    <w:rsid w:val="00215974"/>
    <w:rsid w:val="00215B6E"/>
    <w:rsid w:val="00215CF1"/>
    <w:rsid w:val="00215E58"/>
    <w:rsid w:val="00215FF4"/>
    <w:rsid w:val="002160E6"/>
    <w:rsid w:val="0021617E"/>
    <w:rsid w:val="0021629A"/>
    <w:rsid w:val="00216342"/>
    <w:rsid w:val="002163AE"/>
    <w:rsid w:val="002168A6"/>
    <w:rsid w:val="00216B39"/>
    <w:rsid w:val="00216B5F"/>
    <w:rsid w:val="00216C34"/>
    <w:rsid w:val="00216C7C"/>
    <w:rsid w:val="00216CB0"/>
    <w:rsid w:val="00216EF4"/>
    <w:rsid w:val="00216F34"/>
    <w:rsid w:val="00216FB3"/>
    <w:rsid w:val="0021704D"/>
    <w:rsid w:val="0021709C"/>
    <w:rsid w:val="002171E0"/>
    <w:rsid w:val="0021731C"/>
    <w:rsid w:val="002173F4"/>
    <w:rsid w:val="00217411"/>
    <w:rsid w:val="00217619"/>
    <w:rsid w:val="00217793"/>
    <w:rsid w:val="00217938"/>
    <w:rsid w:val="002179CD"/>
    <w:rsid w:val="00217C03"/>
    <w:rsid w:val="00217CAF"/>
    <w:rsid w:val="00217CB0"/>
    <w:rsid w:val="00217CBC"/>
    <w:rsid w:val="00217DAD"/>
    <w:rsid w:val="00217E84"/>
    <w:rsid w:val="00217F80"/>
    <w:rsid w:val="002200BC"/>
    <w:rsid w:val="00220170"/>
    <w:rsid w:val="002201EA"/>
    <w:rsid w:val="0022041A"/>
    <w:rsid w:val="002204C1"/>
    <w:rsid w:val="00220675"/>
    <w:rsid w:val="002206E3"/>
    <w:rsid w:val="002206E7"/>
    <w:rsid w:val="002208B6"/>
    <w:rsid w:val="00220A4F"/>
    <w:rsid w:val="00220B44"/>
    <w:rsid w:val="00220D12"/>
    <w:rsid w:val="00220F16"/>
    <w:rsid w:val="00221375"/>
    <w:rsid w:val="0022138E"/>
    <w:rsid w:val="002213A0"/>
    <w:rsid w:val="002214F1"/>
    <w:rsid w:val="0022164E"/>
    <w:rsid w:val="002219BC"/>
    <w:rsid w:val="00221ACF"/>
    <w:rsid w:val="00221B16"/>
    <w:rsid w:val="00221B18"/>
    <w:rsid w:val="00221B9D"/>
    <w:rsid w:val="00221D3F"/>
    <w:rsid w:val="00221ED8"/>
    <w:rsid w:val="00221F7A"/>
    <w:rsid w:val="00221FC7"/>
    <w:rsid w:val="00222152"/>
    <w:rsid w:val="002221A4"/>
    <w:rsid w:val="0022246E"/>
    <w:rsid w:val="002225A0"/>
    <w:rsid w:val="0022274D"/>
    <w:rsid w:val="00222AA2"/>
    <w:rsid w:val="00222EF7"/>
    <w:rsid w:val="00222F8B"/>
    <w:rsid w:val="00223095"/>
    <w:rsid w:val="002232A0"/>
    <w:rsid w:val="002232BE"/>
    <w:rsid w:val="002233BE"/>
    <w:rsid w:val="00223432"/>
    <w:rsid w:val="00223656"/>
    <w:rsid w:val="00223806"/>
    <w:rsid w:val="00223A3E"/>
    <w:rsid w:val="00223AD4"/>
    <w:rsid w:val="00223C13"/>
    <w:rsid w:val="00223CDC"/>
    <w:rsid w:val="00223F49"/>
    <w:rsid w:val="00223F74"/>
    <w:rsid w:val="002240A9"/>
    <w:rsid w:val="002241A0"/>
    <w:rsid w:val="00224238"/>
    <w:rsid w:val="00224401"/>
    <w:rsid w:val="0022475E"/>
    <w:rsid w:val="002248FE"/>
    <w:rsid w:val="0022497B"/>
    <w:rsid w:val="00224C0C"/>
    <w:rsid w:val="00224FAC"/>
    <w:rsid w:val="00224FF4"/>
    <w:rsid w:val="00224FFE"/>
    <w:rsid w:val="002251C8"/>
    <w:rsid w:val="00225330"/>
    <w:rsid w:val="0022548E"/>
    <w:rsid w:val="002254C0"/>
    <w:rsid w:val="00225524"/>
    <w:rsid w:val="002256BC"/>
    <w:rsid w:val="002256CE"/>
    <w:rsid w:val="00225859"/>
    <w:rsid w:val="00225973"/>
    <w:rsid w:val="00225986"/>
    <w:rsid w:val="00225C0D"/>
    <w:rsid w:val="00226109"/>
    <w:rsid w:val="00226268"/>
    <w:rsid w:val="002263D4"/>
    <w:rsid w:val="002264C0"/>
    <w:rsid w:val="00226585"/>
    <w:rsid w:val="002265EB"/>
    <w:rsid w:val="00226605"/>
    <w:rsid w:val="00226637"/>
    <w:rsid w:val="002266AD"/>
    <w:rsid w:val="0022671C"/>
    <w:rsid w:val="0022682D"/>
    <w:rsid w:val="00226853"/>
    <w:rsid w:val="002268D4"/>
    <w:rsid w:val="00226D2F"/>
    <w:rsid w:val="00226D63"/>
    <w:rsid w:val="00227077"/>
    <w:rsid w:val="002271D3"/>
    <w:rsid w:val="0022723A"/>
    <w:rsid w:val="002273A5"/>
    <w:rsid w:val="00227611"/>
    <w:rsid w:val="00227766"/>
    <w:rsid w:val="0022793B"/>
    <w:rsid w:val="00227A58"/>
    <w:rsid w:val="00227B84"/>
    <w:rsid w:val="00227D4F"/>
    <w:rsid w:val="00227D62"/>
    <w:rsid w:val="0023004E"/>
    <w:rsid w:val="0023028D"/>
    <w:rsid w:val="0023033E"/>
    <w:rsid w:val="00230479"/>
    <w:rsid w:val="002305ED"/>
    <w:rsid w:val="0023069E"/>
    <w:rsid w:val="0023073F"/>
    <w:rsid w:val="002307DC"/>
    <w:rsid w:val="002309C1"/>
    <w:rsid w:val="00230A3B"/>
    <w:rsid w:val="00230A9D"/>
    <w:rsid w:val="00230AEC"/>
    <w:rsid w:val="00230C19"/>
    <w:rsid w:val="00230D0C"/>
    <w:rsid w:val="00230D83"/>
    <w:rsid w:val="00231227"/>
    <w:rsid w:val="002315F1"/>
    <w:rsid w:val="002316C6"/>
    <w:rsid w:val="0023173F"/>
    <w:rsid w:val="00231813"/>
    <w:rsid w:val="0023183F"/>
    <w:rsid w:val="002319C4"/>
    <w:rsid w:val="00231AE3"/>
    <w:rsid w:val="00231B06"/>
    <w:rsid w:val="00231D4B"/>
    <w:rsid w:val="002323F5"/>
    <w:rsid w:val="00232408"/>
    <w:rsid w:val="0023268D"/>
    <w:rsid w:val="00232905"/>
    <w:rsid w:val="0023296E"/>
    <w:rsid w:val="00232AA4"/>
    <w:rsid w:val="00232BE8"/>
    <w:rsid w:val="00232C6A"/>
    <w:rsid w:val="0023309C"/>
    <w:rsid w:val="002330AF"/>
    <w:rsid w:val="0023317C"/>
    <w:rsid w:val="0023348B"/>
    <w:rsid w:val="0023355A"/>
    <w:rsid w:val="00233778"/>
    <w:rsid w:val="0023382F"/>
    <w:rsid w:val="0023387B"/>
    <w:rsid w:val="002338B1"/>
    <w:rsid w:val="00233924"/>
    <w:rsid w:val="0023395E"/>
    <w:rsid w:val="00233B56"/>
    <w:rsid w:val="00233C96"/>
    <w:rsid w:val="00233CA4"/>
    <w:rsid w:val="00233CB7"/>
    <w:rsid w:val="002341E7"/>
    <w:rsid w:val="0023420C"/>
    <w:rsid w:val="002342DF"/>
    <w:rsid w:val="002343CD"/>
    <w:rsid w:val="00234598"/>
    <w:rsid w:val="00234675"/>
    <w:rsid w:val="0023477A"/>
    <w:rsid w:val="0023488E"/>
    <w:rsid w:val="002348A0"/>
    <w:rsid w:val="0023495B"/>
    <w:rsid w:val="00234D07"/>
    <w:rsid w:val="00234D2F"/>
    <w:rsid w:val="002350D5"/>
    <w:rsid w:val="00235138"/>
    <w:rsid w:val="0023520F"/>
    <w:rsid w:val="00235309"/>
    <w:rsid w:val="00235587"/>
    <w:rsid w:val="002355CB"/>
    <w:rsid w:val="00235628"/>
    <w:rsid w:val="00235667"/>
    <w:rsid w:val="002356F4"/>
    <w:rsid w:val="0023571C"/>
    <w:rsid w:val="00235933"/>
    <w:rsid w:val="00235B84"/>
    <w:rsid w:val="00235C55"/>
    <w:rsid w:val="00235C60"/>
    <w:rsid w:val="00235CD9"/>
    <w:rsid w:val="00235F21"/>
    <w:rsid w:val="00235FB6"/>
    <w:rsid w:val="002360A7"/>
    <w:rsid w:val="002360E4"/>
    <w:rsid w:val="00236229"/>
    <w:rsid w:val="00236524"/>
    <w:rsid w:val="002367FF"/>
    <w:rsid w:val="00236949"/>
    <w:rsid w:val="002369F1"/>
    <w:rsid w:val="00236A6F"/>
    <w:rsid w:val="00236D3C"/>
    <w:rsid w:val="00236E5C"/>
    <w:rsid w:val="00237367"/>
    <w:rsid w:val="00237430"/>
    <w:rsid w:val="00237598"/>
    <w:rsid w:val="00237609"/>
    <w:rsid w:val="00237764"/>
    <w:rsid w:val="002377F2"/>
    <w:rsid w:val="00237890"/>
    <w:rsid w:val="002378C7"/>
    <w:rsid w:val="00237A62"/>
    <w:rsid w:val="00237BB9"/>
    <w:rsid w:val="00237BEE"/>
    <w:rsid w:val="00237CE2"/>
    <w:rsid w:val="00237D59"/>
    <w:rsid w:val="00237DAF"/>
    <w:rsid w:val="00237DB2"/>
    <w:rsid w:val="00237FFC"/>
    <w:rsid w:val="0024009A"/>
    <w:rsid w:val="00240287"/>
    <w:rsid w:val="002405BB"/>
    <w:rsid w:val="00240802"/>
    <w:rsid w:val="002408A6"/>
    <w:rsid w:val="002409E1"/>
    <w:rsid w:val="00240AF1"/>
    <w:rsid w:val="00240C08"/>
    <w:rsid w:val="00240C74"/>
    <w:rsid w:val="00240E1D"/>
    <w:rsid w:val="00240E49"/>
    <w:rsid w:val="00240FE2"/>
    <w:rsid w:val="0024103F"/>
    <w:rsid w:val="00241082"/>
    <w:rsid w:val="00241263"/>
    <w:rsid w:val="0024144A"/>
    <w:rsid w:val="002415F1"/>
    <w:rsid w:val="00241674"/>
    <w:rsid w:val="00241754"/>
    <w:rsid w:val="00241893"/>
    <w:rsid w:val="0024191E"/>
    <w:rsid w:val="00241BD9"/>
    <w:rsid w:val="00241C98"/>
    <w:rsid w:val="00241D4C"/>
    <w:rsid w:val="00241F1B"/>
    <w:rsid w:val="00241F5D"/>
    <w:rsid w:val="002421C5"/>
    <w:rsid w:val="002422D0"/>
    <w:rsid w:val="002425A7"/>
    <w:rsid w:val="002426EE"/>
    <w:rsid w:val="002428E9"/>
    <w:rsid w:val="00242AA1"/>
    <w:rsid w:val="00242B58"/>
    <w:rsid w:val="00242B78"/>
    <w:rsid w:val="00243262"/>
    <w:rsid w:val="002432D2"/>
    <w:rsid w:val="00243439"/>
    <w:rsid w:val="002434AE"/>
    <w:rsid w:val="00243508"/>
    <w:rsid w:val="00243629"/>
    <w:rsid w:val="0024366D"/>
    <w:rsid w:val="002436E3"/>
    <w:rsid w:val="002436F6"/>
    <w:rsid w:val="002437AE"/>
    <w:rsid w:val="00243913"/>
    <w:rsid w:val="00243BF2"/>
    <w:rsid w:val="00243C0D"/>
    <w:rsid w:val="00243C84"/>
    <w:rsid w:val="00243CCC"/>
    <w:rsid w:val="00243E3B"/>
    <w:rsid w:val="00244022"/>
    <w:rsid w:val="00244048"/>
    <w:rsid w:val="00244096"/>
    <w:rsid w:val="002442C5"/>
    <w:rsid w:val="002442E5"/>
    <w:rsid w:val="00244472"/>
    <w:rsid w:val="00244CE4"/>
    <w:rsid w:val="00244EF2"/>
    <w:rsid w:val="00244F08"/>
    <w:rsid w:val="00244FE5"/>
    <w:rsid w:val="002450ED"/>
    <w:rsid w:val="0024536E"/>
    <w:rsid w:val="002454D8"/>
    <w:rsid w:val="00245567"/>
    <w:rsid w:val="002456E0"/>
    <w:rsid w:val="002457EF"/>
    <w:rsid w:val="00245A35"/>
    <w:rsid w:val="00245AFB"/>
    <w:rsid w:val="00245C74"/>
    <w:rsid w:val="002460E1"/>
    <w:rsid w:val="0024625D"/>
    <w:rsid w:val="002466F8"/>
    <w:rsid w:val="0024683D"/>
    <w:rsid w:val="002468BA"/>
    <w:rsid w:val="002468EE"/>
    <w:rsid w:val="00246C11"/>
    <w:rsid w:val="00246DA2"/>
    <w:rsid w:val="00246DC3"/>
    <w:rsid w:val="00246E0A"/>
    <w:rsid w:val="00246E64"/>
    <w:rsid w:val="00246F37"/>
    <w:rsid w:val="00247079"/>
    <w:rsid w:val="0024707A"/>
    <w:rsid w:val="002471D9"/>
    <w:rsid w:val="00247269"/>
    <w:rsid w:val="002472F8"/>
    <w:rsid w:val="002474A1"/>
    <w:rsid w:val="0024755C"/>
    <w:rsid w:val="0024789B"/>
    <w:rsid w:val="00247989"/>
    <w:rsid w:val="00247B04"/>
    <w:rsid w:val="00247B36"/>
    <w:rsid w:val="00247B88"/>
    <w:rsid w:val="00247CD4"/>
    <w:rsid w:val="00247F42"/>
    <w:rsid w:val="00250055"/>
    <w:rsid w:val="002500D8"/>
    <w:rsid w:val="00250122"/>
    <w:rsid w:val="0025019B"/>
    <w:rsid w:val="0025035A"/>
    <w:rsid w:val="002503EF"/>
    <w:rsid w:val="0025041B"/>
    <w:rsid w:val="00250424"/>
    <w:rsid w:val="0025048F"/>
    <w:rsid w:val="00250497"/>
    <w:rsid w:val="002504DE"/>
    <w:rsid w:val="002506AF"/>
    <w:rsid w:val="002508AD"/>
    <w:rsid w:val="002509B4"/>
    <w:rsid w:val="002509FB"/>
    <w:rsid w:val="00250AA9"/>
    <w:rsid w:val="00250DE1"/>
    <w:rsid w:val="00250DEC"/>
    <w:rsid w:val="00250F82"/>
    <w:rsid w:val="002510DD"/>
    <w:rsid w:val="00251144"/>
    <w:rsid w:val="0025117B"/>
    <w:rsid w:val="0025121E"/>
    <w:rsid w:val="002514EC"/>
    <w:rsid w:val="002516D9"/>
    <w:rsid w:val="002516FD"/>
    <w:rsid w:val="00251A16"/>
    <w:rsid w:val="00251A2E"/>
    <w:rsid w:val="00251A48"/>
    <w:rsid w:val="00251A5D"/>
    <w:rsid w:val="00251B3B"/>
    <w:rsid w:val="00251B62"/>
    <w:rsid w:val="00251D4A"/>
    <w:rsid w:val="00251D7A"/>
    <w:rsid w:val="00251E26"/>
    <w:rsid w:val="00251F49"/>
    <w:rsid w:val="00251F5E"/>
    <w:rsid w:val="00251FE2"/>
    <w:rsid w:val="00252097"/>
    <w:rsid w:val="002522D0"/>
    <w:rsid w:val="0025245A"/>
    <w:rsid w:val="00252508"/>
    <w:rsid w:val="002526F2"/>
    <w:rsid w:val="002528C2"/>
    <w:rsid w:val="002528E5"/>
    <w:rsid w:val="00252927"/>
    <w:rsid w:val="00252967"/>
    <w:rsid w:val="002529B3"/>
    <w:rsid w:val="00252A52"/>
    <w:rsid w:val="00252B70"/>
    <w:rsid w:val="00252CEF"/>
    <w:rsid w:val="00252F61"/>
    <w:rsid w:val="00252F77"/>
    <w:rsid w:val="00252F81"/>
    <w:rsid w:val="0025310E"/>
    <w:rsid w:val="002532BF"/>
    <w:rsid w:val="002533CC"/>
    <w:rsid w:val="0025348C"/>
    <w:rsid w:val="002536E2"/>
    <w:rsid w:val="002537E7"/>
    <w:rsid w:val="00253802"/>
    <w:rsid w:val="00253821"/>
    <w:rsid w:val="00253995"/>
    <w:rsid w:val="002539BC"/>
    <w:rsid w:val="00253ABA"/>
    <w:rsid w:val="00253AE7"/>
    <w:rsid w:val="00253C45"/>
    <w:rsid w:val="00253C73"/>
    <w:rsid w:val="00253C98"/>
    <w:rsid w:val="00253D08"/>
    <w:rsid w:val="00253D90"/>
    <w:rsid w:val="00253E69"/>
    <w:rsid w:val="00253E82"/>
    <w:rsid w:val="00253EE1"/>
    <w:rsid w:val="00253F41"/>
    <w:rsid w:val="00254116"/>
    <w:rsid w:val="002541D0"/>
    <w:rsid w:val="00254373"/>
    <w:rsid w:val="002548E9"/>
    <w:rsid w:val="002549E1"/>
    <w:rsid w:val="00254C12"/>
    <w:rsid w:val="00254E00"/>
    <w:rsid w:val="00254E8A"/>
    <w:rsid w:val="0025503A"/>
    <w:rsid w:val="00255056"/>
    <w:rsid w:val="002550B0"/>
    <w:rsid w:val="002550EE"/>
    <w:rsid w:val="002551C6"/>
    <w:rsid w:val="0025536D"/>
    <w:rsid w:val="00255607"/>
    <w:rsid w:val="00255650"/>
    <w:rsid w:val="0025578E"/>
    <w:rsid w:val="00255939"/>
    <w:rsid w:val="002559DE"/>
    <w:rsid w:val="002559E6"/>
    <w:rsid w:val="00255A08"/>
    <w:rsid w:val="00255BDF"/>
    <w:rsid w:val="00255C19"/>
    <w:rsid w:val="00255DEA"/>
    <w:rsid w:val="00255EF8"/>
    <w:rsid w:val="00255F24"/>
    <w:rsid w:val="00256093"/>
    <w:rsid w:val="002563F1"/>
    <w:rsid w:val="00256478"/>
    <w:rsid w:val="002565B9"/>
    <w:rsid w:val="002565F9"/>
    <w:rsid w:val="002567A1"/>
    <w:rsid w:val="00256A9C"/>
    <w:rsid w:val="00256B8A"/>
    <w:rsid w:val="00256C3A"/>
    <w:rsid w:val="00256D74"/>
    <w:rsid w:val="00256DFE"/>
    <w:rsid w:val="00257055"/>
    <w:rsid w:val="0025706B"/>
    <w:rsid w:val="002571B9"/>
    <w:rsid w:val="0025725E"/>
    <w:rsid w:val="00257286"/>
    <w:rsid w:val="002572E8"/>
    <w:rsid w:val="0025734E"/>
    <w:rsid w:val="00257358"/>
    <w:rsid w:val="0025738A"/>
    <w:rsid w:val="00257513"/>
    <w:rsid w:val="00257703"/>
    <w:rsid w:val="002579D6"/>
    <w:rsid w:val="00257B3D"/>
    <w:rsid w:val="00257BA5"/>
    <w:rsid w:val="00257BE4"/>
    <w:rsid w:val="00257D09"/>
    <w:rsid w:val="00257DE8"/>
    <w:rsid w:val="002600FD"/>
    <w:rsid w:val="002604E5"/>
    <w:rsid w:val="0026085B"/>
    <w:rsid w:val="002608A6"/>
    <w:rsid w:val="00260975"/>
    <w:rsid w:val="00260B56"/>
    <w:rsid w:val="00260EE5"/>
    <w:rsid w:val="00260F30"/>
    <w:rsid w:val="002610AB"/>
    <w:rsid w:val="00261312"/>
    <w:rsid w:val="00261334"/>
    <w:rsid w:val="002616C5"/>
    <w:rsid w:val="002619B5"/>
    <w:rsid w:val="00261A53"/>
    <w:rsid w:val="00261CAE"/>
    <w:rsid w:val="00261E89"/>
    <w:rsid w:val="00261EEA"/>
    <w:rsid w:val="00261FF1"/>
    <w:rsid w:val="00262157"/>
    <w:rsid w:val="002621A0"/>
    <w:rsid w:val="00262241"/>
    <w:rsid w:val="00262311"/>
    <w:rsid w:val="002623D4"/>
    <w:rsid w:val="002625C5"/>
    <w:rsid w:val="00262759"/>
    <w:rsid w:val="00262BF8"/>
    <w:rsid w:val="00262F10"/>
    <w:rsid w:val="00262F4A"/>
    <w:rsid w:val="002631B8"/>
    <w:rsid w:val="0026330A"/>
    <w:rsid w:val="00263320"/>
    <w:rsid w:val="002634E8"/>
    <w:rsid w:val="0026355D"/>
    <w:rsid w:val="00263593"/>
    <w:rsid w:val="00263613"/>
    <w:rsid w:val="0026364C"/>
    <w:rsid w:val="002636A1"/>
    <w:rsid w:val="0026391F"/>
    <w:rsid w:val="0026393B"/>
    <w:rsid w:val="00263944"/>
    <w:rsid w:val="00263B28"/>
    <w:rsid w:val="00263B2D"/>
    <w:rsid w:val="00263D74"/>
    <w:rsid w:val="00264222"/>
    <w:rsid w:val="002642DF"/>
    <w:rsid w:val="002645AA"/>
    <w:rsid w:val="002645EE"/>
    <w:rsid w:val="002646DE"/>
    <w:rsid w:val="002649C4"/>
    <w:rsid w:val="00264A75"/>
    <w:rsid w:val="00264BDD"/>
    <w:rsid w:val="00264C6B"/>
    <w:rsid w:val="00264C7E"/>
    <w:rsid w:val="00264C8E"/>
    <w:rsid w:val="00264D51"/>
    <w:rsid w:val="00264D96"/>
    <w:rsid w:val="00265028"/>
    <w:rsid w:val="00265369"/>
    <w:rsid w:val="002654DC"/>
    <w:rsid w:val="00265525"/>
    <w:rsid w:val="00265C2E"/>
    <w:rsid w:val="00265C84"/>
    <w:rsid w:val="00265E68"/>
    <w:rsid w:val="00265E69"/>
    <w:rsid w:val="00265F93"/>
    <w:rsid w:val="00265FA9"/>
    <w:rsid w:val="002660D1"/>
    <w:rsid w:val="0026616F"/>
    <w:rsid w:val="002662B4"/>
    <w:rsid w:val="002663D0"/>
    <w:rsid w:val="00266528"/>
    <w:rsid w:val="0026663D"/>
    <w:rsid w:val="002666BB"/>
    <w:rsid w:val="0026676B"/>
    <w:rsid w:val="00266793"/>
    <w:rsid w:val="00266865"/>
    <w:rsid w:val="0026699D"/>
    <w:rsid w:val="002669D2"/>
    <w:rsid w:val="00266A3A"/>
    <w:rsid w:val="00266B12"/>
    <w:rsid w:val="00266E42"/>
    <w:rsid w:val="00266FC5"/>
    <w:rsid w:val="0026703C"/>
    <w:rsid w:val="00267156"/>
    <w:rsid w:val="0026736A"/>
    <w:rsid w:val="002675CA"/>
    <w:rsid w:val="00267966"/>
    <w:rsid w:val="00267A2E"/>
    <w:rsid w:val="00267A94"/>
    <w:rsid w:val="00267B34"/>
    <w:rsid w:val="00267B3B"/>
    <w:rsid w:val="00267FE3"/>
    <w:rsid w:val="002700DD"/>
    <w:rsid w:val="00270253"/>
    <w:rsid w:val="00270406"/>
    <w:rsid w:val="0027054D"/>
    <w:rsid w:val="00270660"/>
    <w:rsid w:val="00270677"/>
    <w:rsid w:val="00270765"/>
    <w:rsid w:val="002708A0"/>
    <w:rsid w:val="002708F3"/>
    <w:rsid w:val="00270931"/>
    <w:rsid w:val="0027099D"/>
    <w:rsid w:val="002709D2"/>
    <w:rsid w:val="00270AB5"/>
    <w:rsid w:val="00270B4A"/>
    <w:rsid w:val="00270C94"/>
    <w:rsid w:val="00270D49"/>
    <w:rsid w:val="00270DD0"/>
    <w:rsid w:val="00270F68"/>
    <w:rsid w:val="002711E7"/>
    <w:rsid w:val="002711F7"/>
    <w:rsid w:val="00271223"/>
    <w:rsid w:val="002715B6"/>
    <w:rsid w:val="0027168E"/>
    <w:rsid w:val="0027193F"/>
    <w:rsid w:val="002719E9"/>
    <w:rsid w:val="00271B29"/>
    <w:rsid w:val="00271C03"/>
    <w:rsid w:val="00271C14"/>
    <w:rsid w:val="00271DCD"/>
    <w:rsid w:val="0027219C"/>
    <w:rsid w:val="00272237"/>
    <w:rsid w:val="0027244A"/>
    <w:rsid w:val="0027249C"/>
    <w:rsid w:val="00272537"/>
    <w:rsid w:val="002725B4"/>
    <w:rsid w:val="002726B4"/>
    <w:rsid w:val="0027273F"/>
    <w:rsid w:val="00272877"/>
    <w:rsid w:val="00272894"/>
    <w:rsid w:val="002728EC"/>
    <w:rsid w:val="002728F8"/>
    <w:rsid w:val="00272920"/>
    <w:rsid w:val="002729F9"/>
    <w:rsid w:val="00272A7A"/>
    <w:rsid w:val="00272C29"/>
    <w:rsid w:val="002730C8"/>
    <w:rsid w:val="002734C8"/>
    <w:rsid w:val="0027351F"/>
    <w:rsid w:val="00273654"/>
    <w:rsid w:val="0027368D"/>
    <w:rsid w:val="00273847"/>
    <w:rsid w:val="0027387B"/>
    <w:rsid w:val="002738C8"/>
    <w:rsid w:val="002739D5"/>
    <w:rsid w:val="00273C85"/>
    <w:rsid w:val="00273CED"/>
    <w:rsid w:val="00273EA7"/>
    <w:rsid w:val="00273EEF"/>
    <w:rsid w:val="00273F97"/>
    <w:rsid w:val="00274096"/>
    <w:rsid w:val="00274242"/>
    <w:rsid w:val="002742C9"/>
    <w:rsid w:val="002742F8"/>
    <w:rsid w:val="002743D5"/>
    <w:rsid w:val="00274410"/>
    <w:rsid w:val="0027449E"/>
    <w:rsid w:val="002744A0"/>
    <w:rsid w:val="00274711"/>
    <w:rsid w:val="0027493B"/>
    <w:rsid w:val="002749C6"/>
    <w:rsid w:val="00274B9C"/>
    <w:rsid w:val="00274BA6"/>
    <w:rsid w:val="00274C6E"/>
    <w:rsid w:val="00274D64"/>
    <w:rsid w:val="00274E78"/>
    <w:rsid w:val="00274F60"/>
    <w:rsid w:val="00274FCA"/>
    <w:rsid w:val="00274FF1"/>
    <w:rsid w:val="00275193"/>
    <w:rsid w:val="00275389"/>
    <w:rsid w:val="0027541C"/>
    <w:rsid w:val="00275426"/>
    <w:rsid w:val="0027544D"/>
    <w:rsid w:val="002754DE"/>
    <w:rsid w:val="00275638"/>
    <w:rsid w:val="00275707"/>
    <w:rsid w:val="002757CC"/>
    <w:rsid w:val="0027586C"/>
    <w:rsid w:val="00275881"/>
    <w:rsid w:val="00275BD7"/>
    <w:rsid w:val="00275BE8"/>
    <w:rsid w:val="00275E39"/>
    <w:rsid w:val="00276138"/>
    <w:rsid w:val="00276152"/>
    <w:rsid w:val="00276218"/>
    <w:rsid w:val="002762B4"/>
    <w:rsid w:val="002763AC"/>
    <w:rsid w:val="002764E6"/>
    <w:rsid w:val="00276637"/>
    <w:rsid w:val="0027672E"/>
    <w:rsid w:val="00276884"/>
    <w:rsid w:val="002768A8"/>
    <w:rsid w:val="00276CBB"/>
    <w:rsid w:val="00276D52"/>
    <w:rsid w:val="00276F40"/>
    <w:rsid w:val="00276F43"/>
    <w:rsid w:val="00276F9C"/>
    <w:rsid w:val="00276FCE"/>
    <w:rsid w:val="00277000"/>
    <w:rsid w:val="00277064"/>
    <w:rsid w:val="0027706E"/>
    <w:rsid w:val="00277073"/>
    <w:rsid w:val="00277111"/>
    <w:rsid w:val="0027714F"/>
    <w:rsid w:val="002772D0"/>
    <w:rsid w:val="0027743F"/>
    <w:rsid w:val="002778FA"/>
    <w:rsid w:val="00277C3A"/>
    <w:rsid w:val="00277D4E"/>
    <w:rsid w:val="00277DA7"/>
    <w:rsid w:val="00277F83"/>
    <w:rsid w:val="00277F8D"/>
    <w:rsid w:val="00280098"/>
    <w:rsid w:val="002800A4"/>
    <w:rsid w:val="00280422"/>
    <w:rsid w:val="002804CD"/>
    <w:rsid w:val="0028067E"/>
    <w:rsid w:val="0028069F"/>
    <w:rsid w:val="0028079D"/>
    <w:rsid w:val="00280904"/>
    <w:rsid w:val="00280944"/>
    <w:rsid w:val="00280951"/>
    <w:rsid w:val="00280AD8"/>
    <w:rsid w:val="00280BE4"/>
    <w:rsid w:val="00280DB4"/>
    <w:rsid w:val="00280F04"/>
    <w:rsid w:val="00280F80"/>
    <w:rsid w:val="00280FCF"/>
    <w:rsid w:val="00281013"/>
    <w:rsid w:val="0028105D"/>
    <w:rsid w:val="0028113E"/>
    <w:rsid w:val="0028143A"/>
    <w:rsid w:val="002814D5"/>
    <w:rsid w:val="00281574"/>
    <w:rsid w:val="0028182A"/>
    <w:rsid w:val="00281971"/>
    <w:rsid w:val="00281988"/>
    <w:rsid w:val="002819EB"/>
    <w:rsid w:val="00281D76"/>
    <w:rsid w:val="00281DAA"/>
    <w:rsid w:val="002823B0"/>
    <w:rsid w:val="002823C2"/>
    <w:rsid w:val="002824BC"/>
    <w:rsid w:val="00282535"/>
    <w:rsid w:val="00282591"/>
    <w:rsid w:val="00282616"/>
    <w:rsid w:val="00282638"/>
    <w:rsid w:val="00282781"/>
    <w:rsid w:val="0028290C"/>
    <w:rsid w:val="002829BD"/>
    <w:rsid w:val="00282B81"/>
    <w:rsid w:val="00282BBF"/>
    <w:rsid w:val="00282D6E"/>
    <w:rsid w:val="00282E46"/>
    <w:rsid w:val="00282EC8"/>
    <w:rsid w:val="0028363F"/>
    <w:rsid w:val="00283745"/>
    <w:rsid w:val="002838D7"/>
    <w:rsid w:val="00283919"/>
    <w:rsid w:val="002839E0"/>
    <w:rsid w:val="00283AB6"/>
    <w:rsid w:val="00283B09"/>
    <w:rsid w:val="00283B8A"/>
    <w:rsid w:val="00283C52"/>
    <w:rsid w:val="00283F03"/>
    <w:rsid w:val="0028405B"/>
    <w:rsid w:val="002842B6"/>
    <w:rsid w:val="002842BF"/>
    <w:rsid w:val="002842FF"/>
    <w:rsid w:val="00284304"/>
    <w:rsid w:val="00284375"/>
    <w:rsid w:val="002843AA"/>
    <w:rsid w:val="002843F2"/>
    <w:rsid w:val="00284515"/>
    <w:rsid w:val="00284563"/>
    <w:rsid w:val="002845A5"/>
    <w:rsid w:val="00284600"/>
    <w:rsid w:val="002846D4"/>
    <w:rsid w:val="002847A9"/>
    <w:rsid w:val="00284B19"/>
    <w:rsid w:val="00284B28"/>
    <w:rsid w:val="00284BB0"/>
    <w:rsid w:val="00284E2D"/>
    <w:rsid w:val="00284EAD"/>
    <w:rsid w:val="00284FA4"/>
    <w:rsid w:val="00285011"/>
    <w:rsid w:val="00285389"/>
    <w:rsid w:val="00285396"/>
    <w:rsid w:val="00285485"/>
    <w:rsid w:val="00285546"/>
    <w:rsid w:val="002855C0"/>
    <w:rsid w:val="002855E6"/>
    <w:rsid w:val="0028573A"/>
    <w:rsid w:val="0028587D"/>
    <w:rsid w:val="00285AAB"/>
    <w:rsid w:val="00285C34"/>
    <w:rsid w:val="00285C97"/>
    <w:rsid w:val="00285D42"/>
    <w:rsid w:val="00285EB5"/>
    <w:rsid w:val="00286085"/>
    <w:rsid w:val="002860B1"/>
    <w:rsid w:val="002862FF"/>
    <w:rsid w:val="00286354"/>
    <w:rsid w:val="002865BE"/>
    <w:rsid w:val="0028661E"/>
    <w:rsid w:val="0028670E"/>
    <w:rsid w:val="00286991"/>
    <w:rsid w:val="00286B06"/>
    <w:rsid w:val="00286CDA"/>
    <w:rsid w:val="00286D68"/>
    <w:rsid w:val="00286F60"/>
    <w:rsid w:val="002872FD"/>
    <w:rsid w:val="0028740A"/>
    <w:rsid w:val="002874B1"/>
    <w:rsid w:val="00287555"/>
    <w:rsid w:val="002875FB"/>
    <w:rsid w:val="00287614"/>
    <w:rsid w:val="002876AD"/>
    <w:rsid w:val="0028773B"/>
    <w:rsid w:val="0028777F"/>
    <w:rsid w:val="00287798"/>
    <w:rsid w:val="00287831"/>
    <w:rsid w:val="0028789D"/>
    <w:rsid w:val="002878A2"/>
    <w:rsid w:val="00287965"/>
    <w:rsid w:val="00287A06"/>
    <w:rsid w:val="00287A0D"/>
    <w:rsid w:val="00287A47"/>
    <w:rsid w:val="00287B77"/>
    <w:rsid w:val="00287E78"/>
    <w:rsid w:val="00287EE4"/>
    <w:rsid w:val="00287F0F"/>
    <w:rsid w:val="00287F5A"/>
    <w:rsid w:val="00287FBA"/>
    <w:rsid w:val="00290139"/>
    <w:rsid w:val="002901DB"/>
    <w:rsid w:val="00290291"/>
    <w:rsid w:val="00290309"/>
    <w:rsid w:val="002904C6"/>
    <w:rsid w:val="00290501"/>
    <w:rsid w:val="00290601"/>
    <w:rsid w:val="00290649"/>
    <w:rsid w:val="002906CB"/>
    <w:rsid w:val="00290762"/>
    <w:rsid w:val="0029077D"/>
    <w:rsid w:val="0029083C"/>
    <w:rsid w:val="00290854"/>
    <w:rsid w:val="00290899"/>
    <w:rsid w:val="0029097B"/>
    <w:rsid w:val="00290B20"/>
    <w:rsid w:val="00290BAF"/>
    <w:rsid w:val="00290C7D"/>
    <w:rsid w:val="00290E5A"/>
    <w:rsid w:val="00290E84"/>
    <w:rsid w:val="00291179"/>
    <w:rsid w:val="00291180"/>
    <w:rsid w:val="002912FD"/>
    <w:rsid w:val="002913A7"/>
    <w:rsid w:val="0029152D"/>
    <w:rsid w:val="00291686"/>
    <w:rsid w:val="002916D3"/>
    <w:rsid w:val="00291758"/>
    <w:rsid w:val="00291850"/>
    <w:rsid w:val="00291A05"/>
    <w:rsid w:val="00291A26"/>
    <w:rsid w:val="00291A64"/>
    <w:rsid w:val="00291B22"/>
    <w:rsid w:val="00291C7A"/>
    <w:rsid w:val="00291C8A"/>
    <w:rsid w:val="00291D7E"/>
    <w:rsid w:val="00291E63"/>
    <w:rsid w:val="00291E7A"/>
    <w:rsid w:val="00291E7B"/>
    <w:rsid w:val="00291F6E"/>
    <w:rsid w:val="0029207E"/>
    <w:rsid w:val="00292168"/>
    <w:rsid w:val="002921C6"/>
    <w:rsid w:val="002923B8"/>
    <w:rsid w:val="0029264F"/>
    <w:rsid w:val="00292739"/>
    <w:rsid w:val="0029299D"/>
    <w:rsid w:val="00292A83"/>
    <w:rsid w:val="00292ACB"/>
    <w:rsid w:val="00292C81"/>
    <w:rsid w:val="00292CFC"/>
    <w:rsid w:val="00292E29"/>
    <w:rsid w:val="00292E7E"/>
    <w:rsid w:val="00292E88"/>
    <w:rsid w:val="00292FF2"/>
    <w:rsid w:val="002930D6"/>
    <w:rsid w:val="002930E3"/>
    <w:rsid w:val="002931E5"/>
    <w:rsid w:val="00293298"/>
    <w:rsid w:val="002933B2"/>
    <w:rsid w:val="00293620"/>
    <w:rsid w:val="0029362A"/>
    <w:rsid w:val="002939D5"/>
    <w:rsid w:val="00293C11"/>
    <w:rsid w:val="00293C3D"/>
    <w:rsid w:val="00294065"/>
    <w:rsid w:val="00294169"/>
    <w:rsid w:val="002941DB"/>
    <w:rsid w:val="002943F9"/>
    <w:rsid w:val="00294562"/>
    <w:rsid w:val="00294601"/>
    <w:rsid w:val="002947C2"/>
    <w:rsid w:val="00294838"/>
    <w:rsid w:val="002949D3"/>
    <w:rsid w:val="00294BCD"/>
    <w:rsid w:val="00294BD1"/>
    <w:rsid w:val="00294D8B"/>
    <w:rsid w:val="00294DD0"/>
    <w:rsid w:val="00294E31"/>
    <w:rsid w:val="00294F44"/>
    <w:rsid w:val="00294FEA"/>
    <w:rsid w:val="00295610"/>
    <w:rsid w:val="00295653"/>
    <w:rsid w:val="00295947"/>
    <w:rsid w:val="00295A8B"/>
    <w:rsid w:val="00295BD4"/>
    <w:rsid w:val="00295BD9"/>
    <w:rsid w:val="00295CFA"/>
    <w:rsid w:val="0029612B"/>
    <w:rsid w:val="00296312"/>
    <w:rsid w:val="00296573"/>
    <w:rsid w:val="00296843"/>
    <w:rsid w:val="00296AB0"/>
    <w:rsid w:val="00296AB2"/>
    <w:rsid w:val="00296B32"/>
    <w:rsid w:val="00296BB5"/>
    <w:rsid w:val="00296C18"/>
    <w:rsid w:val="00296C79"/>
    <w:rsid w:val="00296E02"/>
    <w:rsid w:val="00296FD0"/>
    <w:rsid w:val="002970AD"/>
    <w:rsid w:val="00297150"/>
    <w:rsid w:val="002972C7"/>
    <w:rsid w:val="002972E3"/>
    <w:rsid w:val="00297464"/>
    <w:rsid w:val="002975D5"/>
    <w:rsid w:val="002976A1"/>
    <w:rsid w:val="002979DF"/>
    <w:rsid w:val="00297A91"/>
    <w:rsid w:val="00297D00"/>
    <w:rsid w:val="00297D3B"/>
    <w:rsid w:val="00297D81"/>
    <w:rsid w:val="00297F24"/>
    <w:rsid w:val="00297F71"/>
    <w:rsid w:val="002A00BF"/>
    <w:rsid w:val="002A01B4"/>
    <w:rsid w:val="002A022D"/>
    <w:rsid w:val="002A0756"/>
    <w:rsid w:val="002A08E1"/>
    <w:rsid w:val="002A0AA4"/>
    <w:rsid w:val="002A0B96"/>
    <w:rsid w:val="002A0D69"/>
    <w:rsid w:val="002A0F9E"/>
    <w:rsid w:val="002A1025"/>
    <w:rsid w:val="002A10E9"/>
    <w:rsid w:val="002A112A"/>
    <w:rsid w:val="002A1237"/>
    <w:rsid w:val="002A13A2"/>
    <w:rsid w:val="002A1521"/>
    <w:rsid w:val="002A1928"/>
    <w:rsid w:val="002A1B61"/>
    <w:rsid w:val="002A1BAD"/>
    <w:rsid w:val="002A1CD5"/>
    <w:rsid w:val="002A1CED"/>
    <w:rsid w:val="002A1CF6"/>
    <w:rsid w:val="002A1E3C"/>
    <w:rsid w:val="002A1E5C"/>
    <w:rsid w:val="002A1E7A"/>
    <w:rsid w:val="002A2098"/>
    <w:rsid w:val="002A21AD"/>
    <w:rsid w:val="002A2382"/>
    <w:rsid w:val="002A253C"/>
    <w:rsid w:val="002A25AE"/>
    <w:rsid w:val="002A2642"/>
    <w:rsid w:val="002A2652"/>
    <w:rsid w:val="002A2736"/>
    <w:rsid w:val="002A2748"/>
    <w:rsid w:val="002A27BC"/>
    <w:rsid w:val="002A27CA"/>
    <w:rsid w:val="002A2B68"/>
    <w:rsid w:val="002A2BC9"/>
    <w:rsid w:val="002A2D4D"/>
    <w:rsid w:val="002A2D7F"/>
    <w:rsid w:val="002A2E95"/>
    <w:rsid w:val="002A2ECA"/>
    <w:rsid w:val="002A3222"/>
    <w:rsid w:val="002A325A"/>
    <w:rsid w:val="002A334A"/>
    <w:rsid w:val="002A335C"/>
    <w:rsid w:val="002A34A2"/>
    <w:rsid w:val="002A3757"/>
    <w:rsid w:val="002A37FB"/>
    <w:rsid w:val="002A391B"/>
    <w:rsid w:val="002A3956"/>
    <w:rsid w:val="002A3B08"/>
    <w:rsid w:val="002A3C3B"/>
    <w:rsid w:val="002A3CC0"/>
    <w:rsid w:val="002A3EB7"/>
    <w:rsid w:val="002A3F9C"/>
    <w:rsid w:val="002A418D"/>
    <w:rsid w:val="002A41C1"/>
    <w:rsid w:val="002A43D5"/>
    <w:rsid w:val="002A453A"/>
    <w:rsid w:val="002A47B9"/>
    <w:rsid w:val="002A4A13"/>
    <w:rsid w:val="002A4A34"/>
    <w:rsid w:val="002A4C83"/>
    <w:rsid w:val="002A4CA9"/>
    <w:rsid w:val="002A4CE0"/>
    <w:rsid w:val="002A4D5D"/>
    <w:rsid w:val="002A4EED"/>
    <w:rsid w:val="002A5068"/>
    <w:rsid w:val="002A5077"/>
    <w:rsid w:val="002A5126"/>
    <w:rsid w:val="002A518E"/>
    <w:rsid w:val="002A539E"/>
    <w:rsid w:val="002A5437"/>
    <w:rsid w:val="002A5867"/>
    <w:rsid w:val="002A591A"/>
    <w:rsid w:val="002A591E"/>
    <w:rsid w:val="002A5A00"/>
    <w:rsid w:val="002A5A61"/>
    <w:rsid w:val="002A5B0B"/>
    <w:rsid w:val="002A5D4E"/>
    <w:rsid w:val="002A603E"/>
    <w:rsid w:val="002A6283"/>
    <w:rsid w:val="002A6309"/>
    <w:rsid w:val="002A63B1"/>
    <w:rsid w:val="002A6405"/>
    <w:rsid w:val="002A6428"/>
    <w:rsid w:val="002A6480"/>
    <w:rsid w:val="002A64A1"/>
    <w:rsid w:val="002A64D8"/>
    <w:rsid w:val="002A65C2"/>
    <w:rsid w:val="002A6779"/>
    <w:rsid w:val="002A67D3"/>
    <w:rsid w:val="002A67EC"/>
    <w:rsid w:val="002A68FC"/>
    <w:rsid w:val="002A6A3B"/>
    <w:rsid w:val="002A6B20"/>
    <w:rsid w:val="002A6C73"/>
    <w:rsid w:val="002A7398"/>
    <w:rsid w:val="002A759F"/>
    <w:rsid w:val="002A7747"/>
    <w:rsid w:val="002A7972"/>
    <w:rsid w:val="002A7990"/>
    <w:rsid w:val="002A79F7"/>
    <w:rsid w:val="002A7A42"/>
    <w:rsid w:val="002A7B0E"/>
    <w:rsid w:val="002A7B1E"/>
    <w:rsid w:val="002A7D90"/>
    <w:rsid w:val="002A7FE9"/>
    <w:rsid w:val="002B003F"/>
    <w:rsid w:val="002B00B3"/>
    <w:rsid w:val="002B0158"/>
    <w:rsid w:val="002B01EC"/>
    <w:rsid w:val="002B0259"/>
    <w:rsid w:val="002B030E"/>
    <w:rsid w:val="002B0377"/>
    <w:rsid w:val="002B0B2F"/>
    <w:rsid w:val="002B0DFB"/>
    <w:rsid w:val="002B105F"/>
    <w:rsid w:val="002B12DF"/>
    <w:rsid w:val="002B1324"/>
    <w:rsid w:val="002B1334"/>
    <w:rsid w:val="002B145F"/>
    <w:rsid w:val="002B160C"/>
    <w:rsid w:val="002B1767"/>
    <w:rsid w:val="002B18E6"/>
    <w:rsid w:val="002B1A7E"/>
    <w:rsid w:val="002B1E8A"/>
    <w:rsid w:val="002B1FEA"/>
    <w:rsid w:val="002B2012"/>
    <w:rsid w:val="002B21FB"/>
    <w:rsid w:val="002B22F0"/>
    <w:rsid w:val="002B2318"/>
    <w:rsid w:val="002B231C"/>
    <w:rsid w:val="002B23EB"/>
    <w:rsid w:val="002B2414"/>
    <w:rsid w:val="002B2647"/>
    <w:rsid w:val="002B2662"/>
    <w:rsid w:val="002B2668"/>
    <w:rsid w:val="002B267A"/>
    <w:rsid w:val="002B26B9"/>
    <w:rsid w:val="002B277F"/>
    <w:rsid w:val="002B27D6"/>
    <w:rsid w:val="002B28C2"/>
    <w:rsid w:val="002B297C"/>
    <w:rsid w:val="002B2C2C"/>
    <w:rsid w:val="002B2EA5"/>
    <w:rsid w:val="002B2F64"/>
    <w:rsid w:val="002B2F6E"/>
    <w:rsid w:val="002B2FB3"/>
    <w:rsid w:val="002B329B"/>
    <w:rsid w:val="002B32BC"/>
    <w:rsid w:val="002B35AF"/>
    <w:rsid w:val="002B3769"/>
    <w:rsid w:val="002B37CE"/>
    <w:rsid w:val="002B39D6"/>
    <w:rsid w:val="002B3A83"/>
    <w:rsid w:val="002B3AAF"/>
    <w:rsid w:val="002B3AE5"/>
    <w:rsid w:val="002B3BFA"/>
    <w:rsid w:val="002B3C0B"/>
    <w:rsid w:val="002B3D52"/>
    <w:rsid w:val="002B40FD"/>
    <w:rsid w:val="002B420C"/>
    <w:rsid w:val="002B43A5"/>
    <w:rsid w:val="002B4501"/>
    <w:rsid w:val="002B457A"/>
    <w:rsid w:val="002B4589"/>
    <w:rsid w:val="002B4856"/>
    <w:rsid w:val="002B4ADF"/>
    <w:rsid w:val="002B4B24"/>
    <w:rsid w:val="002B4D11"/>
    <w:rsid w:val="002B4D7C"/>
    <w:rsid w:val="002B4E48"/>
    <w:rsid w:val="002B4ED8"/>
    <w:rsid w:val="002B4EF0"/>
    <w:rsid w:val="002B5097"/>
    <w:rsid w:val="002B517C"/>
    <w:rsid w:val="002B5354"/>
    <w:rsid w:val="002B5674"/>
    <w:rsid w:val="002B56AF"/>
    <w:rsid w:val="002B58F5"/>
    <w:rsid w:val="002B5A37"/>
    <w:rsid w:val="002B5C4C"/>
    <w:rsid w:val="002B5D6D"/>
    <w:rsid w:val="002B5F25"/>
    <w:rsid w:val="002B5FEC"/>
    <w:rsid w:val="002B6018"/>
    <w:rsid w:val="002B60A9"/>
    <w:rsid w:val="002B610A"/>
    <w:rsid w:val="002B61E9"/>
    <w:rsid w:val="002B6271"/>
    <w:rsid w:val="002B62D0"/>
    <w:rsid w:val="002B6512"/>
    <w:rsid w:val="002B67B5"/>
    <w:rsid w:val="002B67E0"/>
    <w:rsid w:val="002B67ED"/>
    <w:rsid w:val="002B6896"/>
    <w:rsid w:val="002B6937"/>
    <w:rsid w:val="002B6A26"/>
    <w:rsid w:val="002B6ABB"/>
    <w:rsid w:val="002B6AEC"/>
    <w:rsid w:val="002B6E64"/>
    <w:rsid w:val="002B6F5A"/>
    <w:rsid w:val="002B6F62"/>
    <w:rsid w:val="002B7121"/>
    <w:rsid w:val="002B729E"/>
    <w:rsid w:val="002B72C7"/>
    <w:rsid w:val="002B73DF"/>
    <w:rsid w:val="002B746C"/>
    <w:rsid w:val="002B74FF"/>
    <w:rsid w:val="002B753B"/>
    <w:rsid w:val="002B75D7"/>
    <w:rsid w:val="002B7655"/>
    <w:rsid w:val="002B766A"/>
    <w:rsid w:val="002B76D0"/>
    <w:rsid w:val="002B771C"/>
    <w:rsid w:val="002B78CA"/>
    <w:rsid w:val="002B798A"/>
    <w:rsid w:val="002B79A0"/>
    <w:rsid w:val="002B7C29"/>
    <w:rsid w:val="002B7C76"/>
    <w:rsid w:val="002B7CBA"/>
    <w:rsid w:val="002B7E1D"/>
    <w:rsid w:val="002C00C6"/>
    <w:rsid w:val="002C01C0"/>
    <w:rsid w:val="002C0263"/>
    <w:rsid w:val="002C0312"/>
    <w:rsid w:val="002C0379"/>
    <w:rsid w:val="002C040A"/>
    <w:rsid w:val="002C0518"/>
    <w:rsid w:val="002C0597"/>
    <w:rsid w:val="002C05E9"/>
    <w:rsid w:val="002C0789"/>
    <w:rsid w:val="002C07AD"/>
    <w:rsid w:val="002C0836"/>
    <w:rsid w:val="002C0857"/>
    <w:rsid w:val="002C08D0"/>
    <w:rsid w:val="002C0928"/>
    <w:rsid w:val="002C0A1D"/>
    <w:rsid w:val="002C0BB2"/>
    <w:rsid w:val="002C0EA3"/>
    <w:rsid w:val="002C12CC"/>
    <w:rsid w:val="002C12D2"/>
    <w:rsid w:val="002C12FB"/>
    <w:rsid w:val="002C156B"/>
    <w:rsid w:val="002C1570"/>
    <w:rsid w:val="002C17D4"/>
    <w:rsid w:val="002C183D"/>
    <w:rsid w:val="002C1AC9"/>
    <w:rsid w:val="002C1F10"/>
    <w:rsid w:val="002C20F8"/>
    <w:rsid w:val="002C2146"/>
    <w:rsid w:val="002C2265"/>
    <w:rsid w:val="002C247E"/>
    <w:rsid w:val="002C249F"/>
    <w:rsid w:val="002C2703"/>
    <w:rsid w:val="002C28B3"/>
    <w:rsid w:val="002C2D4C"/>
    <w:rsid w:val="002C2DC6"/>
    <w:rsid w:val="002C2DDC"/>
    <w:rsid w:val="002C2E2C"/>
    <w:rsid w:val="002C30C1"/>
    <w:rsid w:val="002C320E"/>
    <w:rsid w:val="002C328B"/>
    <w:rsid w:val="002C3408"/>
    <w:rsid w:val="002C36A1"/>
    <w:rsid w:val="002C39E9"/>
    <w:rsid w:val="002C3AA1"/>
    <w:rsid w:val="002C3E03"/>
    <w:rsid w:val="002C3E3E"/>
    <w:rsid w:val="002C3FAA"/>
    <w:rsid w:val="002C414A"/>
    <w:rsid w:val="002C427C"/>
    <w:rsid w:val="002C428B"/>
    <w:rsid w:val="002C4318"/>
    <w:rsid w:val="002C43E2"/>
    <w:rsid w:val="002C43E4"/>
    <w:rsid w:val="002C4BE7"/>
    <w:rsid w:val="002C4C71"/>
    <w:rsid w:val="002C4F05"/>
    <w:rsid w:val="002C5443"/>
    <w:rsid w:val="002C54C8"/>
    <w:rsid w:val="002C559D"/>
    <w:rsid w:val="002C55A6"/>
    <w:rsid w:val="002C569E"/>
    <w:rsid w:val="002C58C4"/>
    <w:rsid w:val="002C5940"/>
    <w:rsid w:val="002C5B16"/>
    <w:rsid w:val="002C5B4D"/>
    <w:rsid w:val="002C5CAD"/>
    <w:rsid w:val="002C5DB1"/>
    <w:rsid w:val="002C5DD6"/>
    <w:rsid w:val="002C5E63"/>
    <w:rsid w:val="002C5F9E"/>
    <w:rsid w:val="002C60AF"/>
    <w:rsid w:val="002C616C"/>
    <w:rsid w:val="002C626B"/>
    <w:rsid w:val="002C627C"/>
    <w:rsid w:val="002C6290"/>
    <w:rsid w:val="002C62C9"/>
    <w:rsid w:val="002C65FE"/>
    <w:rsid w:val="002C66C4"/>
    <w:rsid w:val="002C66FA"/>
    <w:rsid w:val="002C685C"/>
    <w:rsid w:val="002C695B"/>
    <w:rsid w:val="002C696E"/>
    <w:rsid w:val="002C6EE2"/>
    <w:rsid w:val="002C6FC6"/>
    <w:rsid w:val="002C748B"/>
    <w:rsid w:val="002C74DC"/>
    <w:rsid w:val="002C7505"/>
    <w:rsid w:val="002C75EF"/>
    <w:rsid w:val="002C790A"/>
    <w:rsid w:val="002C7A6E"/>
    <w:rsid w:val="002C7AA3"/>
    <w:rsid w:val="002C7CFC"/>
    <w:rsid w:val="002C7DD1"/>
    <w:rsid w:val="002C7F20"/>
    <w:rsid w:val="002C7F3F"/>
    <w:rsid w:val="002C7FB0"/>
    <w:rsid w:val="002D00F5"/>
    <w:rsid w:val="002D0178"/>
    <w:rsid w:val="002D04A7"/>
    <w:rsid w:val="002D0539"/>
    <w:rsid w:val="002D05A2"/>
    <w:rsid w:val="002D05D5"/>
    <w:rsid w:val="002D0770"/>
    <w:rsid w:val="002D0827"/>
    <w:rsid w:val="002D0910"/>
    <w:rsid w:val="002D0A36"/>
    <w:rsid w:val="002D0A69"/>
    <w:rsid w:val="002D0A92"/>
    <w:rsid w:val="002D0BA5"/>
    <w:rsid w:val="002D0D15"/>
    <w:rsid w:val="002D0EBD"/>
    <w:rsid w:val="002D0FD6"/>
    <w:rsid w:val="002D0FDD"/>
    <w:rsid w:val="002D1165"/>
    <w:rsid w:val="002D11B9"/>
    <w:rsid w:val="002D1208"/>
    <w:rsid w:val="002D123D"/>
    <w:rsid w:val="002D1273"/>
    <w:rsid w:val="002D12D8"/>
    <w:rsid w:val="002D1394"/>
    <w:rsid w:val="002D14C4"/>
    <w:rsid w:val="002D1589"/>
    <w:rsid w:val="002D188F"/>
    <w:rsid w:val="002D18A1"/>
    <w:rsid w:val="002D1925"/>
    <w:rsid w:val="002D1BBD"/>
    <w:rsid w:val="002D1BC7"/>
    <w:rsid w:val="002D1CAA"/>
    <w:rsid w:val="002D1EFD"/>
    <w:rsid w:val="002D1F90"/>
    <w:rsid w:val="002D2095"/>
    <w:rsid w:val="002D22CB"/>
    <w:rsid w:val="002D27F3"/>
    <w:rsid w:val="002D2833"/>
    <w:rsid w:val="002D2B89"/>
    <w:rsid w:val="002D2C1C"/>
    <w:rsid w:val="002D2D60"/>
    <w:rsid w:val="002D3007"/>
    <w:rsid w:val="002D301B"/>
    <w:rsid w:val="002D3046"/>
    <w:rsid w:val="002D3084"/>
    <w:rsid w:val="002D3199"/>
    <w:rsid w:val="002D325A"/>
    <w:rsid w:val="002D32B9"/>
    <w:rsid w:val="002D32E3"/>
    <w:rsid w:val="002D339D"/>
    <w:rsid w:val="002D37DC"/>
    <w:rsid w:val="002D38FA"/>
    <w:rsid w:val="002D3938"/>
    <w:rsid w:val="002D3995"/>
    <w:rsid w:val="002D39FD"/>
    <w:rsid w:val="002D3A25"/>
    <w:rsid w:val="002D3D1A"/>
    <w:rsid w:val="002D3DBB"/>
    <w:rsid w:val="002D406A"/>
    <w:rsid w:val="002D4146"/>
    <w:rsid w:val="002D44BB"/>
    <w:rsid w:val="002D461B"/>
    <w:rsid w:val="002D48AC"/>
    <w:rsid w:val="002D49A6"/>
    <w:rsid w:val="002D4A13"/>
    <w:rsid w:val="002D4A19"/>
    <w:rsid w:val="002D4BB5"/>
    <w:rsid w:val="002D4BD0"/>
    <w:rsid w:val="002D4BE4"/>
    <w:rsid w:val="002D4C1E"/>
    <w:rsid w:val="002D4E3E"/>
    <w:rsid w:val="002D4ECA"/>
    <w:rsid w:val="002D4ED5"/>
    <w:rsid w:val="002D502E"/>
    <w:rsid w:val="002D505F"/>
    <w:rsid w:val="002D5087"/>
    <w:rsid w:val="002D50CD"/>
    <w:rsid w:val="002D5189"/>
    <w:rsid w:val="002D5227"/>
    <w:rsid w:val="002D53F7"/>
    <w:rsid w:val="002D5471"/>
    <w:rsid w:val="002D54B8"/>
    <w:rsid w:val="002D5623"/>
    <w:rsid w:val="002D56C4"/>
    <w:rsid w:val="002D570D"/>
    <w:rsid w:val="002D5803"/>
    <w:rsid w:val="002D58CF"/>
    <w:rsid w:val="002D5995"/>
    <w:rsid w:val="002D5A05"/>
    <w:rsid w:val="002D5A97"/>
    <w:rsid w:val="002D5DA0"/>
    <w:rsid w:val="002D5FF9"/>
    <w:rsid w:val="002D6664"/>
    <w:rsid w:val="002D678E"/>
    <w:rsid w:val="002D6819"/>
    <w:rsid w:val="002D6972"/>
    <w:rsid w:val="002D6AA6"/>
    <w:rsid w:val="002D6C7D"/>
    <w:rsid w:val="002D6D0D"/>
    <w:rsid w:val="002D6E5A"/>
    <w:rsid w:val="002D6F70"/>
    <w:rsid w:val="002D70A7"/>
    <w:rsid w:val="002D71BE"/>
    <w:rsid w:val="002D72B3"/>
    <w:rsid w:val="002D73E9"/>
    <w:rsid w:val="002D73FE"/>
    <w:rsid w:val="002D742B"/>
    <w:rsid w:val="002D75BD"/>
    <w:rsid w:val="002D75DB"/>
    <w:rsid w:val="002D76C9"/>
    <w:rsid w:val="002D79B2"/>
    <w:rsid w:val="002D7A49"/>
    <w:rsid w:val="002D7A60"/>
    <w:rsid w:val="002D7AEF"/>
    <w:rsid w:val="002D7B31"/>
    <w:rsid w:val="002D7C63"/>
    <w:rsid w:val="002D7E6F"/>
    <w:rsid w:val="002E007B"/>
    <w:rsid w:val="002E01A3"/>
    <w:rsid w:val="002E0493"/>
    <w:rsid w:val="002E04E7"/>
    <w:rsid w:val="002E0553"/>
    <w:rsid w:val="002E0554"/>
    <w:rsid w:val="002E0580"/>
    <w:rsid w:val="002E0786"/>
    <w:rsid w:val="002E0823"/>
    <w:rsid w:val="002E082E"/>
    <w:rsid w:val="002E0B21"/>
    <w:rsid w:val="002E0B88"/>
    <w:rsid w:val="002E0CEA"/>
    <w:rsid w:val="002E0E43"/>
    <w:rsid w:val="002E0E58"/>
    <w:rsid w:val="002E0EEC"/>
    <w:rsid w:val="002E0EFA"/>
    <w:rsid w:val="002E11D7"/>
    <w:rsid w:val="002E127A"/>
    <w:rsid w:val="002E1541"/>
    <w:rsid w:val="002E15F4"/>
    <w:rsid w:val="002E168E"/>
    <w:rsid w:val="002E1934"/>
    <w:rsid w:val="002E19E9"/>
    <w:rsid w:val="002E1C8B"/>
    <w:rsid w:val="002E1D8D"/>
    <w:rsid w:val="002E1E94"/>
    <w:rsid w:val="002E1EF9"/>
    <w:rsid w:val="002E1F9B"/>
    <w:rsid w:val="002E200A"/>
    <w:rsid w:val="002E205E"/>
    <w:rsid w:val="002E20A2"/>
    <w:rsid w:val="002E21BB"/>
    <w:rsid w:val="002E22F9"/>
    <w:rsid w:val="002E2347"/>
    <w:rsid w:val="002E23A7"/>
    <w:rsid w:val="002E247E"/>
    <w:rsid w:val="002E25B7"/>
    <w:rsid w:val="002E26B0"/>
    <w:rsid w:val="002E2727"/>
    <w:rsid w:val="002E29F4"/>
    <w:rsid w:val="002E2AC6"/>
    <w:rsid w:val="002E2BD8"/>
    <w:rsid w:val="002E2C47"/>
    <w:rsid w:val="002E2CCF"/>
    <w:rsid w:val="002E2CD2"/>
    <w:rsid w:val="002E2DD7"/>
    <w:rsid w:val="002E2E2F"/>
    <w:rsid w:val="002E2EDF"/>
    <w:rsid w:val="002E2EEC"/>
    <w:rsid w:val="002E305E"/>
    <w:rsid w:val="002E34AB"/>
    <w:rsid w:val="002E355F"/>
    <w:rsid w:val="002E3994"/>
    <w:rsid w:val="002E3A85"/>
    <w:rsid w:val="002E3B04"/>
    <w:rsid w:val="002E3C5F"/>
    <w:rsid w:val="002E3CD5"/>
    <w:rsid w:val="002E3E93"/>
    <w:rsid w:val="002E3F0A"/>
    <w:rsid w:val="002E3F6D"/>
    <w:rsid w:val="002E3FC8"/>
    <w:rsid w:val="002E4359"/>
    <w:rsid w:val="002E442D"/>
    <w:rsid w:val="002E446C"/>
    <w:rsid w:val="002E4532"/>
    <w:rsid w:val="002E4545"/>
    <w:rsid w:val="002E4555"/>
    <w:rsid w:val="002E4659"/>
    <w:rsid w:val="002E49C6"/>
    <w:rsid w:val="002E4A50"/>
    <w:rsid w:val="002E503B"/>
    <w:rsid w:val="002E509B"/>
    <w:rsid w:val="002E519E"/>
    <w:rsid w:val="002E5254"/>
    <w:rsid w:val="002E5535"/>
    <w:rsid w:val="002E5851"/>
    <w:rsid w:val="002E5935"/>
    <w:rsid w:val="002E5963"/>
    <w:rsid w:val="002E59E5"/>
    <w:rsid w:val="002E5A56"/>
    <w:rsid w:val="002E5C5D"/>
    <w:rsid w:val="002E5C66"/>
    <w:rsid w:val="002E5D73"/>
    <w:rsid w:val="002E5DB8"/>
    <w:rsid w:val="002E5DE9"/>
    <w:rsid w:val="002E5EFA"/>
    <w:rsid w:val="002E605E"/>
    <w:rsid w:val="002E60EC"/>
    <w:rsid w:val="002E6135"/>
    <w:rsid w:val="002E6307"/>
    <w:rsid w:val="002E651C"/>
    <w:rsid w:val="002E659B"/>
    <w:rsid w:val="002E65FC"/>
    <w:rsid w:val="002E66BD"/>
    <w:rsid w:val="002E68AE"/>
    <w:rsid w:val="002E6A09"/>
    <w:rsid w:val="002E6A9F"/>
    <w:rsid w:val="002E6E44"/>
    <w:rsid w:val="002E6F35"/>
    <w:rsid w:val="002E6F8B"/>
    <w:rsid w:val="002E6FD9"/>
    <w:rsid w:val="002E7137"/>
    <w:rsid w:val="002E7167"/>
    <w:rsid w:val="002E724E"/>
    <w:rsid w:val="002E72EC"/>
    <w:rsid w:val="002E72ED"/>
    <w:rsid w:val="002E738B"/>
    <w:rsid w:val="002E7592"/>
    <w:rsid w:val="002E769E"/>
    <w:rsid w:val="002E7CFC"/>
    <w:rsid w:val="002E7EFD"/>
    <w:rsid w:val="002E7F87"/>
    <w:rsid w:val="002E7FC0"/>
    <w:rsid w:val="002F0263"/>
    <w:rsid w:val="002F02A4"/>
    <w:rsid w:val="002F0331"/>
    <w:rsid w:val="002F061A"/>
    <w:rsid w:val="002F0728"/>
    <w:rsid w:val="002F0900"/>
    <w:rsid w:val="002F09AE"/>
    <w:rsid w:val="002F0E10"/>
    <w:rsid w:val="002F10AE"/>
    <w:rsid w:val="002F127F"/>
    <w:rsid w:val="002F12F1"/>
    <w:rsid w:val="002F1390"/>
    <w:rsid w:val="002F1399"/>
    <w:rsid w:val="002F13D2"/>
    <w:rsid w:val="002F15B7"/>
    <w:rsid w:val="002F15FD"/>
    <w:rsid w:val="002F163C"/>
    <w:rsid w:val="002F1700"/>
    <w:rsid w:val="002F172A"/>
    <w:rsid w:val="002F182C"/>
    <w:rsid w:val="002F186E"/>
    <w:rsid w:val="002F1922"/>
    <w:rsid w:val="002F1972"/>
    <w:rsid w:val="002F1A38"/>
    <w:rsid w:val="002F1A61"/>
    <w:rsid w:val="002F1B00"/>
    <w:rsid w:val="002F1B06"/>
    <w:rsid w:val="002F1EC2"/>
    <w:rsid w:val="002F1F17"/>
    <w:rsid w:val="002F1F1B"/>
    <w:rsid w:val="002F1F9D"/>
    <w:rsid w:val="002F212B"/>
    <w:rsid w:val="002F2169"/>
    <w:rsid w:val="002F2214"/>
    <w:rsid w:val="002F245C"/>
    <w:rsid w:val="002F2504"/>
    <w:rsid w:val="002F2B5C"/>
    <w:rsid w:val="002F2C4E"/>
    <w:rsid w:val="002F2C51"/>
    <w:rsid w:val="002F2D03"/>
    <w:rsid w:val="002F2D2E"/>
    <w:rsid w:val="002F316E"/>
    <w:rsid w:val="002F32F4"/>
    <w:rsid w:val="002F3394"/>
    <w:rsid w:val="002F34BB"/>
    <w:rsid w:val="002F34C4"/>
    <w:rsid w:val="002F3601"/>
    <w:rsid w:val="002F36CB"/>
    <w:rsid w:val="002F38A8"/>
    <w:rsid w:val="002F3955"/>
    <w:rsid w:val="002F3A7C"/>
    <w:rsid w:val="002F3A87"/>
    <w:rsid w:val="002F3B62"/>
    <w:rsid w:val="002F3E14"/>
    <w:rsid w:val="002F3E58"/>
    <w:rsid w:val="002F3E62"/>
    <w:rsid w:val="002F3EEE"/>
    <w:rsid w:val="002F3EFB"/>
    <w:rsid w:val="002F4005"/>
    <w:rsid w:val="002F400E"/>
    <w:rsid w:val="002F4019"/>
    <w:rsid w:val="002F42FF"/>
    <w:rsid w:val="002F435B"/>
    <w:rsid w:val="002F4364"/>
    <w:rsid w:val="002F448A"/>
    <w:rsid w:val="002F44B7"/>
    <w:rsid w:val="002F4514"/>
    <w:rsid w:val="002F45A1"/>
    <w:rsid w:val="002F4718"/>
    <w:rsid w:val="002F4B2B"/>
    <w:rsid w:val="002F4BE5"/>
    <w:rsid w:val="002F4CCB"/>
    <w:rsid w:val="002F4D94"/>
    <w:rsid w:val="002F5169"/>
    <w:rsid w:val="002F51BB"/>
    <w:rsid w:val="002F52DE"/>
    <w:rsid w:val="002F5655"/>
    <w:rsid w:val="002F5B55"/>
    <w:rsid w:val="002F5D04"/>
    <w:rsid w:val="002F5D1E"/>
    <w:rsid w:val="002F5DAE"/>
    <w:rsid w:val="002F5F35"/>
    <w:rsid w:val="002F5F4E"/>
    <w:rsid w:val="002F6054"/>
    <w:rsid w:val="002F62BC"/>
    <w:rsid w:val="002F6423"/>
    <w:rsid w:val="002F65D8"/>
    <w:rsid w:val="002F65FD"/>
    <w:rsid w:val="002F6631"/>
    <w:rsid w:val="002F6906"/>
    <w:rsid w:val="002F6A5F"/>
    <w:rsid w:val="002F6E94"/>
    <w:rsid w:val="002F6FCF"/>
    <w:rsid w:val="002F70DD"/>
    <w:rsid w:val="002F716C"/>
    <w:rsid w:val="002F71AB"/>
    <w:rsid w:val="002F71E5"/>
    <w:rsid w:val="002F7271"/>
    <w:rsid w:val="002F7281"/>
    <w:rsid w:val="002F75B3"/>
    <w:rsid w:val="002F769E"/>
    <w:rsid w:val="002F77DA"/>
    <w:rsid w:val="002F7864"/>
    <w:rsid w:val="002F7898"/>
    <w:rsid w:val="002F7BDB"/>
    <w:rsid w:val="002F7C66"/>
    <w:rsid w:val="002F7E48"/>
    <w:rsid w:val="002F7EB5"/>
    <w:rsid w:val="002F7F78"/>
    <w:rsid w:val="0030015D"/>
    <w:rsid w:val="00300470"/>
    <w:rsid w:val="003004DE"/>
    <w:rsid w:val="003005B5"/>
    <w:rsid w:val="00300716"/>
    <w:rsid w:val="003009C5"/>
    <w:rsid w:val="00300C30"/>
    <w:rsid w:val="00300CFF"/>
    <w:rsid w:val="00300D3C"/>
    <w:rsid w:val="00300D5C"/>
    <w:rsid w:val="00300DD2"/>
    <w:rsid w:val="00300DEE"/>
    <w:rsid w:val="0030116E"/>
    <w:rsid w:val="00301366"/>
    <w:rsid w:val="00301663"/>
    <w:rsid w:val="0030177C"/>
    <w:rsid w:val="00301A64"/>
    <w:rsid w:val="00301AAA"/>
    <w:rsid w:val="00301BC7"/>
    <w:rsid w:val="00301D99"/>
    <w:rsid w:val="00301DBE"/>
    <w:rsid w:val="00301EB1"/>
    <w:rsid w:val="00301FC2"/>
    <w:rsid w:val="0030201A"/>
    <w:rsid w:val="00302230"/>
    <w:rsid w:val="003024E6"/>
    <w:rsid w:val="003026F6"/>
    <w:rsid w:val="003027EE"/>
    <w:rsid w:val="0030284B"/>
    <w:rsid w:val="003028B2"/>
    <w:rsid w:val="00302910"/>
    <w:rsid w:val="00302B42"/>
    <w:rsid w:val="00302B72"/>
    <w:rsid w:val="00302B7F"/>
    <w:rsid w:val="00302CFD"/>
    <w:rsid w:val="00302EF5"/>
    <w:rsid w:val="00302F1A"/>
    <w:rsid w:val="00302FA3"/>
    <w:rsid w:val="003032E4"/>
    <w:rsid w:val="003033A2"/>
    <w:rsid w:val="003034D0"/>
    <w:rsid w:val="00303650"/>
    <w:rsid w:val="003036D4"/>
    <w:rsid w:val="00303778"/>
    <w:rsid w:val="003037ED"/>
    <w:rsid w:val="00303944"/>
    <w:rsid w:val="003039A1"/>
    <w:rsid w:val="00303A8B"/>
    <w:rsid w:val="00303C99"/>
    <w:rsid w:val="00303EFF"/>
    <w:rsid w:val="00303F40"/>
    <w:rsid w:val="00303FB9"/>
    <w:rsid w:val="00304143"/>
    <w:rsid w:val="003041C0"/>
    <w:rsid w:val="0030444E"/>
    <w:rsid w:val="00304539"/>
    <w:rsid w:val="003045C1"/>
    <w:rsid w:val="00304732"/>
    <w:rsid w:val="00304839"/>
    <w:rsid w:val="0030498D"/>
    <w:rsid w:val="00304ACC"/>
    <w:rsid w:val="00304E70"/>
    <w:rsid w:val="00304E97"/>
    <w:rsid w:val="00304EBC"/>
    <w:rsid w:val="00305013"/>
    <w:rsid w:val="003050AF"/>
    <w:rsid w:val="0030519C"/>
    <w:rsid w:val="003051D1"/>
    <w:rsid w:val="003052C9"/>
    <w:rsid w:val="0030541E"/>
    <w:rsid w:val="003054BA"/>
    <w:rsid w:val="003056D7"/>
    <w:rsid w:val="003058F6"/>
    <w:rsid w:val="00305A79"/>
    <w:rsid w:val="00305B62"/>
    <w:rsid w:val="00305B9C"/>
    <w:rsid w:val="00305EFE"/>
    <w:rsid w:val="00305F7D"/>
    <w:rsid w:val="00306075"/>
    <w:rsid w:val="003060A5"/>
    <w:rsid w:val="003061B4"/>
    <w:rsid w:val="003061BD"/>
    <w:rsid w:val="003061C5"/>
    <w:rsid w:val="00306328"/>
    <w:rsid w:val="003068B8"/>
    <w:rsid w:val="003068BD"/>
    <w:rsid w:val="003068E1"/>
    <w:rsid w:val="003069D9"/>
    <w:rsid w:val="00306A54"/>
    <w:rsid w:val="00306C06"/>
    <w:rsid w:val="00306D86"/>
    <w:rsid w:val="00306ED5"/>
    <w:rsid w:val="00306FB2"/>
    <w:rsid w:val="00307047"/>
    <w:rsid w:val="00307150"/>
    <w:rsid w:val="00307382"/>
    <w:rsid w:val="00307431"/>
    <w:rsid w:val="0030777A"/>
    <w:rsid w:val="0030782D"/>
    <w:rsid w:val="0030798C"/>
    <w:rsid w:val="00307B49"/>
    <w:rsid w:val="00307C27"/>
    <w:rsid w:val="00307EF6"/>
    <w:rsid w:val="00307F07"/>
    <w:rsid w:val="00310062"/>
    <w:rsid w:val="00310107"/>
    <w:rsid w:val="0031011E"/>
    <w:rsid w:val="003101D9"/>
    <w:rsid w:val="003102EC"/>
    <w:rsid w:val="003103B1"/>
    <w:rsid w:val="003105A8"/>
    <w:rsid w:val="00310605"/>
    <w:rsid w:val="0031062A"/>
    <w:rsid w:val="0031077B"/>
    <w:rsid w:val="003108F4"/>
    <w:rsid w:val="0031097D"/>
    <w:rsid w:val="00310A80"/>
    <w:rsid w:val="00310AE5"/>
    <w:rsid w:val="00310AE6"/>
    <w:rsid w:val="00310AFE"/>
    <w:rsid w:val="00310B65"/>
    <w:rsid w:val="00310B93"/>
    <w:rsid w:val="00310BCE"/>
    <w:rsid w:val="00310C81"/>
    <w:rsid w:val="00310C9B"/>
    <w:rsid w:val="0031118C"/>
    <w:rsid w:val="00311359"/>
    <w:rsid w:val="003115A5"/>
    <w:rsid w:val="00311632"/>
    <w:rsid w:val="00311937"/>
    <w:rsid w:val="003119F1"/>
    <w:rsid w:val="00311C39"/>
    <w:rsid w:val="00311D97"/>
    <w:rsid w:val="00311DA4"/>
    <w:rsid w:val="00311EFC"/>
    <w:rsid w:val="00311F2E"/>
    <w:rsid w:val="00312075"/>
    <w:rsid w:val="00312163"/>
    <w:rsid w:val="0031219D"/>
    <w:rsid w:val="003122BD"/>
    <w:rsid w:val="0031242E"/>
    <w:rsid w:val="0031253C"/>
    <w:rsid w:val="00312581"/>
    <w:rsid w:val="003125B5"/>
    <w:rsid w:val="00312837"/>
    <w:rsid w:val="00312971"/>
    <w:rsid w:val="00312A11"/>
    <w:rsid w:val="00312A81"/>
    <w:rsid w:val="00312B99"/>
    <w:rsid w:val="00312C8C"/>
    <w:rsid w:val="00312CB2"/>
    <w:rsid w:val="00312D46"/>
    <w:rsid w:val="00312DE6"/>
    <w:rsid w:val="00313040"/>
    <w:rsid w:val="003130CB"/>
    <w:rsid w:val="00313296"/>
    <w:rsid w:val="003132C5"/>
    <w:rsid w:val="0031353F"/>
    <w:rsid w:val="00313571"/>
    <w:rsid w:val="0031389C"/>
    <w:rsid w:val="00313917"/>
    <w:rsid w:val="00313A0B"/>
    <w:rsid w:val="00313AAB"/>
    <w:rsid w:val="00313C80"/>
    <w:rsid w:val="00313D56"/>
    <w:rsid w:val="00313E4D"/>
    <w:rsid w:val="00313F3C"/>
    <w:rsid w:val="00314094"/>
    <w:rsid w:val="003141EC"/>
    <w:rsid w:val="00314281"/>
    <w:rsid w:val="003142F9"/>
    <w:rsid w:val="00314306"/>
    <w:rsid w:val="003145F0"/>
    <w:rsid w:val="00314B45"/>
    <w:rsid w:val="00314BAF"/>
    <w:rsid w:val="00314CCB"/>
    <w:rsid w:val="003150DC"/>
    <w:rsid w:val="00315163"/>
    <w:rsid w:val="00315230"/>
    <w:rsid w:val="00315449"/>
    <w:rsid w:val="003154BC"/>
    <w:rsid w:val="003154C1"/>
    <w:rsid w:val="00315581"/>
    <w:rsid w:val="0031566C"/>
    <w:rsid w:val="00315B36"/>
    <w:rsid w:val="00315BC4"/>
    <w:rsid w:val="00315FC9"/>
    <w:rsid w:val="0031602A"/>
    <w:rsid w:val="00316041"/>
    <w:rsid w:val="0031607E"/>
    <w:rsid w:val="003161C7"/>
    <w:rsid w:val="00316250"/>
    <w:rsid w:val="003163B9"/>
    <w:rsid w:val="00316429"/>
    <w:rsid w:val="003164CA"/>
    <w:rsid w:val="00316574"/>
    <w:rsid w:val="003166C1"/>
    <w:rsid w:val="0031677B"/>
    <w:rsid w:val="003167BC"/>
    <w:rsid w:val="00316835"/>
    <w:rsid w:val="00316BCF"/>
    <w:rsid w:val="00316C55"/>
    <w:rsid w:val="00316FC2"/>
    <w:rsid w:val="0031700B"/>
    <w:rsid w:val="0031708F"/>
    <w:rsid w:val="00317152"/>
    <w:rsid w:val="00317153"/>
    <w:rsid w:val="003172F6"/>
    <w:rsid w:val="003173C8"/>
    <w:rsid w:val="00317449"/>
    <w:rsid w:val="003174F3"/>
    <w:rsid w:val="00317599"/>
    <w:rsid w:val="00317760"/>
    <w:rsid w:val="00317771"/>
    <w:rsid w:val="00317846"/>
    <w:rsid w:val="003178C5"/>
    <w:rsid w:val="00317913"/>
    <w:rsid w:val="00317968"/>
    <w:rsid w:val="003179FA"/>
    <w:rsid w:val="00317B6C"/>
    <w:rsid w:val="00317BC8"/>
    <w:rsid w:val="00317C06"/>
    <w:rsid w:val="00317C5F"/>
    <w:rsid w:val="00317E6F"/>
    <w:rsid w:val="00317F0A"/>
    <w:rsid w:val="003200BF"/>
    <w:rsid w:val="00320307"/>
    <w:rsid w:val="003204D3"/>
    <w:rsid w:val="003205E2"/>
    <w:rsid w:val="003206FD"/>
    <w:rsid w:val="0032076C"/>
    <w:rsid w:val="0032080B"/>
    <w:rsid w:val="00320A2A"/>
    <w:rsid w:val="00320B6A"/>
    <w:rsid w:val="00320C5C"/>
    <w:rsid w:val="00320DD2"/>
    <w:rsid w:val="00320E22"/>
    <w:rsid w:val="00320EE1"/>
    <w:rsid w:val="003212BC"/>
    <w:rsid w:val="003212C7"/>
    <w:rsid w:val="00321329"/>
    <w:rsid w:val="003214B3"/>
    <w:rsid w:val="0032155B"/>
    <w:rsid w:val="003217CD"/>
    <w:rsid w:val="003218F6"/>
    <w:rsid w:val="00321918"/>
    <w:rsid w:val="00321928"/>
    <w:rsid w:val="003219AD"/>
    <w:rsid w:val="00321ADC"/>
    <w:rsid w:val="00321AED"/>
    <w:rsid w:val="00321D52"/>
    <w:rsid w:val="00321DEC"/>
    <w:rsid w:val="00321E8B"/>
    <w:rsid w:val="00321F8D"/>
    <w:rsid w:val="00322165"/>
    <w:rsid w:val="003222DE"/>
    <w:rsid w:val="0032238F"/>
    <w:rsid w:val="003223A0"/>
    <w:rsid w:val="00322526"/>
    <w:rsid w:val="0032254F"/>
    <w:rsid w:val="003227EF"/>
    <w:rsid w:val="0032295A"/>
    <w:rsid w:val="003229D1"/>
    <w:rsid w:val="00322B2D"/>
    <w:rsid w:val="00322B50"/>
    <w:rsid w:val="00322C16"/>
    <w:rsid w:val="00322D4D"/>
    <w:rsid w:val="00322DF3"/>
    <w:rsid w:val="00322FA4"/>
    <w:rsid w:val="003230C6"/>
    <w:rsid w:val="003230DA"/>
    <w:rsid w:val="0032317E"/>
    <w:rsid w:val="003233D7"/>
    <w:rsid w:val="003233F6"/>
    <w:rsid w:val="003234B0"/>
    <w:rsid w:val="0032355D"/>
    <w:rsid w:val="00323627"/>
    <w:rsid w:val="00323667"/>
    <w:rsid w:val="00323A5B"/>
    <w:rsid w:val="00323AA7"/>
    <w:rsid w:val="00323C73"/>
    <w:rsid w:val="00323E31"/>
    <w:rsid w:val="00323EAA"/>
    <w:rsid w:val="003241FA"/>
    <w:rsid w:val="00324202"/>
    <w:rsid w:val="00324300"/>
    <w:rsid w:val="003246F3"/>
    <w:rsid w:val="00324897"/>
    <w:rsid w:val="00324964"/>
    <w:rsid w:val="003249D2"/>
    <w:rsid w:val="00324BF0"/>
    <w:rsid w:val="00324BF3"/>
    <w:rsid w:val="00324D60"/>
    <w:rsid w:val="0032501E"/>
    <w:rsid w:val="00325183"/>
    <w:rsid w:val="00325260"/>
    <w:rsid w:val="00325398"/>
    <w:rsid w:val="0032540C"/>
    <w:rsid w:val="003254BF"/>
    <w:rsid w:val="0032550C"/>
    <w:rsid w:val="0032564B"/>
    <w:rsid w:val="00325704"/>
    <w:rsid w:val="0032570C"/>
    <w:rsid w:val="00325779"/>
    <w:rsid w:val="003257AA"/>
    <w:rsid w:val="00325BD6"/>
    <w:rsid w:val="00325C0C"/>
    <w:rsid w:val="00325CA2"/>
    <w:rsid w:val="00325DB4"/>
    <w:rsid w:val="00325DE6"/>
    <w:rsid w:val="00325E8E"/>
    <w:rsid w:val="00325E9B"/>
    <w:rsid w:val="00326049"/>
    <w:rsid w:val="003260B9"/>
    <w:rsid w:val="003260E3"/>
    <w:rsid w:val="00326161"/>
    <w:rsid w:val="00326265"/>
    <w:rsid w:val="00326400"/>
    <w:rsid w:val="0032645A"/>
    <w:rsid w:val="00326547"/>
    <w:rsid w:val="0032666F"/>
    <w:rsid w:val="0032677A"/>
    <w:rsid w:val="00326791"/>
    <w:rsid w:val="003269C9"/>
    <w:rsid w:val="00326A34"/>
    <w:rsid w:val="00326ADD"/>
    <w:rsid w:val="00326D33"/>
    <w:rsid w:val="00326D93"/>
    <w:rsid w:val="00326D98"/>
    <w:rsid w:val="00326D9F"/>
    <w:rsid w:val="00326E01"/>
    <w:rsid w:val="00326F31"/>
    <w:rsid w:val="0032705C"/>
    <w:rsid w:val="00327118"/>
    <w:rsid w:val="0032711F"/>
    <w:rsid w:val="003272AC"/>
    <w:rsid w:val="00327414"/>
    <w:rsid w:val="003274E1"/>
    <w:rsid w:val="003276DE"/>
    <w:rsid w:val="00327AB2"/>
    <w:rsid w:val="00327AB6"/>
    <w:rsid w:val="00327B38"/>
    <w:rsid w:val="00327B51"/>
    <w:rsid w:val="00327C52"/>
    <w:rsid w:val="00327C8C"/>
    <w:rsid w:val="00327DD8"/>
    <w:rsid w:val="00327DFF"/>
    <w:rsid w:val="00327E07"/>
    <w:rsid w:val="00327E5F"/>
    <w:rsid w:val="0033007D"/>
    <w:rsid w:val="00330577"/>
    <w:rsid w:val="00330783"/>
    <w:rsid w:val="0033083E"/>
    <w:rsid w:val="00330842"/>
    <w:rsid w:val="00330843"/>
    <w:rsid w:val="00330887"/>
    <w:rsid w:val="003308DE"/>
    <w:rsid w:val="00331428"/>
    <w:rsid w:val="003316AA"/>
    <w:rsid w:val="003318EB"/>
    <w:rsid w:val="00331A03"/>
    <w:rsid w:val="00331BCC"/>
    <w:rsid w:val="00331D1D"/>
    <w:rsid w:val="00331E05"/>
    <w:rsid w:val="00332079"/>
    <w:rsid w:val="00332085"/>
    <w:rsid w:val="003321E8"/>
    <w:rsid w:val="003322D2"/>
    <w:rsid w:val="0033247B"/>
    <w:rsid w:val="0033265C"/>
    <w:rsid w:val="003328C1"/>
    <w:rsid w:val="003329BF"/>
    <w:rsid w:val="00332A94"/>
    <w:rsid w:val="00332B86"/>
    <w:rsid w:val="00332CC2"/>
    <w:rsid w:val="00332F91"/>
    <w:rsid w:val="00333047"/>
    <w:rsid w:val="003330C4"/>
    <w:rsid w:val="003331CB"/>
    <w:rsid w:val="003334E0"/>
    <w:rsid w:val="003336E0"/>
    <w:rsid w:val="00333732"/>
    <w:rsid w:val="0033379E"/>
    <w:rsid w:val="003339A7"/>
    <w:rsid w:val="00333BCC"/>
    <w:rsid w:val="00333C99"/>
    <w:rsid w:val="00333CBB"/>
    <w:rsid w:val="00333DAF"/>
    <w:rsid w:val="00333E3E"/>
    <w:rsid w:val="00333E62"/>
    <w:rsid w:val="00333F90"/>
    <w:rsid w:val="00334155"/>
    <w:rsid w:val="003344A1"/>
    <w:rsid w:val="00334687"/>
    <w:rsid w:val="003348BF"/>
    <w:rsid w:val="00334A26"/>
    <w:rsid w:val="00334AAF"/>
    <w:rsid w:val="00334DAC"/>
    <w:rsid w:val="00334F73"/>
    <w:rsid w:val="00334FAB"/>
    <w:rsid w:val="00334FDB"/>
    <w:rsid w:val="00334FF5"/>
    <w:rsid w:val="00335014"/>
    <w:rsid w:val="003350DC"/>
    <w:rsid w:val="003351AC"/>
    <w:rsid w:val="003351E1"/>
    <w:rsid w:val="003354B7"/>
    <w:rsid w:val="00335708"/>
    <w:rsid w:val="003357AD"/>
    <w:rsid w:val="00335866"/>
    <w:rsid w:val="00335891"/>
    <w:rsid w:val="0033593D"/>
    <w:rsid w:val="00335984"/>
    <w:rsid w:val="00335A2D"/>
    <w:rsid w:val="00335CC7"/>
    <w:rsid w:val="00335CF8"/>
    <w:rsid w:val="00335D7B"/>
    <w:rsid w:val="00335EB1"/>
    <w:rsid w:val="00335EC8"/>
    <w:rsid w:val="00335F81"/>
    <w:rsid w:val="00335F8E"/>
    <w:rsid w:val="00336162"/>
    <w:rsid w:val="00336579"/>
    <w:rsid w:val="003365CE"/>
    <w:rsid w:val="00336600"/>
    <w:rsid w:val="00336C05"/>
    <w:rsid w:val="00336E3D"/>
    <w:rsid w:val="00337243"/>
    <w:rsid w:val="00337258"/>
    <w:rsid w:val="003372FB"/>
    <w:rsid w:val="00337463"/>
    <w:rsid w:val="00337500"/>
    <w:rsid w:val="003376CA"/>
    <w:rsid w:val="003378CF"/>
    <w:rsid w:val="0033795F"/>
    <w:rsid w:val="003379DD"/>
    <w:rsid w:val="00337A4F"/>
    <w:rsid w:val="00337AD6"/>
    <w:rsid w:val="00337B90"/>
    <w:rsid w:val="00337BA3"/>
    <w:rsid w:val="00337C34"/>
    <w:rsid w:val="0034047F"/>
    <w:rsid w:val="003405BB"/>
    <w:rsid w:val="003406DA"/>
    <w:rsid w:val="0034072F"/>
    <w:rsid w:val="00340778"/>
    <w:rsid w:val="003408E7"/>
    <w:rsid w:val="00340AE2"/>
    <w:rsid w:val="00340B2A"/>
    <w:rsid w:val="00340C45"/>
    <w:rsid w:val="003410FA"/>
    <w:rsid w:val="003411A6"/>
    <w:rsid w:val="003412F8"/>
    <w:rsid w:val="00341318"/>
    <w:rsid w:val="00341342"/>
    <w:rsid w:val="003413E5"/>
    <w:rsid w:val="0034145C"/>
    <w:rsid w:val="003414B7"/>
    <w:rsid w:val="0034158B"/>
    <w:rsid w:val="003415CF"/>
    <w:rsid w:val="003419DD"/>
    <w:rsid w:val="00341B70"/>
    <w:rsid w:val="00341B98"/>
    <w:rsid w:val="00341BB5"/>
    <w:rsid w:val="00341BCB"/>
    <w:rsid w:val="00341CAC"/>
    <w:rsid w:val="00341D19"/>
    <w:rsid w:val="00341D4C"/>
    <w:rsid w:val="00341D8B"/>
    <w:rsid w:val="00342339"/>
    <w:rsid w:val="00342400"/>
    <w:rsid w:val="00342638"/>
    <w:rsid w:val="003428D8"/>
    <w:rsid w:val="0034292F"/>
    <w:rsid w:val="003429A9"/>
    <w:rsid w:val="00342B09"/>
    <w:rsid w:val="00342CC0"/>
    <w:rsid w:val="00342EA9"/>
    <w:rsid w:val="00342ED7"/>
    <w:rsid w:val="0034304D"/>
    <w:rsid w:val="003432AE"/>
    <w:rsid w:val="003434F8"/>
    <w:rsid w:val="00343604"/>
    <w:rsid w:val="0034373B"/>
    <w:rsid w:val="003437EC"/>
    <w:rsid w:val="00343817"/>
    <w:rsid w:val="003439AD"/>
    <w:rsid w:val="003439B4"/>
    <w:rsid w:val="003439E9"/>
    <w:rsid w:val="00343A4B"/>
    <w:rsid w:val="00343AF6"/>
    <w:rsid w:val="00343AFF"/>
    <w:rsid w:val="00343C36"/>
    <w:rsid w:val="00343CFE"/>
    <w:rsid w:val="00343DA5"/>
    <w:rsid w:val="00343F3B"/>
    <w:rsid w:val="00344136"/>
    <w:rsid w:val="003441B5"/>
    <w:rsid w:val="0034442A"/>
    <w:rsid w:val="0034443B"/>
    <w:rsid w:val="00344449"/>
    <w:rsid w:val="003444AB"/>
    <w:rsid w:val="003444F3"/>
    <w:rsid w:val="00344571"/>
    <w:rsid w:val="00344641"/>
    <w:rsid w:val="0034468A"/>
    <w:rsid w:val="00344972"/>
    <w:rsid w:val="003449F6"/>
    <w:rsid w:val="00344A09"/>
    <w:rsid w:val="00344ACF"/>
    <w:rsid w:val="00344BAD"/>
    <w:rsid w:val="00344F36"/>
    <w:rsid w:val="00344F39"/>
    <w:rsid w:val="00344F97"/>
    <w:rsid w:val="0034509A"/>
    <w:rsid w:val="003450FB"/>
    <w:rsid w:val="003451E8"/>
    <w:rsid w:val="00345216"/>
    <w:rsid w:val="00345585"/>
    <w:rsid w:val="0034559F"/>
    <w:rsid w:val="00345776"/>
    <w:rsid w:val="0034588F"/>
    <w:rsid w:val="0034589F"/>
    <w:rsid w:val="00345C47"/>
    <w:rsid w:val="00345CE7"/>
    <w:rsid w:val="00345DA4"/>
    <w:rsid w:val="0034604F"/>
    <w:rsid w:val="0034605A"/>
    <w:rsid w:val="003460EB"/>
    <w:rsid w:val="00346160"/>
    <w:rsid w:val="00346354"/>
    <w:rsid w:val="00346655"/>
    <w:rsid w:val="003466F5"/>
    <w:rsid w:val="00346853"/>
    <w:rsid w:val="00346931"/>
    <w:rsid w:val="0034693B"/>
    <w:rsid w:val="00346A50"/>
    <w:rsid w:val="00346B65"/>
    <w:rsid w:val="00346C96"/>
    <w:rsid w:val="00346C9E"/>
    <w:rsid w:val="00346E07"/>
    <w:rsid w:val="00346EEF"/>
    <w:rsid w:val="0034703D"/>
    <w:rsid w:val="003470F0"/>
    <w:rsid w:val="00347164"/>
    <w:rsid w:val="00347168"/>
    <w:rsid w:val="0034719A"/>
    <w:rsid w:val="00347274"/>
    <w:rsid w:val="00347570"/>
    <w:rsid w:val="003476BE"/>
    <w:rsid w:val="0034786B"/>
    <w:rsid w:val="003478C7"/>
    <w:rsid w:val="003479FB"/>
    <w:rsid w:val="00347B41"/>
    <w:rsid w:val="00347B82"/>
    <w:rsid w:val="00347D0D"/>
    <w:rsid w:val="00347D41"/>
    <w:rsid w:val="00347F8C"/>
    <w:rsid w:val="00350028"/>
    <w:rsid w:val="0035008F"/>
    <w:rsid w:val="00350480"/>
    <w:rsid w:val="00350564"/>
    <w:rsid w:val="003507C5"/>
    <w:rsid w:val="00350A7E"/>
    <w:rsid w:val="00350B4A"/>
    <w:rsid w:val="00350C48"/>
    <w:rsid w:val="00350CA7"/>
    <w:rsid w:val="00350D8E"/>
    <w:rsid w:val="00350EDA"/>
    <w:rsid w:val="0035108E"/>
    <w:rsid w:val="00351317"/>
    <w:rsid w:val="003519FE"/>
    <w:rsid w:val="00351A52"/>
    <w:rsid w:val="00351A69"/>
    <w:rsid w:val="00351CD3"/>
    <w:rsid w:val="00351DD1"/>
    <w:rsid w:val="00351E37"/>
    <w:rsid w:val="00351EF1"/>
    <w:rsid w:val="00351F0B"/>
    <w:rsid w:val="00351F4F"/>
    <w:rsid w:val="00351FE5"/>
    <w:rsid w:val="0035216D"/>
    <w:rsid w:val="00352244"/>
    <w:rsid w:val="003522C8"/>
    <w:rsid w:val="003522E7"/>
    <w:rsid w:val="003523A4"/>
    <w:rsid w:val="00352512"/>
    <w:rsid w:val="0035265B"/>
    <w:rsid w:val="003526D6"/>
    <w:rsid w:val="003526F4"/>
    <w:rsid w:val="00352701"/>
    <w:rsid w:val="0035282A"/>
    <w:rsid w:val="003528E4"/>
    <w:rsid w:val="00352A66"/>
    <w:rsid w:val="00352B09"/>
    <w:rsid w:val="00352D15"/>
    <w:rsid w:val="00352ED9"/>
    <w:rsid w:val="003530AE"/>
    <w:rsid w:val="003530D5"/>
    <w:rsid w:val="0035321E"/>
    <w:rsid w:val="003532E3"/>
    <w:rsid w:val="00353535"/>
    <w:rsid w:val="003535BC"/>
    <w:rsid w:val="00353621"/>
    <w:rsid w:val="003536BB"/>
    <w:rsid w:val="003537FE"/>
    <w:rsid w:val="003538C9"/>
    <w:rsid w:val="00353992"/>
    <w:rsid w:val="00353BC9"/>
    <w:rsid w:val="00353D2C"/>
    <w:rsid w:val="00353EAD"/>
    <w:rsid w:val="00353EFC"/>
    <w:rsid w:val="00353F3D"/>
    <w:rsid w:val="0035408B"/>
    <w:rsid w:val="00354193"/>
    <w:rsid w:val="003541A3"/>
    <w:rsid w:val="0035435A"/>
    <w:rsid w:val="00354663"/>
    <w:rsid w:val="0035484C"/>
    <w:rsid w:val="0035487A"/>
    <w:rsid w:val="00354A50"/>
    <w:rsid w:val="00354A9C"/>
    <w:rsid w:val="00354C8F"/>
    <w:rsid w:val="00354E8E"/>
    <w:rsid w:val="00354FBA"/>
    <w:rsid w:val="0035521A"/>
    <w:rsid w:val="00355273"/>
    <w:rsid w:val="00355324"/>
    <w:rsid w:val="0035532F"/>
    <w:rsid w:val="003556BC"/>
    <w:rsid w:val="0035573B"/>
    <w:rsid w:val="00355911"/>
    <w:rsid w:val="00355975"/>
    <w:rsid w:val="00355AD2"/>
    <w:rsid w:val="00355ADA"/>
    <w:rsid w:val="00355B84"/>
    <w:rsid w:val="00355CCC"/>
    <w:rsid w:val="00355DB6"/>
    <w:rsid w:val="003560F8"/>
    <w:rsid w:val="003563F9"/>
    <w:rsid w:val="003564EA"/>
    <w:rsid w:val="0035681E"/>
    <w:rsid w:val="003568FB"/>
    <w:rsid w:val="00356967"/>
    <w:rsid w:val="00356A5D"/>
    <w:rsid w:val="00356D9E"/>
    <w:rsid w:val="00356DA1"/>
    <w:rsid w:val="00357044"/>
    <w:rsid w:val="003570D1"/>
    <w:rsid w:val="003572BC"/>
    <w:rsid w:val="003572C2"/>
    <w:rsid w:val="00357478"/>
    <w:rsid w:val="00357544"/>
    <w:rsid w:val="003576A1"/>
    <w:rsid w:val="003576FF"/>
    <w:rsid w:val="003577F1"/>
    <w:rsid w:val="00357847"/>
    <w:rsid w:val="0035791D"/>
    <w:rsid w:val="003579AA"/>
    <w:rsid w:val="00357A5E"/>
    <w:rsid w:val="00357DC6"/>
    <w:rsid w:val="00357F31"/>
    <w:rsid w:val="00357F6F"/>
    <w:rsid w:val="00360037"/>
    <w:rsid w:val="003601E5"/>
    <w:rsid w:val="00360215"/>
    <w:rsid w:val="00360284"/>
    <w:rsid w:val="0036046D"/>
    <w:rsid w:val="00360527"/>
    <w:rsid w:val="0036065B"/>
    <w:rsid w:val="00360691"/>
    <w:rsid w:val="003606B3"/>
    <w:rsid w:val="003606EC"/>
    <w:rsid w:val="003607DA"/>
    <w:rsid w:val="00360951"/>
    <w:rsid w:val="003609A6"/>
    <w:rsid w:val="00360CC4"/>
    <w:rsid w:val="00360CF0"/>
    <w:rsid w:val="00360E16"/>
    <w:rsid w:val="00360E41"/>
    <w:rsid w:val="00360F1F"/>
    <w:rsid w:val="00360F4F"/>
    <w:rsid w:val="00361046"/>
    <w:rsid w:val="0036112C"/>
    <w:rsid w:val="0036113C"/>
    <w:rsid w:val="003611CF"/>
    <w:rsid w:val="0036133E"/>
    <w:rsid w:val="003615C6"/>
    <w:rsid w:val="003617BF"/>
    <w:rsid w:val="00361852"/>
    <w:rsid w:val="0036194D"/>
    <w:rsid w:val="00361BFD"/>
    <w:rsid w:val="00361C67"/>
    <w:rsid w:val="00361D56"/>
    <w:rsid w:val="00361E85"/>
    <w:rsid w:val="00361EAC"/>
    <w:rsid w:val="00362067"/>
    <w:rsid w:val="00362185"/>
    <w:rsid w:val="003622CF"/>
    <w:rsid w:val="00362336"/>
    <w:rsid w:val="003623C2"/>
    <w:rsid w:val="00362577"/>
    <w:rsid w:val="0036276F"/>
    <w:rsid w:val="003628B0"/>
    <w:rsid w:val="0036298B"/>
    <w:rsid w:val="003629F9"/>
    <w:rsid w:val="00362A4F"/>
    <w:rsid w:val="00362B9E"/>
    <w:rsid w:val="00362BDF"/>
    <w:rsid w:val="00363028"/>
    <w:rsid w:val="003630AF"/>
    <w:rsid w:val="003632CA"/>
    <w:rsid w:val="003633C3"/>
    <w:rsid w:val="00363549"/>
    <w:rsid w:val="0036355D"/>
    <w:rsid w:val="00363627"/>
    <w:rsid w:val="0036380A"/>
    <w:rsid w:val="003638C2"/>
    <w:rsid w:val="003639A3"/>
    <w:rsid w:val="00363BF3"/>
    <w:rsid w:val="00363C73"/>
    <w:rsid w:val="00363D15"/>
    <w:rsid w:val="00363DA0"/>
    <w:rsid w:val="00363E10"/>
    <w:rsid w:val="00363E3C"/>
    <w:rsid w:val="00363FA9"/>
    <w:rsid w:val="003641A4"/>
    <w:rsid w:val="00364434"/>
    <w:rsid w:val="003644DB"/>
    <w:rsid w:val="003644F7"/>
    <w:rsid w:val="00364573"/>
    <w:rsid w:val="0036472D"/>
    <w:rsid w:val="00364737"/>
    <w:rsid w:val="0036478D"/>
    <w:rsid w:val="0036485C"/>
    <w:rsid w:val="0036496C"/>
    <w:rsid w:val="00364B05"/>
    <w:rsid w:val="00364B46"/>
    <w:rsid w:val="00364BFA"/>
    <w:rsid w:val="00364F3B"/>
    <w:rsid w:val="003652A0"/>
    <w:rsid w:val="003652E8"/>
    <w:rsid w:val="00365409"/>
    <w:rsid w:val="0036542B"/>
    <w:rsid w:val="0036547E"/>
    <w:rsid w:val="003654DE"/>
    <w:rsid w:val="003656C6"/>
    <w:rsid w:val="003657DE"/>
    <w:rsid w:val="0036585A"/>
    <w:rsid w:val="00365A10"/>
    <w:rsid w:val="00365A76"/>
    <w:rsid w:val="00365AC4"/>
    <w:rsid w:val="003660D5"/>
    <w:rsid w:val="003662DC"/>
    <w:rsid w:val="00366362"/>
    <w:rsid w:val="003664C2"/>
    <w:rsid w:val="003666E5"/>
    <w:rsid w:val="00366888"/>
    <w:rsid w:val="00366A6A"/>
    <w:rsid w:val="00366B2F"/>
    <w:rsid w:val="00366BB9"/>
    <w:rsid w:val="00366D52"/>
    <w:rsid w:val="00366E02"/>
    <w:rsid w:val="003670F3"/>
    <w:rsid w:val="003674F9"/>
    <w:rsid w:val="00367696"/>
    <w:rsid w:val="0036779F"/>
    <w:rsid w:val="00367960"/>
    <w:rsid w:val="00367B35"/>
    <w:rsid w:val="00367B74"/>
    <w:rsid w:val="00367BB9"/>
    <w:rsid w:val="00367C35"/>
    <w:rsid w:val="00367DC4"/>
    <w:rsid w:val="00367EC7"/>
    <w:rsid w:val="00367F40"/>
    <w:rsid w:val="00370016"/>
    <w:rsid w:val="00370044"/>
    <w:rsid w:val="00370192"/>
    <w:rsid w:val="003702B7"/>
    <w:rsid w:val="003702D0"/>
    <w:rsid w:val="003703B3"/>
    <w:rsid w:val="003703D7"/>
    <w:rsid w:val="00370439"/>
    <w:rsid w:val="003704A7"/>
    <w:rsid w:val="00370632"/>
    <w:rsid w:val="0037063C"/>
    <w:rsid w:val="003706C7"/>
    <w:rsid w:val="0037085F"/>
    <w:rsid w:val="003708FE"/>
    <w:rsid w:val="00370949"/>
    <w:rsid w:val="003709E6"/>
    <w:rsid w:val="003709EF"/>
    <w:rsid w:val="00370A1F"/>
    <w:rsid w:val="00370BD8"/>
    <w:rsid w:val="00370BED"/>
    <w:rsid w:val="00370CB2"/>
    <w:rsid w:val="00370CC7"/>
    <w:rsid w:val="00370CFB"/>
    <w:rsid w:val="00370D9E"/>
    <w:rsid w:val="00370E2F"/>
    <w:rsid w:val="00371027"/>
    <w:rsid w:val="00371049"/>
    <w:rsid w:val="0037104C"/>
    <w:rsid w:val="003710AA"/>
    <w:rsid w:val="0037124E"/>
    <w:rsid w:val="00371458"/>
    <w:rsid w:val="003715D6"/>
    <w:rsid w:val="0037163B"/>
    <w:rsid w:val="003716B7"/>
    <w:rsid w:val="003718EC"/>
    <w:rsid w:val="003718F8"/>
    <w:rsid w:val="003719B4"/>
    <w:rsid w:val="00371DB7"/>
    <w:rsid w:val="00371F03"/>
    <w:rsid w:val="00371FD5"/>
    <w:rsid w:val="0037207F"/>
    <w:rsid w:val="0037213D"/>
    <w:rsid w:val="003723E5"/>
    <w:rsid w:val="00372674"/>
    <w:rsid w:val="003726C8"/>
    <w:rsid w:val="00372781"/>
    <w:rsid w:val="003727EE"/>
    <w:rsid w:val="00372846"/>
    <w:rsid w:val="00372865"/>
    <w:rsid w:val="00372956"/>
    <w:rsid w:val="00372AF5"/>
    <w:rsid w:val="00372C11"/>
    <w:rsid w:val="003730E6"/>
    <w:rsid w:val="003730FD"/>
    <w:rsid w:val="00373143"/>
    <w:rsid w:val="003734BF"/>
    <w:rsid w:val="00373B2D"/>
    <w:rsid w:val="00373C7F"/>
    <w:rsid w:val="00373CBD"/>
    <w:rsid w:val="00373F4A"/>
    <w:rsid w:val="00373F86"/>
    <w:rsid w:val="00374159"/>
    <w:rsid w:val="003741DC"/>
    <w:rsid w:val="00374291"/>
    <w:rsid w:val="00374300"/>
    <w:rsid w:val="0037431E"/>
    <w:rsid w:val="0037438E"/>
    <w:rsid w:val="003743ED"/>
    <w:rsid w:val="003743FC"/>
    <w:rsid w:val="0037444F"/>
    <w:rsid w:val="00374588"/>
    <w:rsid w:val="0037462F"/>
    <w:rsid w:val="00374650"/>
    <w:rsid w:val="003746AD"/>
    <w:rsid w:val="003746C6"/>
    <w:rsid w:val="00374853"/>
    <w:rsid w:val="003748D0"/>
    <w:rsid w:val="00374ACD"/>
    <w:rsid w:val="00374B5B"/>
    <w:rsid w:val="00375117"/>
    <w:rsid w:val="003752DD"/>
    <w:rsid w:val="00375303"/>
    <w:rsid w:val="00375515"/>
    <w:rsid w:val="00375617"/>
    <w:rsid w:val="0037567A"/>
    <w:rsid w:val="00375B58"/>
    <w:rsid w:val="00375D1F"/>
    <w:rsid w:val="00375EA8"/>
    <w:rsid w:val="00375F32"/>
    <w:rsid w:val="00375F36"/>
    <w:rsid w:val="00375FA8"/>
    <w:rsid w:val="00376078"/>
    <w:rsid w:val="00376271"/>
    <w:rsid w:val="00376354"/>
    <w:rsid w:val="0037637F"/>
    <w:rsid w:val="003764C1"/>
    <w:rsid w:val="0037651D"/>
    <w:rsid w:val="003765D9"/>
    <w:rsid w:val="00376AB5"/>
    <w:rsid w:val="00376F0A"/>
    <w:rsid w:val="00377005"/>
    <w:rsid w:val="003773E3"/>
    <w:rsid w:val="0037755F"/>
    <w:rsid w:val="0037773F"/>
    <w:rsid w:val="003778F6"/>
    <w:rsid w:val="003800DC"/>
    <w:rsid w:val="003800DF"/>
    <w:rsid w:val="00380498"/>
    <w:rsid w:val="003804B0"/>
    <w:rsid w:val="00380657"/>
    <w:rsid w:val="003806CD"/>
    <w:rsid w:val="003807AA"/>
    <w:rsid w:val="003807C9"/>
    <w:rsid w:val="0038099B"/>
    <w:rsid w:val="00380A84"/>
    <w:rsid w:val="00380BFF"/>
    <w:rsid w:val="00380C3A"/>
    <w:rsid w:val="00380CC9"/>
    <w:rsid w:val="00380CE1"/>
    <w:rsid w:val="00380E55"/>
    <w:rsid w:val="00380FB0"/>
    <w:rsid w:val="0038120A"/>
    <w:rsid w:val="0038128F"/>
    <w:rsid w:val="003812D0"/>
    <w:rsid w:val="003812D5"/>
    <w:rsid w:val="003813B3"/>
    <w:rsid w:val="003814D3"/>
    <w:rsid w:val="003814EB"/>
    <w:rsid w:val="00381660"/>
    <w:rsid w:val="003816C3"/>
    <w:rsid w:val="00381809"/>
    <w:rsid w:val="003819BA"/>
    <w:rsid w:val="00381A1B"/>
    <w:rsid w:val="00381AB2"/>
    <w:rsid w:val="00381D3A"/>
    <w:rsid w:val="00381DCA"/>
    <w:rsid w:val="00381F27"/>
    <w:rsid w:val="00381FF3"/>
    <w:rsid w:val="0038214E"/>
    <w:rsid w:val="00382184"/>
    <w:rsid w:val="003821B9"/>
    <w:rsid w:val="003821D2"/>
    <w:rsid w:val="003823DB"/>
    <w:rsid w:val="00382542"/>
    <w:rsid w:val="0038256B"/>
    <w:rsid w:val="0038295B"/>
    <w:rsid w:val="00382E0A"/>
    <w:rsid w:val="00383033"/>
    <w:rsid w:val="00383035"/>
    <w:rsid w:val="00383580"/>
    <w:rsid w:val="003835FA"/>
    <w:rsid w:val="0038360D"/>
    <w:rsid w:val="003836D8"/>
    <w:rsid w:val="003837F1"/>
    <w:rsid w:val="0038380D"/>
    <w:rsid w:val="0038396C"/>
    <w:rsid w:val="00383D18"/>
    <w:rsid w:val="00383EA1"/>
    <w:rsid w:val="0038401F"/>
    <w:rsid w:val="0038439B"/>
    <w:rsid w:val="003847C4"/>
    <w:rsid w:val="00384863"/>
    <w:rsid w:val="0038497D"/>
    <w:rsid w:val="00384BD6"/>
    <w:rsid w:val="00384C6C"/>
    <w:rsid w:val="00384D3D"/>
    <w:rsid w:val="00384F7D"/>
    <w:rsid w:val="00385016"/>
    <w:rsid w:val="00385102"/>
    <w:rsid w:val="00385146"/>
    <w:rsid w:val="00385411"/>
    <w:rsid w:val="00385483"/>
    <w:rsid w:val="0038555C"/>
    <w:rsid w:val="00385561"/>
    <w:rsid w:val="003855A5"/>
    <w:rsid w:val="003855E1"/>
    <w:rsid w:val="003856A4"/>
    <w:rsid w:val="003857EA"/>
    <w:rsid w:val="00385804"/>
    <w:rsid w:val="0038587F"/>
    <w:rsid w:val="00385A6A"/>
    <w:rsid w:val="00385AF1"/>
    <w:rsid w:val="00385B89"/>
    <w:rsid w:val="00385C03"/>
    <w:rsid w:val="00385C2A"/>
    <w:rsid w:val="00385DB9"/>
    <w:rsid w:val="00385E5A"/>
    <w:rsid w:val="00386116"/>
    <w:rsid w:val="0038613F"/>
    <w:rsid w:val="00386394"/>
    <w:rsid w:val="003863A7"/>
    <w:rsid w:val="003867FA"/>
    <w:rsid w:val="00386879"/>
    <w:rsid w:val="00386969"/>
    <w:rsid w:val="003869B7"/>
    <w:rsid w:val="003869DC"/>
    <w:rsid w:val="00386A57"/>
    <w:rsid w:val="00386C8A"/>
    <w:rsid w:val="00386CB1"/>
    <w:rsid w:val="00386E6C"/>
    <w:rsid w:val="00386E90"/>
    <w:rsid w:val="00386EFF"/>
    <w:rsid w:val="00386FC5"/>
    <w:rsid w:val="003870B1"/>
    <w:rsid w:val="003872FA"/>
    <w:rsid w:val="00387578"/>
    <w:rsid w:val="0038763B"/>
    <w:rsid w:val="003876A4"/>
    <w:rsid w:val="0038773E"/>
    <w:rsid w:val="00387B05"/>
    <w:rsid w:val="00387B8E"/>
    <w:rsid w:val="00387C4F"/>
    <w:rsid w:val="00387E66"/>
    <w:rsid w:val="00387ED0"/>
    <w:rsid w:val="00387FBD"/>
    <w:rsid w:val="003900A9"/>
    <w:rsid w:val="003900D6"/>
    <w:rsid w:val="003901BA"/>
    <w:rsid w:val="00390501"/>
    <w:rsid w:val="00390560"/>
    <w:rsid w:val="003907A4"/>
    <w:rsid w:val="003908B8"/>
    <w:rsid w:val="003909A2"/>
    <w:rsid w:val="00390C24"/>
    <w:rsid w:val="00390D0D"/>
    <w:rsid w:val="00390D5C"/>
    <w:rsid w:val="00390EFC"/>
    <w:rsid w:val="00390FBB"/>
    <w:rsid w:val="00391141"/>
    <w:rsid w:val="003912C9"/>
    <w:rsid w:val="00391334"/>
    <w:rsid w:val="0039138A"/>
    <w:rsid w:val="003913B4"/>
    <w:rsid w:val="003914BD"/>
    <w:rsid w:val="003914EF"/>
    <w:rsid w:val="003916E0"/>
    <w:rsid w:val="00391786"/>
    <w:rsid w:val="003917F2"/>
    <w:rsid w:val="00391AB9"/>
    <w:rsid w:val="00391AD0"/>
    <w:rsid w:val="00391D73"/>
    <w:rsid w:val="00391E95"/>
    <w:rsid w:val="00392146"/>
    <w:rsid w:val="0039230E"/>
    <w:rsid w:val="003923C1"/>
    <w:rsid w:val="0039255A"/>
    <w:rsid w:val="003926D1"/>
    <w:rsid w:val="00392838"/>
    <w:rsid w:val="0039299A"/>
    <w:rsid w:val="00392A1D"/>
    <w:rsid w:val="00392CF1"/>
    <w:rsid w:val="00392D64"/>
    <w:rsid w:val="00392DA1"/>
    <w:rsid w:val="00392E0F"/>
    <w:rsid w:val="00393000"/>
    <w:rsid w:val="0039309A"/>
    <w:rsid w:val="003930E7"/>
    <w:rsid w:val="003931FC"/>
    <w:rsid w:val="00393211"/>
    <w:rsid w:val="003935C0"/>
    <w:rsid w:val="003936DB"/>
    <w:rsid w:val="0039372F"/>
    <w:rsid w:val="0039373C"/>
    <w:rsid w:val="003937ED"/>
    <w:rsid w:val="003939E7"/>
    <w:rsid w:val="00393A53"/>
    <w:rsid w:val="00393B6A"/>
    <w:rsid w:val="00393E3B"/>
    <w:rsid w:val="00393EE9"/>
    <w:rsid w:val="0039403B"/>
    <w:rsid w:val="00394132"/>
    <w:rsid w:val="0039429A"/>
    <w:rsid w:val="003942CC"/>
    <w:rsid w:val="003944B8"/>
    <w:rsid w:val="00394538"/>
    <w:rsid w:val="00394B07"/>
    <w:rsid w:val="00394D24"/>
    <w:rsid w:val="00394D5E"/>
    <w:rsid w:val="003954F5"/>
    <w:rsid w:val="00395508"/>
    <w:rsid w:val="00395633"/>
    <w:rsid w:val="00395762"/>
    <w:rsid w:val="003957E8"/>
    <w:rsid w:val="0039580B"/>
    <w:rsid w:val="00395B07"/>
    <w:rsid w:val="00395BC4"/>
    <w:rsid w:val="00395C6F"/>
    <w:rsid w:val="00395D0E"/>
    <w:rsid w:val="00395D67"/>
    <w:rsid w:val="00395FE9"/>
    <w:rsid w:val="00396127"/>
    <w:rsid w:val="00396206"/>
    <w:rsid w:val="00396394"/>
    <w:rsid w:val="00396649"/>
    <w:rsid w:val="003966EC"/>
    <w:rsid w:val="00396A31"/>
    <w:rsid w:val="00396C5A"/>
    <w:rsid w:val="00396CE2"/>
    <w:rsid w:val="00396CED"/>
    <w:rsid w:val="0039706A"/>
    <w:rsid w:val="003970A0"/>
    <w:rsid w:val="003970F5"/>
    <w:rsid w:val="0039720E"/>
    <w:rsid w:val="00397221"/>
    <w:rsid w:val="003973E8"/>
    <w:rsid w:val="0039766B"/>
    <w:rsid w:val="003977FD"/>
    <w:rsid w:val="003978EB"/>
    <w:rsid w:val="00397904"/>
    <w:rsid w:val="00397D3C"/>
    <w:rsid w:val="00397F7F"/>
    <w:rsid w:val="00397F95"/>
    <w:rsid w:val="00397F9B"/>
    <w:rsid w:val="003A0182"/>
    <w:rsid w:val="003A018A"/>
    <w:rsid w:val="003A031B"/>
    <w:rsid w:val="003A034F"/>
    <w:rsid w:val="003A0410"/>
    <w:rsid w:val="003A05BC"/>
    <w:rsid w:val="003A075D"/>
    <w:rsid w:val="003A0998"/>
    <w:rsid w:val="003A0B45"/>
    <w:rsid w:val="003A0C5F"/>
    <w:rsid w:val="003A0D0D"/>
    <w:rsid w:val="003A0F3F"/>
    <w:rsid w:val="003A1349"/>
    <w:rsid w:val="003A1359"/>
    <w:rsid w:val="003A146C"/>
    <w:rsid w:val="003A14E9"/>
    <w:rsid w:val="003A17EA"/>
    <w:rsid w:val="003A186C"/>
    <w:rsid w:val="003A1966"/>
    <w:rsid w:val="003A1A49"/>
    <w:rsid w:val="003A1AF9"/>
    <w:rsid w:val="003A1BED"/>
    <w:rsid w:val="003A1D36"/>
    <w:rsid w:val="003A1DAF"/>
    <w:rsid w:val="003A1E3C"/>
    <w:rsid w:val="003A1EF3"/>
    <w:rsid w:val="003A20F7"/>
    <w:rsid w:val="003A210A"/>
    <w:rsid w:val="003A24DB"/>
    <w:rsid w:val="003A269B"/>
    <w:rsid w:val="003A294A"/>
    <w:rsid w:val="003A29A6"/>
    <w:rsid w:val="003A2B71"/>
    <w:rsid w:val="003A2D22"/>
    <w:rsid w:val="003A3086"/>
    <w:rsid w:val="003A3095"/>
    <w:rsid w:val="003A313D"/>
    <w:rsid w:val="003A3180"/>
    <w:rsid w:val="003A31E0"/>
    <w:rsid w:val="003A3238"/>
    <w:rsid w:val="003A34D3"/>
    <w:rsid w:val="003A355E"/>
    <w:rsid w:val="003A35B4"/>
    <w:rsid w:val="003A365F"/>
    <w:rsid w:val="003A368D"/>
    <w:rsid w:val="003A3785"/>
    <w:rsid w:val="003A3865"/>
    <w:rsid w:val="003A39F1"/>
    <w:rsid w:val="003A3A21"/>
    <w:rsid w:val="003A3A43"/>
    <w:rsid w:val="003A3ADC"/>
    <w:rsid w:val="003A3B24"/>
    <w:rsid w:val="003A3C3C"/>
    <w:rsid w:val="003A3C40"/>
    <w:rsid w:val="003A3D57"/>
    <w:rsid w:val="003A3E21"/>
    <w:rsid w:val="003A3EB7"/>
    <w:rsid w:val="003A40A3"/>
    <w:rsid w:val="003A4196"/>
    <w:rsid w:val="003A42A2"/>
    <w:rsid w:val="003A42C4"/>
    <w:rsid w:val="003A433B"/>
    <w:rsid w:val="003A457B"/>
    <w:rsid w:val="003A47AC"/>
    <w:rsid w:val="003A47ED"/>
    <w:rsid w:val="003A4860"/>
    <w:rsid w:val="003A48C8"/>
    <w:rsid w:val="003A4AC8"/>
    <w:rsid w:val="003A4C5C"/>
    <w:rsid w:val="003A4DCE"/>
    <w:rsid w:val="003A4E39"/>
    <w:rsid w:val="003A4EFC"/>
    <w:rsid w:val="003A5037"/>
    <w:rsid w:val="003A515D"/>
    <w:rsid w:val="003A52BA"/>
    <w:rsid w:val="003A54FA"/>
    <w:rsid w:val="003A5750"/>
    <w:rsid w:val="003A57AF"/>
    <w:rsid w:val="003A5977"/>
    <w:rsid w:val="003A59F8"/>
    <w:rsid w:val="003A5AE4"/>
    <w:rsid w:val="003A5C48"/>
    <w:rsid w:val="003A5CAF"/>
    <w:rsid w:val="003A5E30"/>
    <w:rsid w:val="003A5E40"/>
    <w:rsid w:val="003A5F03"/>
    <w:rsid w:val="003A5F93"/>
    <w:rsid w:val="003A6006"/>
    <w:rsid w:val="003A613E"/>
    <w:rsid w:val="003A6249"/>
    <w:rsid w:val="003A62E9"/>
    <w:rsid w:val="003A635C"/>
    <w:rsid w:val="003A63B7"/>
    <w:rsid w:val="003A6582"/>
    <w:rsid w:val="003A65BA"/>
    <w:rsid w:val="003A6755"/>
    <w:rsid w:val="003A6856"/>
    <w:rsid w:val="003A6891"/>
    <w:rsid w:val="003A68A6"/>
    <w:rsid w:val="003A691F"/>
    <w:rsid w:val="003A6987"/>
    <w:rsid w:val="003A6A0D"/>
    <w:rsid w:val="003A6B37"/>
    <w:rsid w:val="003A6BFD"/>
    <w:rsid w:val="003A6C6C"/>
    <w:rsid w:val="003A6E82"/>
    <w:rsid w:val="003A6E92"/>
    <w:rsid w:val="003A6F2F"/>
    <w:rsid w:val="003A7180"/>
    <w:rsid w:val="003A71DF"/>
    <w:rsid w:val="003A73D1"/>
    <w:rsid w:val="003A76BB"/>
    <w:rsid w:val="003A76F1"/>
    <w:rsid w:val="003A774C"/>
    <w:rsid w:val="003A783D"/>
    <w:rsid w:val="003A7B0C"/>
    <w:rsid w:val="003A7B40"/>
    <w:rsid w:val="003A7DA1"/>
    <w:rsid w:val="003A7F58"/>
    <w:rsid w:val="003B002F"/>
    <w:rsid w:val="003B0045"/>
    <w:rsid w:val="003B01CF"/>
    <w:rsid w:val="003B0302"/>
    <w:rsid w:val="003B05D1"/>
    <w:rsid w:val="003B0691"/>
    <w:rsid w:val="003B06A0"/>
    <w:rsid w:val="003B0AF7"/>
    <w:rsid w:val="003B0B31"/>
    <w:rsid w:val="003B0BD6"/>
    <w:rsid w:val="003B0C25"/>
    <w:rsid w:val="003B0E7D"/>
    <w:rsid w:val="003B1134"/>
    <w:rsid w:val="003B12C0"/>
    <w:rsid w:val="003B13DF"/>
    <w:rsid w:val="003B14B5"/>
    <w:rsid w:val="003B1549"/>
    <w:rsid w:val="003B1688"/>
    <w:rsid w:val="003B17DF"/>
    <w:rsid w:val="003B18BE"/>
    <w:rsid w:val="003B1A44"/>
    <w:rsid w:val="003B1ACC"/>
    <w:rsid w:val="003B1BCD"/>
    <w:rsid w:val="003B1C10"/>
    <w:rsid w:val="003B1CF9"/>
    <w:rsid w:val="003B1E82"/>
    <w:rsid w:val="003B1ECD"/>
    <w:rsid w:val="003B1F36"/>
    <w:rsid w:val="003B2295"/>
    <w:rsid w:val="003B2301"/>
    <w:rsid w:val="003B24B4"/>
    <w:rsid w:val="003B251E"/>
    <w:rsid w:val="003B25C7"/>
    <w:rsid w:val="003B26FF"/>
    <w:rsid w:val="003B276E"/>
    <w:rsid w:val="003B2773"/>
    <w:rsid w:val="003B27D2"/>
    <w:rsid w:val="003B2816"/>
    <w:rsid w:val="003B2964"/>
    <w:rsid w:val="003B2A1E"/>
    <w:rsid w:val="003B2B9C"/>
    <w:rsid w:val="003B306B"/>
    <w:rsid w:val="003B32FE"/>
    <w:rsid w:val="003B331C"/>
    <w:rsid w:val="003B33AC"/>
    <w:rsid w:val="003B340F"/>
    <w:rsid w:val="003B3543"/>
    <w:rsid w:val="003B358B"/>
    <w:rsid w:val="003B35F6"/>
    <w:rsid w:val="003B3764"/>
    <w:rsid w:val="003B3828"/>
    <w:rsid w:val="003B386A"/>
    <w:rsid w:val="003B3C33"/>
    <w:rsid w:val="003B3D3E"/>
    <w:rsid w:val="003B3DC5"/>
    <w:rsid w:val="003B402C"/>
    <w:rsid w:val="003B4050"/>
    <w:rsid w:val="003B407B"/>
    <w:rsid w:val="003B42FD"/>
    <w:rsid w:val="003B46B6"/>
    <w:rsid w:val="003B47C8"/>
    <w:rsid w:val="003B499C"/>
    <w:rsid w:val="003B4B5B"/>
    <w:rsid w:val="003B4B92"/>
    <w:rsid w:val="003B4C8D"/>
    <w:rsid w:val="003B4D11"/>
    <w:rsid w:val="003B4D3C"/>
    <w:rsid w:val="003B4E5E"/>
    <w:rsid w:val="003B50F8"/>
    <w:rsid w:val="003B5104"/>
    <w:rsid w:val="003B5190"/>
    <w:rsid w:val="003B542C"/>
    <w:rsid w:val="003B546C"/>
    <w:rsid w:val="003B55F2"/>
    <w:rsid w:val="003B5628"/>
    <w:rsid w:val="003B5704"/>
    <w:rsid w:val="003B57F8"/>
    <w:rsid w:val="003B585A"/>
    <w:rsid w:val="003B5865"/>
    <w:rsid w:val="003B596D"/>
    <w:rsid w:val="003B597C"/>
    <w:rsid w:val="003B5B2B"/>
    <w:rsid w:val="003B5CEC"/>
    <w:rsid w:val="003B5D2B"/>
    <w:rsid w:val="003B5D31"/>
    <w:rsid w:val="003B5D50"/>
    <w:rsid w:val="003B5DC8"/>
    <w:rsid w:val="003B5DD4"/>
    <w:rsid w:val="003B6370"/>
    <w:rsid w:val="003B63F8"/>
    <w:rsid w:val="003B6598"/>
    <w:rsid w:val="003B659A"/>
    <w:rsid w:val="003B6602"/>
    <w:rsid w:val="003B6637"/>
    <w:rsid w:val="003B6A35"/>
    <w:rsid w:val="003B6B23"/>
    <w:rsid w:val="003B6BAB"/>
    <w:rsid w:val="003B6BC4"/>
    <w:rsid w:val="003B6E37"/>
    <w:rsid w:val="003B6E56"/>
    <w:rsid w:val="003B718D"/>
    <w:rsid w:val="003B720C"/>
    <w:rsid w:val="003B723F"/>
    <w:rsid w:val="003B727C"/>
    <w:rsid w:val="003B72AB"/>
    <w:rsid w:val="003B738B"/>
    <w:rsid w:val="003B743A"/>
    <w:rsid w:val="003B74A4"/>
    <w:rsid w:val="003B75DA"/>
    <w:rsid w:val="003B770D"/>
    <w:rsid w:val="003B7AA9"/>
    <w:rsid w:val="003B7D24"/>
    <w:rsid w:val="003B7D58"/>
    <w:rsid w:val="003B7D64"/>
    <w:rsid w:val="003B7D88"/>
    <w:rsid w:val="003B7DA7"/>
    <w:rsid w:val="003B7DB7"/>
    <w:rsid w:val="003B7E79"/>
    <w:rsid w:val="003B7FDA"/>
    <w:rsid w:val="003C0094"/>
    <w:rsid w:val="003C07FC"/>
    <w:rsid w:val="003C0A67"/>
    <w:rsid w:val="003C0B00"/>
    <w:rsid w:val="003C0B29"/>
    <w:rsid w:val="003C0B5C"/>
    <w:rsid w:val="003C0BE9"/>
    <w:rsid w:val="003C0D95"/>
    <w:rsid w:val="003C0E35"/>
    <w:rsid w:val="003C0EBA"/>
    <w:rsid w:val="003C0F61"/>
    <w:rsid w:val="003C104E"/>
    <w:rsid w:val="003C1296"/>
    <w:rsid w:val="003C13CB"/>
    <w:rsid w:val="003C1617"/>
    <w:rsid w:val="003C1651"/>
    <w:rsid w:val="003C17EA"/>
    <w:rsid w:val="003C1896"/>
    <w:rsid w:val="003C19F6"/>
    <w:rsid w:val="003C1D26"/>
    <w:rsid w:val="003C1ED1"/>
    <w:rsid w:val="003C1F20"/>
    <w:rsid w:val="003C22AE"/>
    <w:rsid w:val="003C22D8"/>
    <w:rsid w:val="003C23D8"/>
    <w:rsid w:val="003C24AE"/>
    <w:rsid w:val="003C254A"/>
    <w:rsid w:val="003C2711"/>
    <w:rsid w:val="003C2833"/>
    <w:rsid w:val="003C2840"/>
    <w:rsid w:val="003C2898"/>
    <w:rsid w:val="003C28A4"/>
    <w:rsid w:val="003C28FD"/>
    <w:rsid w:val="003C2A41"/>
    <w:rsid w:val="003C2AAC"/>
    <w:rsid w:val="003C2B1C"/>
    <w:rsid w:val="003C2B66"/>
    <w:rsid w:val="003C2BAB"/>
    <w:rsid w:val="003C2C1F"/>
    <w:rsid w:val="003C31D1"/>
    <w:rsid w:val="003C32C7"/>
    <w:rsid w:val="003C338B"/>
    <w:rsid w:val="003C344A"/>
    <w:rsid w:val="003C356B"/>
    <w:rsid w:val="003C357C"/>
    <w:rsid w:val="003C365A"/>
    <w:rsid w:val="003C3753"/>
    <w:rsid w:val="003C37DD"/>
    <w:rsid w:val="003C37DF"/>
    <w:rsid w:val="003C387A"/>
    <w:rsid w:val="003C387C"/>
    <w:rsid w:val="003C3961"/>
    <w:rsid w:val="003C3A6E"/>
    <w:rsid w:val="003C3BA0"/>
    <w:rsid w:val="003C3CDC"/>
    <w:rsid w:val="003C3E0C"/>
    <w:rsid w:val="003C3E47"/>
    <w:rsid w:val="003C3F2F"/>
    <w:rsid w:val="003C3FC9"/>
    <w:rsid w:val="003C40C4"/>
    <w:rsid w:val="003C41D6"/>
    <w:rsid w:val="003C46FF"/>
    <w:rsid w:val="003C4AFD"/>
    <w:rsid w:val="003C4B29"/>
    <w:rsid w:val="003C4BD7"/>
    <w:rsid w:val="003C4C02"/>
    <w:rsid w:val="003C4CA7"/>
    <w:rsid w:val="003C4D2E"/>
    <w:rsid w:val="003C4E0B"/>
    <w:rsid w:val="003C4F8C"/>
    <w:rsid w:val="003C4FE5"/>
    <w:rsid w:val="003C5103"/>
    <w:rsid w:val="003C5119"/>
    <w:rsid w:val="003C51F4"/>
    <w:rsid w:val="003C5221"/>
    <w:rsid w:val="003C5408"/>
    <w:rsid w:val="003C54AF"/>
    <w:rsid w:val="003C55C5"/>
    <w:rsid w:val="003C5659"/>
    <w:rsid w:val="003C5965"/>
    <w:rsid w:val="003C5A94"/>
    <w:rsid w:val="003C5ACB"/>
    <w:rsid w:val="003C5E88"/>
    <w:rsid w:val="003C6021"/>
    <w:rsid w:val="003C6174"/>
    <w:rsid w:val="003C645A"/>
    <w:rsid w:val="003C6638"/>
    <w:rsid w:val="003C6770"/>
    <w:rsid w:val="003C677F"/>
    <w:rsid w:val="003C6853"/>
    <w:rsid w:val="003C6A6D"/>
    <w:rsid w:val="003C6B82"/>
    <w:rsid w:val="003C6E63"/>
    <w:rsid w:val="003C6E7E"/>
    <w:rsid w:val="003C6ECC"/>
    <w:rsid w:val="003C6FFA"/>
    <w:rsid w:val="003C706C"/>
    <w:rsid w:val="003C713D"/>
    <w:rsid w:val="003C71F6"/>
    <w:rsid w:val="003C72AC"/>
    <w:rsid w:val="003C7324"/>
    <w:rsid w:val="003C74E5"/>
    <w:rsid w:val="003C758E"/>
    <w:rsid w:val="003C75CA"/>
    <w:rsid w:val="003C766B"/>
    <w:rsid w:val="003C7672"/>
    <w:rsid w:val="003C789B"/>
    <w:rsid w:val="003C7C78"/>
    <w:rsid w:val="003C7CC0"/>
    <w:rsid w:val="003C7E0A"/>
    <w:rsid w:val="003C7E97"/>
    <w:rsid w:val="003D031D"/>
    <w:rsid w:val="003D0698"/>
    <w:rsid w:val="003D0868"/>
    <w:rsid w:val="003D08FE"/>
    <w:rsid w:val="003D098C"/>
    <w:rsid w:val="003D0A22"/>
    <w:rsid w:val="003D0BD7"/>
    <w:rsid w:val="003D0C32"/>
    <w:rsid w:val="003D0D6B"/>
    <w:rsid w:val="003D0E55"/>
    <w:rsid w:val="003D1032"/>
    <w:rsid w:val="003D1231"/>
    <w:rsid w:val="003D131F"/>
    <w:rsid w:val="003D13FB"/>
    <w:rsid w:val="003D1443"/>
    <w:rsid w:val="003D14BB"/>
    <w:rsid w:val="003D14D8"/>
    <w:rsid w:val="003D175E"/>
    <w:rsid w:val="003D18C8"/>
    <w:rsid w:val="003D1CE3"/>
    <w:rsid w:val="003D1CF8"/>
    <w:rsid w:val="003D1D13"/>
    <w:rsid w:val="003D1D95"/>
    <w:rsid w:val="003D1DF2"/>
    <w:rsid w:val="003D1FBD"/>
    <w:rsid w:val="003D22BD"/>
    <w:rsid w:val="003D259E"/>
    <w:rsid w:val="003D25F2"/>
    <w:rsid w:val="003D26EF"/>
    <w:rsid w:val="003D27B0"/>
    <w:rsid w:val="003D2840"/>
    <w:rsid w:val="003D2A01"/>
    <w:rsid w:val="003D2A89"/>
    <w:rsid w:val="003D2B10"/>
    <w:rsid w:val="003D2C06"/>
    <w:rsid w:val="003D2CD2"/>
    <w:rsid w:val="003D2E22"/>
    <w:rsid w:val="003D2EC5"/>
    <w:rsid w:val="003D2EFE"/>
    <w:rsid w:val="003D3066"/>
    <w:rsid w:val="003D324B"/>
    <w:rsid w:val="003D325E"/>
    <w:rsid w:val="003D3426"/>
    <w:rsid w:val="003D353E"/>
    <w:rsid w:val="003D3786"/>
    <w:rsid w:val="003D3849"/>
    <w:rsid w:val="003D3901"/>
    <w:rsid w:val="003D3AF0"/>
    <w:rsid w:val="003D3B56"/>
    <w:rsid w:val="003D3C72"/>
    <w:rsid w:val="003D3F36"/>
    <w:rsid w:val="003D40B6"/>
    <w:rsid w:val="003D413C"/>
    <w:rsid w:val="003D4185"/>
    <w:rsid w:val="003D41A4"/>
    <w:rsid w:val="003D41ED"/>
    <w:rsid w:val="003D439E"/>
    <w:rsid w:val="003D4480"/>
    <w:rsid w:val="003D4671"/>
    <w:rsid w:val="003D4882"/>
    <w:rsid w:val="003D4B0D"/>
    <w:rsid w:val="003D4C19"/>
    <w:rsid w:val="003D4C77"/>
    <w:rsid w:val="003D4C88"/>
    <w:rsid w:val="003D4CAD"/>
    <w:rsid w:val="003D50E7"/>
    <w:rsid w:val="003D516E"/>
    <w:rsid w:val="003D5270"/>
    <w:rsid w:val="003D52BF"/>
    <w:rsid w:val="003D53CD"/>
    <w:rsid w:val="003D5571"/>
    <w:rsid w:val="003D55B0"/>
    <w:rsid w:val="003D55D8"/>
    <w:rsid w:val="003D567A"/>
    <w:rsid w:val="003D57A7"/>
    <w:rsid w:val="003D5B1E"/>
    <w:rsid w:val="003D5B27"/>
    <w:rsid w:val="003D5DA4"/>
    <w:rsid w:val="003D5FA4"/>
    <w:rsid w:val="003D6037"/>
    <w:rsid w:val="003D603C"/>
    <w:rsid w:val="003D605F"/>
    <w:rsid w:val="003D60C9"/>
    <w:rsid w:val="003D61A2"/>
    <w:rsid w:val="003D6343"/>
    <w:rsid w:val="003D63E0"/>
    <w:rsid w:val="003D6460"/>
    <w:rsid w:val="003D64A7"/>
    <w:rsid w:val="003D650F"/>
    <w:rsid w:val="003D65B7"/>
    <w:rsid w:val="003D6624"/>
    <w:rsid w:val="003D662A"/>
    <w:rsid w:val="003D6678"/>
    <w:rsid w:val="003D66A7"/>
    <w:rsid w:val="003D68B7"/>
    <w:rsid w:val="003D699E"/>
    <w:rsid w:val="003D6C95"/>
    <w:rsid w:val="003D6CA1"/>
    <w:rsid w:val="003D6CF0"/>
    <w:rsid w:val="003D6EF9"/>
    <w:rsid w:val="003D6FE9"/>
    <w:rsid w:val="003D709F"/>
    <w:rsid w:val="003D70E6"/>
    <w:rsid w:val="003D7265"/>
    <w:rsid w:val="003D72CC"/>
    <w:rsid w:val="003D7792"/>
    <w:rsid w:val="003D7987"/>
    <w:rsid w:val="003D7B34"/>
    <w:rsid w:val="003E001B"/>
    <w:rsid w:val="003E0058"/>
    <w:rsid w:val="003E0283"/>
    <w:rsid w:val="003E03C5"/>
    <w:rsid w:val="003E03E9"/>
    <w:rsid w:val="003E0448"/>
    <w:rsid w:val="003E0493"/>
    <w:rsid w:val="003E04BD"/>
    <w:rsid w:val="003E04EB"/>
    <w:rsid w:val="003E073D"/>
    <w:rsid w:val="003E08F0"/>
    <w:rsid w:val="003E0B91"/>
    <w:rsid w:val="003E0BCB"/>
    <w:rsid w:val="003E0D16"/>
    <w:rsid w:val="003E1048"/>
    <w:rsid w:val="003E115C"/>
    <w:rsid w:val="003E11BB"/>
    <w:rsid w:val="003E11D4"/>
    <w:rsid w:val="003E1222"/>
    <w:rsid w:val="003E12B6"/>
    <w:rsid w:val="003E12F7"/>
    <w:rsid w:val="003E1533"/>
    <w:rsid w:val="003E1580"/>
    <w:rsid w:val="003E160E"/>
    <w:rsid w:val="003E1674"/>
    <w:rsid w:val="003E183D"/>
    <w:rsid w:val="003E1850"/>
    <w:rsid w:val="003E1852"/>
    <w:rsid w:val="003E1982"/>
    <w:rsid w:val="003E1E23"/>
    <w:rsid w:val="003E1E29"/>
    <w:rsid w:val="003E205E"/>
    <w:rsid w:val="003E224B"/>
    <w:rsid w:val="003E22A2"/>
    <w:rsid w:val="003E22C4"/>
    <w:rsid w:val="003E23AC"/>
    <w:rsid w:val="003E2583"/>
    <w:rsid w:val="003E267B"/>
    <w:rsid w:val="003E2874"/>
    <w:rsid w:val="003E287B"/>
    <w:rsid w:val="003E29D1"/>
    <w:rsid w:val="003E2AF0"/>
    <w:rsid w:val="003E2B7C"/>
    <w:rsid w:val="003E2C6E"/>
    <w:rsid w:val="003E2D6E"/>
    <w:rsid w:val="003E2E7A"/>
    <w:rsid w:val="003E2E8B"/>
    <w:rsid w:val="003E33E2"/>
    <w:rsid w:val="003E34ED"/>
    <w:rsid w:val="003E3680"/>
    <w:rsid w:val="003E372C"/>
    <w:rsid w:val="003E3772"/>
    <w:rsid w:val="003E3A73"/>
    <w:rsid w:val="003E3C9B"/>
    <w:rsid w:val="003E3CA6"/>
    <w:rsid w:val="003E3D5D"/>
    <w:rsid w:val="003E3DFF"/>
    <w:rsid w:val="003E3E55"/>
    <w:rsid w:val="003E3ECE"/>
    <w:rsid w:val="003E3F08"/>
    <w:rsid w:val="003E43EA"/>
    <w:rsid w:val="003E44E1"/>
    <w:rsid w:val="003E479C"/>
    <w:rsid w:val="003E4AE0"/>
    <w:rsid w:val="003E4DA1"/>
    <w:rsid w:val="003E4DA6"/>
    <w:rsid w:val="003E4E02"/>
    <w:rsid w:val="003E4E42"/>
    <w:rsid w:val="003E4E86"/>
    <w:rsid w:val="003E4FE0"/>
    <w:rsid w:val="003E50B8"/>
    <w:rsid w:val="003E51DC"/>
    <w:rsid w:val="003E5206"/>
    <w:rsid w:val="003E52D1"/>
    <w:rsid w:val="003E532A"/>
    <w:rsid w:val="003E535B"/>
    <w:rsid w:val="003E53CD"/>
    <w:rsid w:val="003E5418"/>
    <w:rsid w:val="003E545D"/>
    <w:rsid w:val="003E558F"/>
    <w:rsid w:val="003E58FF"/>
    <w:rsid w:val="003E59EF"/>
    <w:rsid w:val="003E5DED"/>
    <w:rsid w:val="003E5E15"/>
    <w:rsid w:val="003E5F17"/>
    <w:rsid w:val="003E5F72"/>
    <w:rsid w:val="003E5F8D"/>
    <w:rsid w:val="003E602F"/>
    <w:rsid w:val="003E659D"/>
    <w:rsid w:val="003E670F"/>
    <w:rsid w:val="003E6907"/>
    <w:rsid w:val="003E69DC"/>
    <w:rsid w:val="003E6A8C"/>
    <w:rsid w:val="003E6B3C"/>
    <w:rsid w:val="003E6BAB"/>
    <w:rsid w:val="003E7608"/>
    <w:rsid w:val="003E765A"/>
    <w:rsid w:val="003E79E3"/>
    <w:rsid w:val="003E7A44"/>
    <w:rsid w:val="003E7AD9"/>
    <w:rsid w:val="003E7B2F"/>
    <w:rsid w:val="003E7B95"/>
    <w:rsid w:val="003E7C28"/>
    <w:rsid w:val="003E7E68"/>
    <w:rsid w:val="003E7FEB"/>
    <w:rsid w:val="003F016F"/>
    <w:rsid w:val="003F0918"/>
    <w:rsid w:val="003F09DC"/>
    <w:rsid w:val="003F0A1C"/>
    <w:rsid w:val="003F0AAB"/>
    <w:rsid w:val="003F0BA6"/>
    <w:rsid w:val="003F0BDB"/>
    <w:rsid w:val="003F0E5A"/>
    <w:rsid w:val="003F0F75"/>
    <w:rsid w:val="003F0FA0"/>
    <w:rsid w:val="003F104B"/>
    <w:rsid w:val="003F1086"/>
    <w:rsid w:val="003F10A3"/>
    <w:rsid w:val="003F11A6"/>
    <w:rsid w:val="003F1576"/>
    <w:rsid w:val="003F16EE"/>
    <w:rsid w:val="003F16FA"/>
    <w:rsid w:val="003F176B"/>
    <w:rsid w:val="003F18FE"/>
    <w:rsid w:val="003F1922"/>
    <w:rsid w:val="003F1932"/>
    <w:rsid w:val="003F1A99"/>
    <w:rsid w:val="003F1E8D"/>
    <w:rsid w:val="003F1E90"/>
    <w:rsid w:val="003F21CB"/>
    <w:rsid w:val="003F244A"/>
    <w:rsid w:val="003F2489"/>
    <w:rsid w:val="003F2510"/>
    <w:rsid w:val="003F2549"/>
    <w:rsid w:val="003F25B2"/>
    <w:rsid w:val="003F261A"/>
    <w:rsid w:val="003F287F"/>
    <w:rsid w:val="003F2999"/>
    <w:rsid w:val="003F2B4D"/>
    <w:rsid w:val="003F2CBC"/>
    <w:rsid w:val="003F2D2D"/>
    <w:rsid w:val="003F2E28"/>
    <w:rsid w:val="003F366C"/>
    <w:rsid w:val="003F374E"/>
    <w:rsid w:val="003F3752"/>
    <w:rsid w:val="003F38ED"/>
    <w:rsid w:val="003F3A24"/>
    <w:rsid w:val="003F3BA4"/>
    <w:rsid w:val="003F3C19"/>
    <w:rsid w:val="003F3D66"/>
    <w:rsid w:val="003F3E6A"/>
    <w:rsid w:val="003F3F3B"/>
    <w:rsid w:val="003F3FBE"/>
    <w:rsid w:val="003F4053"/>
    <w:rsid w:val="003F406F"/>
    <w:rsid w:val="003F4422"/>
    <w:rsid w:val="003F471D"/>
    <w:rsid w:val="003F488D"/>
    <w:rsid w:val="003F48D7"/>
    <w:rsid w:val="003F4913"/>
    <w:rsid w:val="003F4A2B"/>
    <w:rsid w:val="003F4A6F"/>
    <w:rsid w:val="003F4AE4"/>
    <w:rsid w:val="003F4AFD"/>
    <w:rsid w:val="003F4BD8"/>
    <w:rsid w:val="003F4CE3"/>
    <w:rsid w:val="003F4D38"/>
    <w:rsid w:val="003F5066"/>
    <w:rsid w:val="003F5102"/>
    <w:rsid w:val="003F5143"/>
    <w:rsid w:val="003F5254"/>
    <w:rsid w:val="003F5506"/>
    <w:rsid w:val="003F5559"/>
    <w:rsid w:val="003F574F"/>
    <w:rsid w:val="003F58D2"/>
    <w:rsid w:val="003F594F"/>
    <w:rsid w:val="003F5BF5"/>
    <w:rsid w:val="003F5C3E"/>
    <w:rsid w:val="003F5D0C"/>
    <w:rsid w:val="003F5D7B"/>
    <w:rsid w:val="003F5DF2"/>
    <w:rsid w:val="003F5E11"/>
    <w:rsid w:val="003F5FCB"/>
    <w:rsid w:val="003F60A2"/>
    <w:rsid w:val="003F61AB"/>
    <w:rsid w:val="003F61F7"/>
    <w:rsid w:val="003F646C"/>
    <w:rsid w:val="003F660C"/>
    <w:rsid w:val="003F66EF"/>
    <w:rsid w:val="003F673E"/>
    <w:rsid w:val="003F68B7"/>
    <w:rsid w:val="003F6A09"/>
    <w:rsid w:val="003F6A49"/>
    <w:rsid w:val="003F6A6E"/>
    <w:rsid w:val="003F6C5D"/>
    <w:rsid w:val="003F6ECA"/>
    <w:rsid w:val="003F738D"/>
    <w:rsid w:val="003F756B"/>
    <w:rsid w:val="003F7588"/>
    <w:rsid w:val="003F7592"/>
    <w:rsid w:val="003F777D"/>
    <w:rsid w:val="003F779F"/>
    <w:rsid w:val="003F7BCA"/>
    <w:rsid w:val="003F7C9A"/>
    <w:rsid w:val="003F7CE6"/>
    <w:rsid w:val="003F7D29"/>
    <w:rsid w:val="003F7DC6"/>
    <w:rsid w:val="003F7E19"/>
    <w:rsid w:val="003F7E49"/>
    <w:rsid w:val="003F7FE3"/>
    <w:rsid w:val="004000B6"/>
    <w:rsid w:val="00400371"/>
    <w:rsid w:val="00400695"/>
    <w:rsid w:val="004006DA"/>
    <w:rsid w:val="00400796"/>
    <w:rsid w:val="0040080D"/>
    <w:rsid w:val="00400A38"/>
    <w:rsid w:val="00400A68"/>
    <w:rsid w:val="00400AEE"/>
    <w:rsid w:val="00400C9F"/>
    <w:rsid w:val="00400E69"/>
    <w:rsid w:val="00400EB4"/>
    <w:rsid w:val="00400F47"/>
    <w:rsid w:val="00401088"/>
    <w:rsid w:val="00401363"/>
    <w:rsid w:val="0040139C"/>
    <w:rsid w:val="0040143D"/>
    <w:rsid w:val="004015B0"/>
    <w:rsid w:val="004016A1"/>
    <w:rsid w:val="004016E7"/>
    <w:rsid w:val="0040171C"/>
    <w:rsid w:val="004017E1"/>
    <w:rsid w:val="0040185B"/>
    <w:rsid w:val="00401B04"/>
    <w:rsid w:val="00401DC0"/>
    <w:rsid w:val="00401EC4"/>
    <w:rsid w:val="00402312"/>
    <w:rsid w:val="004024CA"/>
    <w:rsid w:val="004024CF"/>
    <w:rsid w:val="00402533"/>
    <w:rsid w:val="0040262D"/>
    <w:rsid w:val="004027CF"/>
    <w:rsid w:val="00402843"/>
    <w:rsid w:val="00402979"/>
    <w:rsid w:val="004029D1"/>
    <w:rsid w:val="00402A45"/>
    <w:rsid w:val="00402DCA"/>
    <w:rsid w:val="00402E79"/>
    <w:rsid w:val="00402F5E"/>
    <w:rsid w:val="0040303D"/>
    <w:rsid w:val="0040331F"/>
    <w:rsid w:val="00403779"/>
    <w:rsid w:val="004037CD"/>
    <w:rsid w:val="004037EF"/>
    <w:rsid w:val="00403A78"/>
    <w:rsid w:val="00403B9A"/>
    <w:rsid w:val="00403F75"/>
    <w:rsid w:val="00403FEF"/>
    <w:rsid w:val="00404011"/>
    <w:rsid w:val="004040F5"/>
    <w:rsid w:val="004041E4"/>
    <w:rsid w:val="00404345"/>
    <w:rsid w:val="00404349"/>
    <w:rsid w:val="0040437D"/>
    <w:rsid w:val="0040439F"/>
    <w:rsid w:val="00404645"/>
    <w:rsid w:val="004046E6"/>
    <w:rsid w:val="00404802"/>
    <w:rsid w:val="00404986"/>
    <w:rsid w:val="00404A15"/>
    <w:rsid w:val="00404B54"/>
    <w:rsid w:val="00404C0F"/>
    <w:rsid w:val="00404C2B"/>
    <w:rsid w:val="00404C97"/>
    <w:rsid w:val="00404D0B"/>
    <w:rsid w:val="00404D3D"/>
    <w:rsid w:val="00404EA3"/>
    <w:rsid w:val="00404F09"/>
    <w:rsid w:val="00405022"/>
    <w:rsid w:val="0040506D"/>
    <w:rsid w:val="004051DA"/>
    <w:rsid w:val="00405313"/>
    <w:rsid w:val="00405385"/>
    <w:rsid w:val="004053D3"/>
    <w:rsid w:val="00405401"/>
    <w:rsid w:val="004054B6"/>
    <w:rsid w:val="0040561C"/>
    <w:rsid w:val="004056FB"/>
    <w:rsid w:val="00405731"/>
    <w:rsid w:val="00405B03"/>
    <w:rsid w:val="00405BEF"/>
    <w:rsid w:val="00405D01"/>
    <w:rsid w:val="00405F50"/>
    <w:rsid w:val="00406177"/>
    <w:rsid w:val="0040617F"/>
    <w:rsid w:val="00406347"/>
    <w:rsid w:val="00406428"/>
    <w:rsid w:val="00406434"/>
    <w:rsid w:val="00406435"/>
    <w:rsid w:val="0040658D"/>
    <w:rsid w:val="0040691C"/>
    <w:rsid w:val="004069E1"/>
    <w:rsid w:val="00406A88"/>
    <w:rsid w:val="00406B76"/>
    <w:rsid w:val="00406F22"/>
    <w:rsid w:val="00406F65"/>
    <w:rsid w:val="004070E3"/>
    <w:rsid w:val="00407169"/>
    <w:rsid w:val="004072CD"/>
    <w:rsid w:val="0040734D"/>
    <w:rsid w:val="0040742F"/>
    <w:rsid w:val="00407874"/>
    <w:rsid w:val="004079F4"/>
    <w:rsid w:val="00407A4D"/>
    <w:rsid w:val="00407A8A"/>
    <w:rsid w:val="00407CAA"/>
    <w:rsid w:val="00407FAF"/>
    <w:rsid w:val="004100F4"/>
    <w:rsid w:val="00410128"/>
    <w:rsid w:val="0041048D"/>
    <w:rsid w:val="004106C3"/>
    <w:rsid w:val="004106EB"/>
    <w:rsid w:val="0041089C"/>
    <w:rsid w:val="0041096E"/>
    <w:rsid w:val="004109D3"/>
    <w:rsid w:val="00410ACB"/>
    <w:rsid w:val="00410B30"/>
    <w:rsid w:val="00410C23"/>
    <w:rsid w:val="00410E2B"/>
    <w:rsid w:val="00410E46"/>
    <w:rsid w:val="00410E52"/>
    <w:rsid w:val="00410E8F"/>
    <w:rsid w:val="00410E9F"/>
    <w:rsid w:val="00410EFD"/>
    <w:rsid w:val="00410FB9"/>
    <w:rsid w:val="00410FE5"/>
    <w:rsid w:val="004110E9"/>
    <w:rsid w:val="0041110A"/>
    <w:rsid w:val="004111A6"/>
    <w:rsid w:val="004112E4"/>
    <w:rsid w:val="004113D5"/>
    <w:rsid w:val="0041142D"/>
    <w:rsid w:val="004115E0"/>
    <w:rsid w:val="00411699"/>
    <w:rsid w:val="004116F8"/>
    <w:rsid w:val="00411A09"/>
    <w:rsid w:val="00411BAA"/>
    <w:rsid w:val="00411C81"/>
    <w:rsid w:val="00411D0D"/>
    <w:rsid w:val="00411DC4"/>
    <w:rsid w:val="00411EB8"/>
    <w:rsid w:val="004121D6"/>
    <w:rsid w:val="00412292"/>
    <w:rsid w:val="004124C9"/>
    <w:rsid w:val="00412834"/>
    <w:rsid w:val="0041284A"/>
    <w:rsid w:val="00412B44"/>
    <w:rsid w:val="00412D4A"/>
    <w:rsid w:val="00412E6E"/>
    <w:rsid w:val="0041301E"/>
    <w:rsid w:val="004130C6"/>
    <w:rsid w:val="0041327B"/>
    <w:rsid w:val="00413305"/>
    <w:rsid w:val="004134B2"/>
    <w:rsid w:val="00413553"/>
    <w:rsid w:val="004135E3"/>
    <w:rsid w:val="00413711"/>
    <w:rsid w:val="00413719"/>
    <w:rsid w:val="00413A31"/>
    <w:rsid w:val="00413DA1"/>
    <w:rsid w:val="00413EEE"/>
    <w:rsid w:val="0041407E"/>
    <w:rsid w:val="0041409B"/>
    <w:rsid w:val="0041425B"/>
    <w:rsid w:val="00414268"/>
    <w:rsid w:val="004144B2"/>
    <w:rsid w:val="004144F6"/>
    <w:rsid w:val="004147CF"/>
    <w:rsid w:val="00414870"/>
    <w:rsid w:val="00414893"/>
    <w:rsid w:val="004149B1"/>
    <w:rsid w:val="00414A1C"/>
    <w:rsid w:val="00414AE6"/>
    <w:rsid w:val="00414AF6"/>
    <w:rsid w:val="00414B8D"/>
    <w:rsid w:val="00414BC7"/>
    <w:rsid w:val="00414BFE"/>
    <w:rsid w:val="00414C29"/>
    <w:rsid w:val="00414E1A"/>
    <w:rsid w:val="004150B9"/>
    <w:rsid w:val="0041511B"/>
    <w:rsid w:val="00415173"/>
    <w:rsid w:val="00415304"/>
    <w:rsid w:val="00415320"/>
    <w:rsid w:val="00415913"/>
    <w:rsid w:val="00415962"/>
    <w:rsid w:val="004159C3"/>
    <w:rsid w:val="00415B1F"/>
    <w:rsid w:val="00415B9D"/>
    <w:rsid w:val="00415DFC"/>
    <w:rsid w:val="00415FDA"/>
    <w:rsid w:val="00416186"/>
    <w:rsid w:val="0041626B"/>
    <w:rsid w:val="00416383"/>
    <w:rsid w:val="00416412"/>
    <w:rsid w:val="00416427"/>
    <w:rsid w:val="0041644D"/>
    <w:rsid w:val="004164CE"/>
    <w:rsid w:val="004165EA"/>
    <w:rsid w:val="00416612"/>
    <w:rsid w:val="00416618"/>
    <w:rsid w:val="00416B9E"/>
    <w:rsid w:val="00416DF5"/>
    <w:rsid w:val="00416F67"/>
    <w:rsid w:val="004170C8"/>
    <w:rsid w:val="0041721A"/>
    <w:rsid w:val="004173AD"/>
    <w:rsid w:val="00417455"/>
    <w:rsid w:val="004175D3"/>
    <w:rsid w:val="00417665"/>
    <w:rsid w:val="00417857"/>
    <w:rsid w:val="0041786A"/>
    <w:rsid w:val="004178BA"/>
    <w:rsid w:val="004179DA"/>
    <w:rsid w:val="00417AC2"/>
    <w:rsid w:val="00417B26"/>
    <w:rsid w:val="00417C58"/>
    <w:rsid w:val="00417CB6"/>
    <w:rsid w:val="00417D11"/>
    <w:rsid w:val="00417D6C"/>
    <w:rsid w:val="00417DE8"/>
    <w:rsid w:val="00417E66"/>
    <w:rsid w:val="00420015"/>
    <w:rsid w:val="0042046A"/>
    <w:rsid w:val="0042055F"/>
    <w:rsid w:val="0042064E"/>
    <w:rsid w:val="0042078D"/>
    <w:rsid w:val="004209BE"/>
    <w:rsid w:val="00420B41"/>
    <w:rsid w:val="00420B71"/>
    <w:rsid w:val="00420C7E"/>
    <w:rsid w:val="00420D55"/>
    <w:rsid w:val="00420F94"/>
    <w:rsid w:val="00421261"/>
    <w:rsid w:val="004215DA"/>
    <w:rsid w:val="00421700"/>
    <w:rsid w:val="0042177A"/>
    <w:rsid w:val="0042178C"/>
    <w:rsid w:val="004217C5"/>
    <w:rsid w:val="00421A20"/>
    <w:rsid w:val="00421A4B"/>
    <w:rsid w:val="00421B49"/>
    <w:rsid w:val="00421B7F"/>
    <w:rsid w:val="00421C50"/>
    <w:rsid w:val="00421CCE"/>
    <w:rsid w:val="004222D7"/>
    <w:rsid w:val="00422358"/>
    <w:rsid w:val="00422518"/>
    <w:rsid w:val="00422822"/>
    <w:rsid w:val="00422CC0"/>
    <w:rsid w:val="00422CC1"/>
    <w:rsid w:val="00422EB3"/>
    <w:rsid w:val="00422EDB"/>
    <w:rsid w:val="00422F7D"/>
    <w:rsid w:val="00423096"/>
    <w:rsid w:val="004230BE"/>
    <w:rsid w:val="0042330B"/>
    <w:rsid w:val="0042332B"/>
    <w:rsid w:val="004234DE"/>
    <w:rsid w:val="00423502"/>
    <w:rsid w:val="0042354C"/>
    <w:rsid w:val="004235F9"/>
    <w:rsid w:val="00423784"/>
    <w:rsid w:val="004237A8"/>
    <w:rsid w:val="0042393A"/>
    <w:rsid w:val="00423CBD"/>
    <w:rsid w:val="004240BD"/>
    <w:rsid w:val="004240DA"/>
    <w:rsid w:val="0042485D"/>
    <w:rsid w:val="0042486F"/>
    <w:rsid w:val="004248EB"/>
    <w:rsid w:val="004249F4"/>
    <w:rsid w:val="00424ACC"/>
    <w:rsid w:val="00424C21"/>
    <w:rsid w:val="00424C44"/>
    <w:rsid w:val="00424DA9"/>
    <w:rsid w:val="00424EA7"/>
    <w:rsid w:val="0042514B"/>
    <w:rsid w:val="00425255"/>
    <w:rsid w:val="0042532F"/>
    <w:rsid w:val="0042537E"/>
    <w:rsid w:val="0042555D"/>
    <w:rsid w:val="00425595"/>
    <w:rsid w:val="00425930"/>
    <w:rsid w:val="00425947"/>
    <w:rsid w:val="00425A3B"/>
    <w:rsid w:val="00425A8C"/>
    <w:rsid w:val="00425A8E"/>
    <w:rsid w:val="00425ADC"/>
    <w:rsid w:val="00425AE9"/>
    <w:rsid w:val="00425B5E"/>
    <w:rsid w:val="004260A0"/>
    <w:rsid w:val="004260A3"/>
    <w:rsid w:val="00426106"/>
    <w:rsid w:val="00426120"/>
    <w:rsid w:val="0042625F"/>
    <w:rsid w:val="004262C4"/>
    <w:rsid w:val="00426413"/>
    <w:rsid w:val="00426503"/>
    <w:rsid w:val="0042656B"/>
    <w:rsid w:val="00426685"/>
    <w:rsid w:val="00426792"/>
    <w:rsid w:val="004268CE"/>
    <w:rsid w:val="004268DD"/>
    <w:rsid w:val="0042690A"/>
    <w:rsid w:val="0042697F"/>
    <w:rsid w:val="00426D1D"/>
    <w:rsid w:val="00426EA6"/>
    <w:rsid w:val="00426F5E"/>
    <w:rsid w:val="00427020"/>
    <w:rsid w:val="0042707A"/>
    <w:rsid w:val="00427199"/>
    <w:rsid w:val="00427902"/>
    <w:rsid w:val="00427A09"/>
    <w:rsid w:val="00427A70"/>
    <w:rsid w:val="00427AAE"/>
    <w:rsid w:val="00427B26"/>
    <w:rsid w:val="00427BE6"/>
    <w:rsid w:val="00427C86"/>
    <w:rsid w:val="00427D29"/>
    <w:rsid w:val="00427DCA"/>
    <w:rsid w:val="00427F35"/>
    <w:rsid w:val="00430078"/>
    <w:rsid w:val="00430307"/>
    <w:rsid w:val="0043037B"/>
    <w:rsid w:val="00430671"/>
    <w:rsid w:val="00430744"/>
    <w:rsid w:val="00430873"/>
    <w:rsid w:val="00430959"/>
    <w:rsid w:val="00430B46"/>
    <w:rsid w:val="00430B69"/>
    <w:rsid w:val="00430BD8"/>
    <w:rsid w:val="00430D43"/>
    <w:rsid w:val="00430E3F"/>
    <w:rsid w:val="00430FBC"/>
    <w:rsid w:val="00431015"/>
    <w:rsid w:val="00431051"/>
    <w:rsid w:val="004310F0"/>
    <w:rsid w:val="0043116B"/>
    <w:rsid w:val="00431177"/>
    <w:rsid w:val="00431202"/>
    <w:rsid w:val="00431243"/>
    <w:rsid w:val="00431916"/>
    <w:rsid w:val="00431B73"/>
    <w:rsid w:val="00431BA4"/>
    <w:rsid w:val="00431BEF"/>
    <w:rsid w:val="00431C03"/>
    <w:rsid w:val="00431C9C"/>
    <w:rsid w:val="00431CCC"/>
    <w:rsid w:val="00431D85"/>
    <w:rsid w:val="00431ECD"/>
    <w:rsid w:val="0043207B"/>
    <w:rsid w:val="004322BF"/>
    <w:rsid w:val="00432332"/>
    <w:rsid w:val="004323E4"/>
    <w:rsid w:val="00432682"/>
    <w:rsid w:val="004326A9"/>
    <w:rsid w:val="004327F5"/>
    <w:rsid w:val="00432B4D"/>
    <w:rsid w:val="00432EB7"/>
    <w:rsid w:val="00432F65"/>
    <w:rsid w:val="00432F7D"/>
    <w:rsid w:val="00433222"/>
    <w:rsid w:val="004332D8"/>
    <w:rsid w:val="004333FB"/>
    <w:rsid w:val="00433427"/>
    <w:rsid w:val="00433439"/>
    <w:rsid w:val="00433564"/>
    <w:rsid w:val="004335B0"/>
    <w:rsid w:val="004335BA"/>
    <w:rsid w:val="00433662"/>
    <w:rsid w:val="00433681"/>
    <w:rsid w:val="00433CEB"/>
    <w:rsid w:val="00433E1B"/>
    <w:rsid w:val="00433E63"/>
    <w:rsid w:val="00433E77"/>
    <w:rsid w:val="00433F48"/>
    <w:rsid w:val="00434061"/>
    <w:rsid w:val="0043411C"/>
    <w:rsid w:val="00434184"/>
    <w:rsid w:val="0043418C"/>
    <w:rsid w:val="004341DC"/>
    <w:rsid w:val="004343B1"/>
    <w:rsid w:val="0043485E"/>
    <w:rsid w:val="00434883"/>
    <w:rsid w:val="004349A6"/>
    <w:rsid w:val="00434C94"/>
    <w:rsid w:val="00434E24"/>
    <w:rsid w:val="00434E81"/>
    <w:rsid w:val="00434F59"/>
    <w:rsid w:val="00434F99"/>
    <w:rsid w:val="00434FCD"/>
    <w:rsid w:val="0043520D"/>
    <w:rsid w:val="00435352"/>
    <w:rsid w:val="00435410"/>
    <w:rsid w:val="00435519"/>
    <w:rsid w:val="0043560A"/>
    <w:rsid w:val="0043570A"/>
    <w:rsid w:val="004358B6"/>
    <w:rsid w:val="00435914"/>
    <w:rsid w:val="00435A29"/>
    <w:rsid w:val="00435C93"/>
    <w:rsid w:val="00435CCA"/>
    <w:rsid w:val="00435DCB"/>
    <w:rsid w:val="0043619C"/>
    <w:rsid w:val="00436207"/>
    <w:rsid w:val="004362CB"/>
    <w:rsid w:val="0043641D"/>
    <w:rsid w:val="00436478"/>
    <w:rsid w:val="00436522"/>
    <w:rsid w:val="00436822"/>
    <w:rsid w:val="004368FA"/>
    <w:rsid w:val="00436928"/>
    <w:rsid w:val="0043692B"/>
    <w:rsid w:val="004369A4"/>
    <w:rsid w:val="00436A56"/>
    <w:rsid w:val="00436F36"/>
    <w:rsid w:val="00436FA6"/>
    <w:rsid w:val="0043709D"/>
    <w:rsid w:val="0043714E"/>
    <w:rsid w:val="004373DF"/>
    <w:rsid w:val="0043753A"/>
    <w:rsid w:val="0043754F"/>
    <w:rsid w:val="004375EF"/>
    <w:rsid w:val="004378D3"/>
    <w:rsid w:val="004378E7"/>
    <w:rsid w:val="00437A3F"/>
    <w:rsid w:val="00437D39"/>
    <w:rsid w:val="00437EC6"/>
    <w:rsid w:val="00437F67"/>
    <w:rsid w:val="0044006F"/>
    <w:rsid w:val="004401EB"/>
    <w:rsid w:val="004403BE"/>
    <w:rsid w:val="0044045A"/>
    <w:rsid w:val="00440468"/>
    <w:rsid w:val="0044047C"/>
    <w:rsid w:val="00440552"/>
    <w:rsid w:val="004406C7"/>
    <w:rsid w:val="00440BEF"/>
    <w:rsid w:val="00440DB5"/>
    <w:rsid w:val="00440F38"/>
    <w:rsid w:val="00440FB7"/>
    <w:rsid w:val="00441004"/>
    <w:rsid w:val="0044109A"/>
    <w:rsid w:val="00441161"/>
    <w:rsid w:val="00441234"/>
    <w:rsid w:val="004413BB"/>
    <w:rsid w:val="0044148C"/>
    <w:rsid w:val="0044148F"/>
    <w:rsid w:val="004414AB"/>
    <w:rsid w:val="0044167F"/>
    <w:rsid w:val="004417D1"/>
    <w:rsid w:val="004418F5"/>
    <w:rsid w:val="004419AE"/>
    <w:rsid w:val="00441CE9"/>
    <w:rsid w:val="00441D8F"/>
    <w:rsid w:val="00441FA8"/>
    <w:rsid w:val="00441FD3"/>
    <w:rsid w:val="00441FFC"/>
    <w:rsid w:val="00442019"/>
    <w:rsid w:val="00442162"/>
    <w:rsid w:val="00442169"/>
    <w:rsid w:val="00442185"/>
    <w:rsid w:val="0044226C"/>
    <w:rsid w:val="00442438"/>
    <w:rsid w:val="0044258C"/>
    <w:rsid w:val="00442602"/>
    <w:rsid w:val="00442637"/>
    <w:rsid w:val="004426E9"/>
    <w:rsid w:val="0044281A"/>
    <w:rsid w:val="0044284A"/>
    <w:rsid w:val="00442859"/>
    <w:rsid w:val="00442BC9"/>
    <w:rsid w:val="00442E4B"/>
    <w:rsid w:val="00442F2A"/>
    <w:rsid w:val="00443058"/>
    <w:rsid w:val="0044336C"/>
    <w:rsid w:val="00443563"/>
    <w:rsid w:val="004435A7"/>
    <w:rsid w:val="0044361E"/>
    <w:rsid w:val="004436B1"/>
    <w:rsid w:val="004436CB"/>
    <w:rsid w:val="004438C2"/>
    <w:rsid w:val="00443A28"/>
    <w:rsid w:val="00443B58"/>
    <w:rsid w:val="00443D99"/>
    <w:rsid w:val="00443F92"/>
    <w:rsid w:val="00443FD5"/>
    <w:rsid w:val="0044422E"/>
    <w:rsid w:val="00444350"/>
    <w:rsid w:val="004443C0"/>
    <w:rsid w:val="004443D0"/>
    <w:rsid w:val="00444534"/>
    <w:rsid w:val="0044469E"/>
    <w:rsid w:val="004448C9"/>
    <w:rsid w:val="00444AFC"/>
    <w:rsid w:val="00444D54"/>
    <w:rsid w:val="00444F00"/>
    <w:rsid w:val="00445047"/>
    <w:rsid w:val="004450C6"/>
    <w:rsid w:val="004451E7"/>
    <w:rsid w:val="00445210"/>
    <w:rsid w:val="004452D5"/>
    <w:rsid w:val="0044534C"/>
    <w:rsid w:val="00445592"/>
    <w:rsid w:val="0044567A"/>
    <w:rsid w:val="00445A08"/>
    <w:rsid w:val="00445D7B"/>
    <w:rsid w:val="00445D9C"/>
    <w:rsid w:val="00445FC4"/>
    <w:rsid w:val="00446045"/>
    <w:rsid w:val="004460D5"/>
    <w:rsid w:val="004461DE"/>
    <w:rsid w:val="004463FF"/>
    <w:rsid w:val="00446553"/>
    <w:rsid w:val="0044659F"/>
    <w:rsid w:val="00446603"/>
    <w:rsid w:val="00446609"/>
    <w:rsid w:val="00446942"/>
    <w:rsid w:val="00446CB1"/>
    <w:rsid w:val="00446D19"/>
    <w:rsid w:val="0044700A"/>
    <w:rsid w:val="0044701A"/>
    <w:rsid w:val="00447047"/>
    <w:rsid w:val="00447171"/>
    <w:rsid w:val="00447396"/>
    <w:rsid w:val="0044753E"/>
    <w:rsid w:val="00447541"/>
    <w:rsid w:val="004476A6"/>
    <w:rsid w:val="00447726"/>
    <w:rsid w:val="00447826"/>
    <w:rsid w:val="00447828"/>
    <w:rsid w:val="0044784D"/>
    <w:rsid w:val="0044798B"/>
    <w:rsid w:val="00447A97"/>
    <w:rsid w:val="00447DBA"/>
    <w:rsid w:val="00447EBF"/>
    <w:rsid w:val="004500FB"/>
    <w:rsid w:val="004504CE"/>
    <w:rsid w:val="004507DE"/>
    <w:rsid w:val="00450896"/>
    <w:rsid w:val="00450931"/>
    <w:rsid w:val="0045099C"/>
    <w:rsid w:val="00450A09"/>
    <w:rsid w:val="00450B6E"/>
    <w:rsid w:val="00450BB6"/>
    <w:rsid w:val="00450C61"/>
    <w:rsid w:val="00450E11"/>
    <w:rsid w:val="00450EAA"/>
    <w:rsid w:val="00451015"/>
    <w:rsid w:val="00451195"/>
    <w:rsid w:val="0045123A"/>
    <w:rsid w:val="004512AD"/>
    <w:rsid w:val="00451379"/>
    <w:rsid w:val="004513B1"/>
    <w:rsid w:val="004513F0"/>
    <w:rsid w:val="004513FA"/>
    <w:rsid w:val="0045143B"/>
    <w:rsid w:val="0045171A"/>
    <w:rsid w:val="0045193C"/>
    <w:rsid w:val="00451977"/>
    <w:rsid w:val="00451A00"/>
    <w:rsid w:val="00451D69"/>
    <w:rsid w:val="004522CA"/>
    <w:rsid w:val="004523BB"/>
    <w:rsid w:val="00452433"/>
    <w:rsid w:val="004524FD"/>
    <w:rsid w:val="0045276D"/>
    <w:rsid w:val="004527C5"/>
    <w:rsid w:val="004528F3"/>
    <w:rsid w:val="00452A24"/>
    <w:rsid w:val="00452B3B"/>
    <w:rsid w:val="004532F0"/>
    <w:rsid w:val="00453387"/>
    <w:rsid w:val="00453421"/>
    <w:rsid w:val="00453615"/>
    <w:rsid w:val="004537D2"/>
    <w:rsid w:val="00453800"/>
    <w:rsid w:val="00453902"/>
    <w:rsid w:val="00453952"/>
    <w:rsid w:val="00453B7E"/>
    <w:rsid w:val="00453CAE"/>
    <w:rsid w:val="00453E8C"/>
    <w:rsid w:val="00453FC2"/>
    <w:rsid w:val="004541AC"/>
    <w:rsid w:val="004541C3"/>
    <w:rsid w:val="00454206"/>
    <w:rsid w:val="004542BF"/>
    <w:rsid w:val="0045470A"/>
    <w:rsid w:val="00454864"/>
    <w:rsid w:val="004548FB"/>
    <w:rsid w:val="00454A30"/>
    <w:rsid w:val="00454B30"/>
    <w:rsid w:val="00454CF6"/>
    <w:rsid w:val="00454D6A"/>
    <w:rsid w:val="00454FC3"/>
    <w:rsid w:val="00454FD5"/>
    <w:rsid w:val="0045513B"/>
    <w:rsid w:val="00455174"/>
    <w:rsid w:val="004552AB"/>
    <w:rsid w:val="004552DD"/>
    <w:rsid w:val="004553AD"/>
    <w:rsid w:val="00455438"/>
    <w:rsid w:val="0045544E"/>
    <w:rsid w:val="004555F6"/>
    <w:rsid w:val="004555FF"/>
    <w:rsid w:val="004556A7"/>
    <w:rsid w:val="00455736"/>
    <w:rsid w:val="00455927"/>
    <w:rsid w:val="00455980"/>
    <w:rsid w:val="00455AF5"/>
    <w:rsid w:val="00455DDC"/>
    <w:rsid w:val="00455ECA"/>
    <w:rsid w:val="00455ED0"/>
    <w:rsid w:val="00455F53"/>
    <w:rsid w:val="00456027"/>
    <w:rsid w:val="00456029"/>
    <w:rsid w:val="00456384"/>
    <w:rsid w:val="00456467"/>
    <w:rsid w:val="00456497"/>
    <w:rsid w:val="004564CE"/>
    <w:rsid w:val="004564FD"/>
    <w:rsid w:val="00456606"/>
    <w:rsid w:val="00456842"/>
    <w:rsid w:val="00456BA9"/>
    <w:rsid w:val="00456D95"/>
    <w:rsid w:val="0045729D"/>
    <w:rsid w:val="00457551"/>
    <w:rsid w:val="00457695"/>
    <w:rsid w:val="004576D4"/>
    <w:rsid w:val="00457703"/>
    <w:rsid w:val="0045784A"/>
    <w:rsid w:val="0045794E"/>
    <w:rsid w:val="004579C4"/>
    <w:rsid w:val="004579D9"/>
    <w:rsid w:val="00457A28"/>
    <w:rsid w:val="00457BB1"/>
    <w:rsid w:val="00457CE4"/>
    <w:rsid w:val="00457D2F"/>
    <w:rsid w:val="00457D68"/>
    <w:rsid w:val="00457EDD"/>
    <w:rsid w:val="00457F7B"/>
    <w:rsid w:val="0046003A"/>
    <w:rsid w:val="004600EC"/>
    <w:rsid w:val="00460213"/>
    <w:rsid w:val="0046029D"/>
    <w:rsid w:val="0046047B"/>
    <w:rsid w:val="00460604"/>
    <w:rsid w:val="00460AEA"/>
    <w:rsid w:val="00460BFC"/>
    <w:rsid w:val="00460CB0"/>
    <w:rsid w:val="00460D05"/>
    <w:rsid w:val="00460F56"/>
    <w:rsid w:val="0046100A"/>
    <w:rsid w:val="0046113D"/>
    <w:rsid w:val="00461190"/>
    <w:rsid w:val="0046125B"/>
    <w:rsid w:val="00461312"/>
    <w:rsid w:val="0046134A"/>
    <w:rsid w:val="00461467"/>
    <w:rsid w:val="004614B4"/>
    <w:rsid w:val="004615AF"/>
    <w:rsid w:val="00461653"/>
    <w:rsid w:val="0046169A"/>
    <w:rsid w:val="00461767"/>
    <w:rsid w:val="004618D5"/>
    <w:rsid w:val="004618D8"/>
    <w:rsid w:val="00461B97"/>
    <w:rsid w:val="00461BFC"/>
    <w:rsid w:val="00461DE1"/>
    <w:rsid w:val="00462224"/>
    <w:rsid w:val="0046242B"/>
    <w:rsid w:val="00462475"/>
    <w:rsid w:val="004624CC"/>
    <w:rsid w:val="00462A1B"/>
    <w:rsid w:val="00462A6E"/>
    <w:rsid w:val="00462ABA"/>
    <w:rsid w:val="00462AF6"/>
    <w:rsid w:val="00462FB0"/>
    <w:rsid w:val="00462FBA"/>
    <w:rsid w:val="0046309B"/>
    <w:rsid w:val="004630C9"/>
    <w:rsid w:val="004630CE"/>
    <w:rsid w:val="00463390"/>
    <w:rsid w:val="0046357C"/>
    <w:rsid w:val="004635CF"/>
    <w:rsid w:val="00463714"/>
    <w:rsid w:val="004637B0"/>
    <w:rsid w:val="00463877"/>
    <w:rsid w:val="00463966"/>
    <w:rsid w:val="0046399B"/>
    <w:rsid w:val="004639D2"/>
    <w:rsid w:val="00463A97"/>
    <w:rsid w:val="00463B9A"/>
    <w:rsid w:val="00463C71"/>
    <w:rsid w:val="00463E61"/>
    <w:rsid w:val="00463E70"/>
    <w:rsid w:val="00463F00"/>
    <w:rsid w:val="00464052"/>
    <w:rsid w:val="00464072"/>
    <w:rsid w:val="004640C0"/>
    <w:rsid w:val="0046433E"/>
    <w:rsid w:val="0046439B"/>
    <w:rsid w:val="00464649"/>
    <w:rsid w:val="004646B8"/>
    <w:rsid w:val="00464746"/>
    <w:rsid w:val="00464AA4"/>
    <w:rsid w:val="00464AEF"/>
    <w:rsid w:val="00464B19"/>
    <w:rsid w:val="00464F14"/>
    <w:rsid w:val="004651F8"/>
    <w:rsid w:val="00465526"/>
    <w:rsid w:val="004657D9"/>
    <w:rsid w:val="00465841"/>
    <w:rsid w:val="004658A3"/>
    <w:rsid w:val="00465C0F"/>
    <w:rsid w:val="00465E23"/>
    <w:rsid w:val="00466009"/>
    <w:rsid w:val="00466079"/>
    <w:rsid w:val="00466178"/>
    <w:rsid w:val="00466512"/>
    <w:rsid w:val="00466610"/>
    <w:rsid w:val="00466722"/>
    <w:rsid w:val="004667AE"/>
    <w:rsid w:val="004667CD"/>
    <w:rsid w:val="0046683C"/>
    <w:rsid w:val="00466B26"/>
    <w:rsid w:val="00466B3E"/>
    <w:rsid w:val="00466C50"/>
    <w:rsid w:val="00466C8E"/>
    <w:rsid w:val="00466CC4"/>
    <w:rsid w:val="00466E5B"/>
    <w:rsid w:val="00466F44"/>
    <w:rsid w:val="004673A7"/>
    <w:rsid w:val="004673CF"/>
    <w:rsid w:val="00467651"/>
    <w:rsid w:val="00467A49"/>
    <w:rsid w:val="00467B4D"/>
    <w:rsid w:val="00467B7B"/>
    <w:rsid w:val="00467C30"/>
    <w:rsid w:val="004700B7"/>
    <w:rsid w:val="004700E8"/>
    <w:rsid w:val="0047012F"/>
    <w:rsid w:val="0047018F"/>
    <w:rsid w:val="0047021A"/>
    <w:rsid w:val="0047029F"/>
    <w:rsid w:val="00470377"/>
    <w:rsid w:val="0047040A"/>
    <w:rsid w:val="0047040B"/>
    <w:rsid w:val="00470590"/>
    <w:rsid w:val="00470645"/>
    <w:rsid w:val="004706BF"/>
    <w:rsid w:val="00470703"/>
    <w:rsid w:val="00470717"/>
    <w:rsid w:val="0047084F"/>
    <w:rsid w:val="004708A2"/>
    <w:rsid w:val="00470A52"/>
    <w:rsid w:val="00470BDA"/>
    <w:rsid w:val="00470EF1"/>
    <w:rsid w:val="00470FF1"/>
    <w:rsid w:val="00471133"/>
    <w:rsid w:val="004712C7"/>
    <w:rsid w:val="00471346"/>
    <w:rsid w:val="00471494"/>
    <w:rsid w:val="00471569"/>
    <w:rsid w:val="00471765"/>
    <w:rsid w:val="004719B5"/>
    <w:rsid w:val="00471B84"/>
    <w:rsid w:val="00471D7F"/>
    <w:rsid w:val="00471EFA"/>
    <w:rsid w:val="004720E4"/>
    <w:rsid w:val="00472194"/>
    <w:rsid w:val="004723D6"/>
    <w:rsid w:val="004725BE"/>
    <w:rsid w:val="004726F0"/>
    <w:rsid w:val="0047287C"/>
    <w:rsid w:val="004728B5"/>
    <w:rsid w:val="00472D89"/>
    <w:rsid w:val="00472E0B"/>
    <w:rsid w:val="00472FB5"/>
    <w:rsid w:val="004730D9"/>
    <w:rsid w:val="0047321D"/>
    <w:rsid w:val="0047327C"/>
    <w:rsid w:val="004733B1"/>
    <w:rsid w:val="00473429"/>
    <w:rsid w:val="00473619"/>
    <w:rsid w:val="004736DC"/>
    <w:rsid w:val="00473767"/>
    <w:rsid w:val="00473873"/>
    <w:rsid w:val="00473935"/>
    <w:rsid w:val="00473D28"/>
    <w:rsid w:val="00473DD5"/>
    <w:rsid w:val="00473DEF"/>
    <w:rsid w:val="00473FA1"/>
    <w:rsid w:val="00474083"/>
    <w:rsid w:val="004740EE"/>
    <w:rsid w:val="004741A7"/>
    <w:rsid w:val="004741FF"/>
    <w:rsid w:val="004742C8"/>
    <w:rsid w:val="004743ED"/>
    <w:rsid w:val="00474411"/>
    <w:rsid w:val="0047449A"/>
    <w:rsid w:val="00474561"/>
    <w:rsid w:val="00474575"/>
    <w:rsid w:val="0047457D"/>
    <w:rsid w:val="004747E7"/>
    <w:rsid w:val="00474931"/>
    <w:rsid w:val="004749CF"/>
    <w:rsid w:val="004749E3"/>
    <w:rsid w:val="00474ADF"/>
    <w:rsid w:val="00474B5F"/>
    <w:rsid w:val="00474BAE"/>
    <w:rsid w:val="00474DE2"/>
    <w:rsid w:val="00474E3D"/>
    <w:rsid w:val="004751D6"/>
    <w:rsid w:val="00475283"/>
    <w:rsid w:val="004752C1"/>
    <w:rsid w:val="0047537F"/>
    <w:rsid w:val="004753CA"/>
    <w:rsid w:val="00475518"/>
    <w:rsid w:val="00475524"/>
    <w:rsid w:val="00475550"/>
    <w:rsid w:val="004755CF"/>
    <w:rsid w:val="004756E5"/>
    <w:rsid w:val="004756F1"/>
    <w:rsid w:val="00475CF2"/>
    <w:rsid w:val="00475EE4"/>
    <w:rsid w:val="004760F9"/>
    <w:rsid w:val="00476102"/>
    <w:rsid w:val="004762D1"/>
    <w:rsid w:val="00476407"/>
    <w:rsid w:val="00476538"/>
    <w:rsid w:val="004765A4"/>
    <w:rsid w:val="0047668F"/>
    <w:rsid w:val="004769DF"/>
    <w:rsid w:val="00476AC9"/>
    <w:rsid w:val="00476DCB"/>
    <w:rsid w:val="00476E6F"/>
    <w:rsid w:val="00477019"/>
    <w:rsid w:val="004772E7"/>
    <w:rsid w:val="0047733F"/>
    <w:rsid w:val="00477403"/>
    <w:rsid w:val="0047741B"/>
    <w:rsid w:val="004774E8"/>
    <w:rsid w:val="0047759B"/>
    <w:rsid w:val="004776A9"/>
    <w:rsid w:val="0047772B"/>
    <w:rsid w:val="004777F6"/>
    <w:rsid w:val="00477D9C"/>
    <w:rsid w:val="00477FAD"/>
    <w:rsid w:val="00480027"/>
    <w:rsid w:val="00480072"/>
    <w:rsid w:val="00480163"/>
    <w:rsid w:val="004804CA"/>
    <w:rsid w:val="00480582"/>
    <w:rsid w:val="0048077E"/>
    <w:rsid w:val="004808EE"/>
    <w:rsid w:val="00480BDC"/>
    <w:rsid w:val="00480CAF"/>
    <w:rsid w:val="00480CBF"/>
    <w:rsid w:val="00480D3D"/>
    <w:rsid w:val="00480D8C"/>
    <w:rsid w:val="00480F57"/>
    <w:rsid w:val="00481165"/>
    <w:rsid w:val="004811FD"/>
    <w:rsid w:val="0048151A"/>
    <w:rsid w:val="004816E1"/>
    <w:rsid w:val="00481755"/>
    <w:rsid w:val="00481819"/>
    <w:rsid w:val="004818DC"/>
    <w:rsid w:val="004818EE"/>
    <w:rsid w:val="00481B4C"/>
    <w:rsid w:val="00481BB9"/>
    <w:rsid w:val="00481D3C"/>
    <w:rsid w:val="00481DF3"/>
    <w:rsid w:val="00481E25"/>
    <w:rsid w:val="00481EE5"/>
    <w:rsid w:val="00481EEF"/>
    <w:rsid w:val="00482052"/>
    <w:rsid w:val="004820CE"/>
    <w:rsid w:val="004821DE"/>
    <w:rsid w:val="00482472"/>
    <w:rsid w:val="0048248E"/>
    <w:rsid w:val="00482566"/>
    <w:rsid w:val="0048257F"/>
    <w:rsid w:val="004825A7"/>
    <w:rsid w:val="004827CC"/>
    <w:rsid w:val="00482BCD"/>
    <w:rsid w:val="00482D11"/>
    <w:rsid w:val="00482D93"/>
    <w:rsid w:val="00483034"/>
    <w:rsid w:val="00483065"/>
    <w:rsid w:val="004830B2"/>
    <w:rsid w:val="004832C6"/>
    <w:rsid w:val="00483304"/>
    <w:rsid w:val="00483319"/>
    <w:rsid w:val="00483365"/>
    <w:rsid w:val="004834B5"/>
    <w:rsid w:val="0048359C"/>
    <w:rsid w:val="00483737"/>
    <w:rsid w:val="00483901"/>
    <w:rsid w:val="00483AFA"/>
    <w:rsid w:val="00483BAF"/>
    <w:rsid w:val="00483C15"/>
    <w:rsid w:val="00483DAB"/>
    <w:rsid w:val="00483E29"/>
    <w:rsid w:val="00483F1C"/>
    <w:rsid w:val="00484229"/>
    <w:rsid w:val="004842AB"/>
    <w:rsid w:val="004842D1"/>
    <w:rsid w:val="00484764"/>
    <w:rsid w:val="00484927"/>
    <w:rsid w:val="00484AAF"/>
    <w:rsid w:val="00484C4F"/>
    <w:rsid w:val="0048527C"/>
    <w:rsid w:val="00485421"/>
    <w:rsid w:val="0048553C"/>
    <w:rsid w:val="004856FA"/>
    <w:rsid w:val="004858DD"/>
    <w:rsid w:val="00485AE7"/>
    <w:rsid w:val="00485B5B"/>
    <w:rsid w:val="00485C5E"/>
    <w:rsid w:val="00485C72"/>
    <w:rsid w:val="00485CCB"/>
    <w:rsid w:val="00485D38"/>
    <w:rsid w:val="00485F2F"/>
    <w:rsid w:val="00485FCE"/>
    <w:rsid w:val="00486017"/>
    <w:rsid w:val="0048607B"/>
    <w:rsid w:val="00486241"/>
    <w:rsid w:val="00486289"/>
    <w:rsid w:val="004864D7"/>
    <w:rsid w:val="004867B8"/>
    <w:rsid w:val="004868FE"/>
    <w:rsid w:val="00486BF0"/>
    <w:rsid w:val="00486DCA"/>
    <w:rsid w:val="00486E47"/>
    <w:rsid w:val="00486EDD"/>
    <w:rsid w:val="004871A9"/>
    <w:rsid w:val="004873EC"/>
    <w:rsid w:val="00487448"/>
    <w:rsid w:val="00487490"/>
    <w:rsid w:val="0048753F"/>
    <w:rsid w:val="0048760D"/>
    <w:rsid w:val="0048761F"/>
    <w:rsid w:val="004879AA"/>
    <w:rsid w:val="00487BC6"/>
    <w:rsid w:val="00487BC9"/>
    <w:rsid w:val="00487BE4"/>
    <w:rsid w:val="00487D98"/>
    <w:rsid w:val="00487F08"/>
    <w:rsid w:val="00487FFE"/>
    <w:rsid w:val="0049031D"/>
    <w:rsid w:val="0049034B"/>
    <w:rsid w:val="00490482"/>
    <w:rsid w:val="004904EC"/>
    <w:rsid w:val="00490513"/>
    <w:rsid w:val="00490545"/>
    <w:rsid w:val="0049084A"/>
    <w:rsid w:val="00490A2D"/>
    <w:rsid w:val="00490BB0"/>
    <w:rsid w:val="00490CF3"/>
    <w:rsid w:val="00490F46"/>
    <w:rsid w:val="0049101E"/>
    <w:rsid w:val="0049108D"/>
    <w:rsid w:val="004911AD"/>
    <w:rsid w:val="004911AF"/>
    <w:rsid w:val="004912EB"/>
    <w:rsid w:val="00491489"/>
    <w:rsid w:val="004914B4"/>
    <w:rsid w:val="004914E2"/>
    <w:rsid w:val="004915D2"/>
    <w:rsid w:val="004916E8"/>
    <w:rsid w:val="004918A1"/>
    <w:rsid w:val="00491BD6"/>
    <w:rsid w:val="00491DB6"/>
    <w:rsid w:val="00491DF1"/>
    <w:rsid w:val="0049226B"/>
    <w:rsid w:val="00492593"/>
    <w:rsid w:val="004925DA"/>
    <w:rsid w:val="00492815"/>
    <w:rsid w:val="00492967"/>
    <w:rsid w:val="00492A5E"/>
    <w:rsid w:val="00492E27"/>
    <w:rsid w:val="00492E42"/>
    <w:rsid w:val="00492E8C"/>
    <w:rsid w:val="0049302B"/>
    <w:rsid w:val="00493074"/>
    <w:rsid w:val="0049318F"/>
    <w:rsid w:val="00493258"/>
    <w:rsid w:val="0049327B"/>
    <w:rsid w:val="00493295"/>
    <w:rsid w:val="004936E5"/>
    <w:rsid w:val="004936ED"/>
    <w:rsid w:val="00493722"/>
    <w:rsid w:val="004938B7"/>
    <w:rsid w:val="0049390C"/>
    <w:rsid w:val="00493917"/>
    <w:rsid w:val="00493A7F"/>
    <w:rsid w:val="00493E52"/>
    <w:rsid w:val="004940AB"/>
    <w:rsid w:val="0049417C"/>
    <w:rsid w:val="00494399"/>
    <w:rsid w:val="004943D1"/>
    <w:rsid w:val="00494487"/>
    <w:rsid w:val="00494632"/>
    <w:rsid w:val="00494899"/>
    <w:rsid w:val="00494957"/>
    <w:rsid w:val="00494B48"/>
    <w:rsid w:val="00494BE3"/>
    <w:rsid w:val="00494D31"/>
    <w:rsid w:val="00494D55"/>
    <w:rsid w:val="00494F85"/>
    <w:rsid w:val="00495213"/>
    <w:rsid w:val="00495339"/>
    <w:rsid w:val="00495509"/>
    <w:rsid w:val="00495580"/>
    <w:rsid w:val="004956C6"/>
    <w:rsid w:val="004957AC"/>
    <w:rsid w:val="00495AEB"/>
    <w:rsid w:val="00495AF9"/>
    <w:rsid w:val="004960B7"/>
    <w:rsid w:val="00496252"/>
    <w:rsid w:val="004964E0"/>
    <w:rsid w:val="00496574"/>
    <w:rsid w:val="00496678"/>
    <w:rsid w:val="0049681C"/>
    <w:rsid w:val="00496A64"/>
    <w:rsid w:val="00497157"/>
    <w:rsid w:val="004971BF"/>
    <w:rsid w:val="004971C5"/>
    <w:rsid w:val="004971E9"/>
    <w:rsid w:val="00497293"/>
    <w:rsid w:val="004972CE"/>
    <w:rsid w:val="00497490"/>
    <w:rsid w:val="004974C6"/>
    <w:rsid w:val="00497665"/>
    <w:rsid w:val="00497777"/>
    <w:rsid w:val="004977FA"/>
    <w:rsid w:val="00497914"/>
    <w:rsid w:val="00497926"/>
    <w:rsid w:val="00497970"/>
    <w:rsid w:val="00497A7F"/>
    <w:rsid w:val="00497B7C"/>
    <w:rsid w:val="00497F07"/>
    <w:rsid w:val="004A019F"/>
    <w:rsid w:val="004A0515"/>
    <w:rsid w:val="004A0553"/>
    <w:rsid w:val="004A0799"/>
    <w:rsid w:val="004A0916"/>
    <w:rsid w:val="004A0A21"/>
    <w:rsid w:val="004A0A84"/>
    <w:rsid w:val="004A0AB8"/>
    <w:rsid w:val="004A0B5F"/>
    <w:rsid w:val="004A0BAF"/>
    <w:rsid w:val="004A0BF9"/>
    <w:rsid w:val="004A111A"/>
    <w:rsid w:val="004A126D"/>
    <w:rsid w:val="004A1706"/>
    <w:rsid w:val="004A17F6"/>
    <w:rsid w:val="004A17FC"/>
    <w:rsid w:val="004A198B"/>
    <w:rsid w:val="004A19A4"/>
    <w:rsid w:val="004A1AF9"/>
    <w:rsid w:val="004A1B48"/>
    <w:rsid w:val="004A1BC5"/>
    <w:rsid w:val="004A1ECA"/>
    <w:rsid w:val="004A20ED"/>
    <w:rsid w:val="004A2423"/>
    <w:rsid w:val="004A245A"/>
    <w:rsid w:val="004A24E6"/>
    <w:rsid w:val="004A2555"/>
    <w:rsid w:val="004A255E"/>
    <w:rsid w:val="004A2591"/>
    <w:rsid w:val="004A264C"/>
    <w:rsid w:val="004A27EC"/>
    <w:rsid w:val="004A2BA7"/>
    <w:rsid w:val="004A2CA1"/>
    <w:rsid w:val="004A2D0C"/>
    <w:rsid w:val="004A2DD5"/>
    <w:rsid w:val="004A2FC0"/>
    <w:rsid w:val="004A2FCE"/>
    <w:rsid w:val="004A3136"/>
    <w:rsid w:val="004A33B6"/>
    <w:rsid w:val="004A3588"/>
    <w:rsid w:val="004A3652"/>
    <w:rsid w:val="004A3706"/>
    <w:rsid w:val="004A3725"/>
    <w:rsid w:val="004A39BB"/>
    <w:rsid w:val="004A3B7E"/>
    <w:rsid w:val="004A3C0F"/>
    <w:rsid w:val="004A3D20"/>
    <w:rsid w:val="004A3ED1"/>
    <w:rsid w:val="004A3F18"/>
    <w:rsid w:val="004A403F"/>
    <w:rsid w:val="004A40EB"/>
    <w:rsid w:val="004A41A4"/>
    <w:rsid w:val="004A42EA"/>
    <w:rsid w:val="004A44AA"/>
    <w:rsid w:val="004A450B"/>
    <w:rsid w:val="004A45AC"/>
    <w:rsid w:val="004A4602"/>
    <w:rsid w:val="004A468F"/>
    <w:rsid w:val="004A469E"/>
    <w:rsid w:val="004A481C"/>
    <w:rsid w:val="004A4891"/>
    <w:rsid w:val="004A4B50"/>
    <w:rsid w:val="004A4E80"/>
    <w:rsid w:val="004A4E86"/>
    <w:rsid w:val="004A510B"/>
    <w:rsid w:val="004A5160"/>
    <w:rsid w:val="004A5234"/>
    <w:rsid w:val="004A5315"/>
    <w:rsid w:val="004A5772"/>
    <w:rsid w:val="004A57A7"/>
    <w:rsid w:val="004A58FC"/>
    <w:rsid w:val="004A5918"/>
    <w:rsid w:val="004A5939"/>
    <w:rsid w:val="004A5ADF"/>
    <w:rsid w:val="004A5B5E"/>
    <w:rsid w:val="004A5E17"/>
    <w:rsid w:val="004A5FB4"/>
    <w:rsid w:val="004A60C4"/>
    <w:rsid w:val="004A611D"/>
    <w:rsid w:val="004A6233"/>
    <w:rsid w:val="004A631A"/>
    <w:rsid w:val="004A644E"/>
    <w:rsid w:val="004A64F8"/>
    <w:rsid w:val="004A6516"/>
    <w:rsid w:val="004A6856"/>
    <w:rsid w:val="004A6AD9"/>
    <w:rsid w:val="004A6C1E"/>
    <w:rsid w:val="004A6CBA"/>
    <w:rsid w:val="004A6D90"/>
    <w:rsid w:val="004A6E40"/>
    <w:rsid w:val="004A6EFD"/>
    <w:rsid w:val="004A702D"/>
    <w:rsid w:val="004A718C"/>
    <w:rsid w:val="004A71C3"/>
    <w:rsid w:val="004A7305"/>
    <w:rsid w:val="004A7638"/>
    <w:rsid w:val="004A766A"/>
    <w:rsid w:val="004A7967"/>
    <w:rsid w:val="004A7B94"/>
    <w:rsid w:val="004A7B99"/>
    <w:rsid w:val="004A7CB2"/>
    <w:rsid w:val="004A7EE0"/>
    <w:rsid w:val="004B014E"/>
    <w:rsid w:val="004B0230"/>
    <w:rsid w:val="004B02F7"/>
    <w:rsid w:val="004B0752"/>
    <w:rsid w:val="004B07C7"/>
    <w:rsid w:val="004B09A3"/>
    <w:rsid w:val="004B0A13"/>
    <w:rsid w:val="004B0C84"/>
    <w:rsid w:val="004B0D3C"/>
    <w:rsid w:val="004B0D41"/>
    <w:rsid w:val="004B0D93"/>
    <w:rsid w:val="004B0EA9"/>
    <w:rsid w:val="004B1032"/>
    <w:rsid w:val="004B11E9"/>
    <w:rsid w:val="004B1366"/>
    <w:rsid w:val="004B1404"/>
    <w:rsid w:val="004B177C"/>
    <w:rsid w:val="004B1836"/>
    <w:rsid w:val="004B19A4"/>
    <w:rsid w:val="004B1B53"/>
    <w:rsid w:val="004B1BA1"/>
    <w:rsid w:val="004B1BB6"/>
    <w:rsid w:val="004B1BE2"/>
    <w:rsid w:val="004B1C31"/>
    <w:rsid w:val="004B1CEC"/>
    <w:rsid w:val="004B1E4C"/>
    <w:rsid w:val="004B21CA"/>
    <w:rsid w:val="004B220D"/>
    <w:rsid w:val="004B2266"/>
    <w:rsid w:val="004B2401"/>
    <w:rsid w:val="004B2458"/>
    <w:rsid w:val="004B2657"/>
    <w:rsid w:val="004B2688"/>
    <w:rsid w:val="004B27C2"/>
    <w:rsid w:val="004B27DE"/>
    <w:rsid w:val="004B2AAC"/>
    <w:rsid w:val="004B2AB8"/>
    <w:rsid w:val="004B2F5A"/>
    <w:rsid w:val="004B301B"/>
    <w:rsid w:val="004B3051"/>
    <w:rsid w:val="004B3149"/>
    <w:rsid w:val="004B34CB"/>
    <w:rsid w:val="004B36C5"/>
    <w:rsid w:val="004B37BA"/>
    <w:rsid w:val="004B37CE"/>
    <w:rsid w:val="004B3A75"/>
    <w:rsid w:val="004B3D5A"/>
    <w:rsid w:val="004B3EC8"/>
    <w:rsid w:val="004B3F38"/>
    <w:rsid w:val="004B40CA"/>
    <w:rsid w:val="004B414C"/>
    <w:rsid w:val="004B42D0"/>
    <w:rsid w:val="004B449F"/>
    <w:rsid w:val="004B4790"/>
    <w:rsid w:val="004B4835"/>
    <w:rsid w:val="004B4866"/>
    <w:rsid w:val="004B4A27"/>
    <w:rsid w:val="004B4D1E"/>
    <w:rsid w:val="004B5006"/>
    <w:rsid w:val="004B5149"/>
    <w:rsid w:val="004B51EB"/>
    <w:rsid w:val="004B526F"/>
    <w:rsid w:val="004B5526"/>
    <w:rsid w:val="004B5569"/>
    <w:rsid w:val="004B5682"/>
    <w:rsid w:val="004B5781"/>
    <w:rsid w:val="004B57A6"/>
    <w:rsid w:val="004B5878"/>
    <w:rsid w:val="004B58D9"/>
    <w:rsid w:val="004B5B0F"/>
    <w:rsid w:val="004B5BEA"/>
    <w:rsid w:val="004B5E56"/>
    <w:rsid w:val="004B6123"/>
    <w:rsid w:val="004B6184"/>
    <w:rsid w:val="004B6278"/>
    <w:rsid w:val="004B6441"/>
    <w:rsid w:val="004B644B"/>
    <w:rsid w:val="004B64BE"/>
    <w:rsid w:val="004B65E7"/>
    <w:rsid w:val="004B6627"/>
    <w:rsid w:val="004B6634"/>
    <w:rsid w:val="004B6672"/>
    <w:rsid w:val="004B6707"/>
    <w:rsid w:val="004B6742"/>
    <w:rsid w:val="004B6AEA"/>
    <w:rsid w:val="004B6B04"/>
    <w:rsid w:val="004B6C03"/>
    <w:rsid w:val="004B6D25"/>
    <w:rsid w:val="004B6DAC"/>
    <w:rsid w:val="004B7085"/>
    <w:rsid w:val="004B7111"/>
    <w:rsid w:val="004B7112"/>
    <w:rsid w:val="004B7215"/>
    <w:rsid w:val="004B722D"/>
    <w:rsid w:val="004B74ED"/>
    <w:rsid w:val="004B74FD"/>
    <w:rsid w:val="004B757A"/>
    <w:rsid w:val="004B75B6"/>
    <w:rsid w:val="004B7638"/>
    <w:rsid w:val="004B769A"/>
    <w:rsid w:val="004B799D"/>
    <w:rsid w:val="004B799E"/>
    <w:rsid w:val="004B79E6"/>
    <w:rsid w:val="004B7ADF"/>
    <w:rsid w:val="004B7BED"/>
    <w:rsid w:val="004B7C8E"/>
    <w:rsid w:val="004C0016"/>
    <w:rsid w:val="004C017C"/>
    <w:rsid w:val="004C0247"/>
    <w:rsid w:val="004C0331"/>
    <w:rsid w:val="004C0393"/>
    <w:rsid w:val="004C04FE"/>
    <w:rsid w:val="004C0631"/>
    <w:rsid w:val="004C06A7"/>
    <w:rsid w:val="004C0829"/>
    <w:rsid w:val="004C0869"/>
    <w:rsid w:val="004C087E"/>
    <w:rsid w:val="004C08DC"/>
    <w:rsid w:val="004C0A76"/>
    <w:rsid w:val="004C0B89"/>
    <w:rsid w:val="004C0BCE"/>
    <w:rsid w:val="004C0D52"/>
    <w:rsid w:val="004C0EC8"/>
    <w:rsid w:val="004C0ED5"/>
    <w:rsid w:val="004C1147"/>
    <w:rsid w:val="004C1155"/>
    <w:rsid w:val="004C1170"/>
    <w:rsid w:val="004C145E"/>
    <w:rsid w:val="004C14FB"/>
    <w:rsid w:val="004C150B"/>
    <w:rsid w:val="004C151C"/>
    <w:rsid w:val="004C1741"/>
    <w:rsid w:val="004C18D6"/>
    <w:rsid w:val="004C18DC"/>
    <w:rsid w:val="004C19B7"/>
    <w:rsid w:val="004C19DA"/>
    <w:rsid w:val="004C1B90"/>
    <w:rsid w:val="004C1B9E"/>
    <w:rsid w:val="004C1C61"/>
    <w:rsid w:val="004C1CF8"/>
    <w:rsid w:val="004C1DE8"/>
    <w:rsid w:val="004C1EE1"/>
    <w:rsid w:val="004C200E"/>
    <w:rsid w:val="004C23AF"/>
    <w:rsid w:val="004C2455"/>
    <w:rsid w:val="004C2557"/>
    <w:rsid w:val="004C25CD"/>
    <w:rsid w:val="004C2611"/>
    <w:rsid w:val="004C2619"/>
    <w:rsid w:val="004C27B6"/>
    <w:rsid w:val="004C285D"/>
    <w:rsid w:val="004C29F7"/>
    <w:rsid w:val="004C2B34"/>
    <w:rsid w:val="004C2B84"/>
    <w:rsid w:val="004C2C2B"/>
    <w:rsid w:val="004C2C2E"/>
    <w:rsid w:val="004C2CE8"/>
    <w:rsid w:val="004C2D24"/>
    <w:rsid w:val="004C2E2F"/>
    <w:rsid w:val="004C2F88"/>
    <w:rsid w:val="004C3045"/>
    <w:rsid w:val="004C3094"/>
    <w:rsid w:val="004C3142"/>
    <w:rsid w:val="004C314E"/>
    <w:rsid w:val="004C31D7"/>
    <w:rsid w:val="004C31F8"/>
    <w:rsid w:val="004C3419"/>
    <w:rsid w:val="004C3523"/>
    <w:rsid w:val="004C3672"/>
    <w:rsid w:val="004C36B7"/>
    <w:rsid w:val="004C374F"/>
    <w:rsid w:val="004C3A02"/>
    <w:rsid w:val="004C3B05"/>
    <w:rsid w:val="004C3B20"/>
    <w:rsid w:val="004C3C71"/>
    <w:rsid w:val="004C3D63"/>
    <w:rsid w:val="004C3DA8"/>
    <w:rsid w:val="004C3E4E"/>
    <w:rsid w:val="004C402C"/>
    <w:rsid w:val="004C4217"/>
    <w:rsid w:val="004C4512"/>
    <w:rsid w:val="004C4602"/>
    <w:rsid w:val="004C4663"/>
    <w:rsid w:val="004C46B3"/>
    <w:rsid w:val="004C4732"/>
    <w:rsid w:val="004C521C"/>
    <w:rsid w:val="004C5696"/>
    <w:rsid w:val="004C56A6"/>
    <w:rsid w:val="004C56DD"/>
    <w:rsid w:val="004C5705"/>
    <w:rsid w:val="004C5750"/>
    <w:rsid w:val="004C57F4"/>
    <w:rsid w:val="004C5B0C"/>
    <w:rsid w:val="004C5B97"/>
    <w:rsid w:val="004C5C23"/>
    <w:rsid w:val="004C5DF4"/>
    <w:rsid w:val="004C5F97"/>
    <w:rsid w:val="004C6057"/>
    <w:rsid w:val="004C60ED"/>
    <w:rsid w:val="004C6394"/>
    <w:rsid w:val="004C6590"/>
    <w:rsid w:val="004C660B"/>
    <w:rsid w:val="004C6648"/>
    <w:rsid w:val="004C66D0"/>
    <w:rsid w:val="004C66E5"/>
    <w:rsid w:val="004C6A04"/>
    <w:rsid w:val="004C6AE9"/>
    <w:rsid w:val="004C6B4A"/>
    <w:rsid w:val="004C6BBF"/>
    <w:rsid w:val="004C6D50"/>
    <w:rsid w:val="004C6DE0"/>
    <w:rsid w:val="004C6E72"/>
    <w:rsid w:val="004C6EC2"/>
    <w:rsid w:val="004C720F"/>
    <w:rsid w:val="004C735B"/>
    <w:rsid w:val="004C73F8"/>
    <w:rsid w:val="004C7535"/>
    <w:rsid w:val="004C76B8"/>
    <w:rsid w:val="004C7701"/>
    <w:rsid w:val="004C79C0"/>
    <w:rsid w:val="004C7A8C"/>
    <w:rsid w:val="004C7A98"/>
    <w:rsid w:val="004C7C29"/>
    <w:rsid w:val="004D00AC"/>
    <w:rsid w:val="004D0118"/>
    <w:rsid w:val="004D012F"/>
    <w:rsid w:val="004D0499"/>
    <w:rsid w:val="004D0863"/>
    <w:rsid w:val="004D0995"/>
    <w:rsid w:val="004D0A93"/>
    <w:rsid w:val="004D0CC4"/>
    <w:rsid w:val="004D0CDB"/>
    <w:rsid w:val="004D0DE6"/>
    <w:rsid w:val="004D0F0D"/>
    <w:rsid w:val="004D0FF1"/>
    <w:rsid w:val="004D13EA"/>
    <w:rsid w:val="004D1460"/>
    <w:rsid w:val="004D1469"/>
    <w:rsid w:val="004D1860"/>
    <w:rsid w:val="004D189D"/>
    <w:rsid w:val="004D18EF"/>
    <w:rsid w:val="004D1AAD"/>
    <w:rsid w:val="004D1BB1"/>
    <w:rsid w:val="004D1BE8"/>
    <w:rsid w:val="004D1C22"/>
    <w:rsid w:val="004D1C4F"/>
    <w:rsid w:val="004D1C59"/>
    <w:rsid w:val="004D1D15"/>
    <w:rsid w:val="004D1D37"/>
    <w:rsid w:val="004D1E3A"/>
    <w:rsid w:val="004D1E67"/>
    <w:rsid w:val="004D1F8A"/>
    <w:rsid w:val="004D2249"/>
    <w:rsid w:val="004D25DF"/>
    <w:rsid w:val="004D26BC"/>
    <w:rsid w:val="004D2752"/>
    <w:rsid w:val="004D2901"/>
    <w:rsid w:val="004D290F"/>
    <w:rsid w:val="004D2B2D"/>
    <w:rsid w:val="004D2BC9"/>
    <w:rsid w:val="004D2C2F"/>
    <w:rsid w:val="004D2C7A"/>
    <w:rsid w:val="004D2E18"/>
    <w:rsid w:val="004D2EAA"/>
    <w:rsid w:val="004D2F94"/>
    <w:rsid w:val="004D2F9A"/>
    <w:rsid w:val="004D3189"/>
    <w:rsid w:val="004D3297"/>
    <w:rsid w:val="004D35FF"/>
    <w:rsid w:val="004D381A"/>
    <w:rsid w:val="004D38D3"/>
    <w:rsid w:val="004D3A4F"/>
    <w:rsid w:val="004D3A56"/>
    <w:rsid w:val="004D3A6E"/>
    <w:rsid w:val="004D3AE4"/>
    <w:rsid w:val="004D3B39"/>
    <w:rsid w:val="004D3BB7"/>
    <w:rsid w:val="004D3D38"/>
    <w:rsid w:val="004D3FA5"/>
    <w:rsid w:val="004D4057"/>
    <w:rsid w:val="004D4082"/>
    <w:rsid w:val="004D40BC"/>
    <w:rsid w:val="004D41E8"/>
    <w:rsid w:val="004D41FB"/>
    <w:rsid w:val="004D4243"/>
    <w:rsid w:val="004D43E9"/>
    <w:rsid w:val="004D4A55"/>
    <w:rsid w:val="004D4AB7"/>
    <w:rsid w:val="004D4B77"/>
    <w:rsid w:val="004D4C43"/>
    <w:rsid w:val="004D4EE4"/>
    <w:rsid w:val="004D4FC2"/>
    <w:rsid w:val="004D509E"/>
    <w:rsid w:val="004D524C"/>
    <w:rsid w:val="004D5345"/>
    <w:rsid w:val="004D53AD"/>
    <w:rsid w:val="004D5437"/>
    <w:rsid w:val="004D54CE"/>
    <w:rsid w:val="004D551B"/>
    <w:rsid w:val="004D555A"/>
    <w:rsid w:val="004D556B"/>
    <w:rsid w:val="004D55D6"/>
    <w:rsid w:val="004D59C7"/>
    <w:rsid w:val="004D5A9C"/>
    <w:rsid w:val="004D5AD3"/>
    <w:rsid w:val="004D5B75"/>
    <w:rsid w:val="004D5C8A"/>
    <w:rsid w:val="004D5CB5"/>
    <w:rsid w:val="004D5D91"/>
    <w:rsid w:val="004D5FD4"/>
    <w:rsid w:val="004D6139"/>
    <w:rsid w:val="004D618E"/>
    <w:rsid w:val="004D623B"/>
    <w:rsid w:val="004D6294"/>
    <w:rsid w:val="004D62DF"/>
    <w:rsid w:val="004D62E3"/>
    <w:rsid w:val="004D634A"/>
    <w:rsid w:val="004D654B"/>
    <w:rsid w:val="004D6590"/>
    <w:rsid w:val="004D65B9"/>
    <w:rsid w:val="004D6971"/>
    <w:rsid w:val="004D6D40"/>
    <w:rsid w:val="004D6F44"/>
    <w:rsid w:val="004D6F83"/>
    <w:rsid w:val="004D7023"/>
    <w:rsid w:val="004D706C"/>
    <w:rsid w:val="004D70E5"/>
    <w:rsid w:val="004D7212"/>
    <w:rsid w:val="004D7215"/>
    <w:rsid w:val="004D734C"/>
    <w:rsid w:val="004D73DA"/>
    <w:rsid w:val="004D756E"/>
    <w:rsid w:val="004D75DC"/>
    <w:rsid w:val="004D76D1"/>
    <w:rsid w:val="004D7BBC"/>
    <w:rsid w:val="004D7C75"/>
    <w:rsid w:val="004D7E03"/>
    <w:rsid w:val="004D7F07"/>
    <w:rsid w:val="004E007A"/>
    <w:rsid w:val="004E00C6"/>
    <w:rsid w:val="004E0102"/>
    <w:rsid w:val="004E0270"/>
    <w:rsid w:val="004E028E"/>
    <w:rsid w:val="004E037C"/>
    <w:rsid w:val="004E038B"/>
    <w:rsid w:val="004E03B9"/>
    <w:rsid w:val="004E05D7"/>
    <w:rsid w:val="004E0619"/>
    <w:rsid w:val="004E081A"/>
    <w:rsid w:val="004E091E"/>
    <w:rsid w:val="004E0975"/>
    <w:rsid w:val="004E0A00"/>
    <w:rsid w:val="004E0B26"/>
    <w:rsid w:val="004E0B67"/>
    <w:rsid w:val="004E0BF4"/>
    <w:rsid w:val="004E0BF7"/>
    <w:rsid w:val="004E0D40"/>
    <w:rsid w:val="004E0D60"/>
    <w:rsid w:val="004E0F3D"/>
    <w:rsid w:val="004E10CD"/>
    <w:rsid w:val="004E116F"/>
    <w:rsid w:val="004E123C"/>
    <w:rsid w:val="004E135A"/>
    <w:rsid w:val="004E140A"/>
    <w:rsid w:val="004E17E9"/>
    <w:rsid w:val="004E1856"/>
    <w:rsid w:val="004E1AED"/>
    <w:rsid w:val="004E1BDC"/>
    <w:rsid w:val="004E1CB6"/>
    <w:rsid w:val="004E1D46"/>
    <w:rsid w:val="004E1F53"/>
    <w:rsid w:val="004E2296"/>
    <w:rsid w:val="004E2337"/>
    <w:rsid w:val="004E264E"/>
    <w:rsid w:val="004E2661"/>
    <w:rsid w:val="004E27AC"/>
    <w:rsid w:val="004E293F"/>
    <w:rsid w:val="004E2DE6"/>
    <w:rsid w:val="004E2E7A"/>
    <w:rsid w:val="004E30E4"/>
    <w:rsid w:val="004E3148"/>
    <w:rsid w:val="004E327A"/>
    <w:rsid w:val="004E3398"/>
    <w:rsid w:val="004E33C7"/>
    <w:rsid w:val="004E3431"/>
    <w:rsid w:val="004E3698"/>
    <w:rsid w:val="004E36A5"/>
    <w:rsid w:val="004E3BB6"/>
    <w:rsid w:val="004E3DDC"/>
    <w:rsid w:val="004E402F"/>
    <w:rsid w:val="004E4156"/>
    <w:rsid w:val="004E42C7"/>
    <w:rsid w:val="004E4306"/>
    <w:rsid w:val="004E4318"/>
    <w:rsid w:val="004E4461"/>
    <w:rsid w:val="004E46E2"/>
    <w:rsid w:val="004E486A"/>
    <w:rsid w:val="004E4AFA"/>
    <w:rsid w:val="004E4D57"/>
    <w:rsid w:val="004E4D70"/>
    <w:rsid w:val="004E4E70"/>
    <w:rsid w:val="004E4E87"/>
    <w:rsid w:val="004E5418"/>
    <w:rsid w:val="004E54A9"/>
    <w:rsid w:val="004E550D"/>
    <w:rsid w:val="004E567E"/>
    <w:rsid w:val="004E5688"/>
    <w:rsid w:val="004E580E"/>
    <w:rsid w:val="004E5816"/>
    <w:rsid w:val="004E5989"/>
    <w:rsid w:val="004E5BC5"/>
    <w:rsid w:val="004E5C56"/>
    <w:rsid w:val="004E5D32"/>
    <w:rsid w:val="004E5D98"/>
    <w:rsid w:val="004E635F"/>
    <w:rsid w:val="004E64B8"/>
    <w:rsid w:val="004E6542"/>
    <w:rsid w:val="004E660E"/>
    <w:rsid w:val="004E6787"/>
    <w:rsid w:val="004E6833"/>
    <w:rsid w:val="004E683B"/>
    <w:rsid w:val="004E6996"/>
    <w:rsid w:val="004E6AF7"/>
    <w:rsid w:val="004E6BA7"/>
    <w:rsid w:val="004E6F31"/>
    <w:rsid w:val="004E6F70"/>
    <w:rsid w:val="004E6F73"/>
    <w:rsid w:val="004E7008"/>
    <w:rsid w:val="004E7032"/>
    <w:rsid w:val="004E703B"/>
    <w:rsid w:val="004E748F"/>
    <w:rsid w:val="004E7519"/>
    <w:rsid w:val="004E75BB"/>
    <w:rsid w:val="004E75C0"/>
    <w:rsid w:val="004E76BC"/>
    <w:rsid w:val="004E7783"/>
    <w:rsid w:val="004E785E"/>
    <w:rsid w:val="004E788E"/>
    <w:rsid w:val="004E7964"/>
    <w:rsid w:val="004E7C3D"/>
    <w:rsid w:val="004E7C7E"/>
    <w:rsid w:val="004E7D08"/>
    <w:rsid w:val="004E7DFA"/>
    <w:rsid w:val="004E7E0C"/>
    <w:rsid w:val="004E7E6E"/>
    <w:rsid w:val="004E7F8D"/>
    <w:rsid w:val="004E7FDD"/>
    <w:rsid w:val="004E7FF1"/>
    <w:rsid w:val="004F01AB"/>
    <w:rsid w:val="004F02CE"/>
    <w:rsid w:val="004F0371"/>
    <w:rsid w:val="004F03AE"/>
    <w:rsid w:val="004F0430"/>
    <w:rsid w:val="004F0452"/>
    <w:rsid w:val="004F0AF9"/>
    <w:rsid w:val="004F0B02"/>
    <w:rsid w:val="004F0C1C"/>
    <w:rsid w:val="004F0CEE"/>
    <w:rsid w:val="004F0CFA"/>
    <w:rsid w:val="004F0F55"/>
    <w:rsid w:val="004F0FE3"/>
    <w:rsid w:val="004F1316"/>
    <w:rsid w:val="004F1527"/>
    <w:rsid w:val="004F1607"/>
    <w:rsid w:val="004F16F9"/>
    <w:rsid w:val="004F1745"/>
    <w:rsid w:val="004F17FE"/>
    <w:rsid w:val="004F1A78"/>
    <w:rsid w:val="004F1C3C"/>
    <w:rsid w:val="004F1D2B"/>
    <w:rsid w:val="004F1EB6"/>
    <w:rsid w:val="004F20FB"/>
    <w:rsid w:val="004F21C4"/>
    <w:rsid w:val="004F22B1"/>
    <w:rsid w:val="004F22C2"/>
    <w:rsid w:val="004F24A0"/>
    <w:rsid w:val="004F2537"/>
    <w:rsid w:val="004F254E"/>
    <w:rsid w:val="004F2568"/>
    <w:rsid w:val="004F2890"/>
    <w:rsid w:val="004F28A5"/>
    <w:rsid w:val="004F28A9"/>
    <w:rsid w:val="004F28EF"/>
    <w:rsid w:val="004F2946"/>
    <w:rsid w:val="004F29E9"/>
    <w:rsid w:val="004F2BDF"/>
    <w:rsid w:val="004F2C21"/>
    <w:rsid w:val="004F2D8F"/>
    <w:rsid w:val="004F2DC6"/>
    <w:rsid w:val="004F326F"/>
    <w:rsid w:val="004F32A9"/>
    <w:rsid w:val="004F3304"/>
    <w:rsid w:val="004F3648"/>
    <w:rsid w:val="004F367B"/>
    <w:rsid w:val="004F37B1"/>
    <w:rsid w:val="004F37DA"/>
    <w:rsid w:val="004F37F9"/>
    <w:rsid w:val="004F3A05"/>
    <w:rsid w:val="004F3A0A"/>
    <w:rsid w:val="004F3A89"/>
    <w:rsid w:val="004F3D2F"/>
    <w:rsid w:val="004F3DBE"/>
    <w:rsid w:val="004F4016"/>
    <w:rsid w:val="004F42F0"/>
    <w:rsid w:val="004F46BF"/>
    <w:rsid w:val="004F4AB6"/>
    <w:rsid w:val="004F4E0A"/>
    <w:rsid w:val="004F4F06"/>
    <w:rsid w:val="004F5059"/>
    <w:rsid w:val="004F505E"/>
    <w:rsid w:val="004F5061"/>
    <w:rsid w:val="004F52B0"/>
    <w:rsid w:val="004F52B3"/>
    <w:rsid w:val="004F53E6"/>
    <w:rsid w:val="004F5434"/>
    <w:rsid w:val="004F555B"/>
    <w:rsid w:val="004F55F3"/>
    <w:rsid w:val="004F57E7"/>
    <w:rsid w:val="004F58AB"/>
    <w:rsid w:val="004F5A3F"/>
    <w:rsid w:val="004F5A5C"/>
    <w:rsid w:val="004F5C24"/>
    <w:rsid w:val="004F5C37"/>
    <w:rsid w:val="004F5CB4"/>
    <w:rsid w:val="004F5CD2"/>
    <w:rsid w:val="004F5D85"/>
    <w:rsid w:val="004F615E"/>
    <w:rsid w:val="004F66B5"/>
    <w:rsid w:val="004F670C"/>
    <w:rsid w:val="004F6B95"/>
    <w:rsid w:val="004F6C1D"/>
    <w:rsid w:val="004F6D51"/>
    <w:rsid w:val="004F70DF"/>
    <w:rsid w:val="004F71C8"/>
    <w:rsid w:val="004F72AA"/>
    <w:rsid w:val="004F7345"/>
    <w:rsid w:val="004F7484"/>
    <w:rsid w:val="004F74CC"/>
    <w:rsid w:val="004F790C"/>
    <w:rsid w:val="004F796D"/>
    <w:rsid w:val="004F7BE7"/>
    <w:rsid w:val="004F7CA7"/>
    <w:rsid w:val="004F7D79"/>
    <w:rsid w:val="004F7E90"/>
    <w:rsid w:val="004F7E9F"/>
    <w:rsid w:val="00500091"/>
    <w:rsid w:val="005000AA"/>
    <w:rsid w:val="005001AD"/>
    <w:rsid w:val="00500459"/>
    <w:rsid w:val="005005B6"/>
    <w:rsid w:val="005005DB"/>
    <w:rsid w:val="00500626"/>
    <w:rsid w:val="0050065D"/>
    <w:rsid w:val="00500679"/>
    <w:rsid w:val="00500856"/>
    <w:rsid w:val="00500D0B"/>
    <w:rsid w:val="00500D35"/>
    <w:rsid w:val="00500DBE"/>
    <w:rsid w:val="005010D6"/>
    <w:rsid w:val="0050111A"/>
    <w:rsid w:val="00501140"/>
    <w:rsid w:val="0050133E"/>
    <w:rsid w:val="005013C5"/>
    <w:rsid w:val="0050170B"/>
    <w:rsid w:val="0050176C"/>
    <w:rsid w:val="005018C0"/>
    <w:rsid w:val="00501975"/>
    <w:rsid w:val="00501984"/>
    <w:rsid w:val="00501A95"/>
    <w:rsid w:val="00501C22"/>
    <w:rsid w:val="00501C64"/>
    <w:rsid w:val="00501D30"/>
    <w:rsid w:val="00501F4C"/>
    <w:rsid w:val="00502058"/>
    <w:rsid w:val="00502337"/>
    <w:rsid w:val="00502366"/>
    <w:rsid w:val="00502625"/>
    <w:rsid w:val="0050284A"/>
    <w:rsid w:val="00502AC7"/>
    <w:rsid w:val="00502B1B"/>
    <w:rsid w:val="00502B23"/>
    <w:rsid w:val="00502C13"/>
    <w:rsid w:val="00502C6E"/>
    <w:rsid w:val="00502CB4"/>
    <w:rsid w:val="00502DA3"/>
    <w:rsid w:val="00502E3A"/>
    <w:rsid w:val="00502FDD"/>
    <w:rsid w:val="005030D8"/>
    <w:rsid w:val="00503165"/>
    <w:rsid w:val="00503366"/>
    <w:rsid w:val="005033AF"/>
    <w:rsid w:val="00503593"/>
    <w:rsid w:val="005035CF"/>
    <w:rsid w:val="005035EB"/>
    <w:rsid w:val="0050365E"/>
    <w:rsid w:val="0050369F"/>
    <w:rsid w:val="005038AF"/>
    <w:rsid w:val="00503979"/>
    <w:rsid w:val="00503FF8"/>
    <w:rsid w:val="00504358"/>
    <w:rsid w:val="00504687"/>
    <w:rsid w:val="00504827"/>
    <w:rsid w:val="00504890"/>
    <w:rsid w:val="00504924"/>
    <w:rsid w:val="00504B31"/>
    <w:rsid w:val="00504BDD"/>
    <w:rsid w:val="00504BFB"/>
    <w:rsid w:val="00504E3A"/>
    <w:rsid w:val="00505323"/>
    <w:rsid w:val="0050532E"/>
    <w:rsid w:val="005053AF"/>
    <w:rsid w:val="0050557E"/>
    <w:rsid w:val="00505700"/>
    <w:rsid w:val="00505789"/>
    <w:rsid w:val="00505A2C"/>
    <w:rsid w:val="00505C79"/>
    <w:rsid w:val="00505E5A"/>
    <w:rsid w:val="00505E97"/>
    <w:rsid w:val="00505FD9"/>
    <w:rsid w:val="00506040"/>
    <w:rsid w:val="0050643F"/>
    <w:rsid w:val="0050645A"/>
    <w:rsid w:val="00506639"/>
    <w:rsid w:val="005066A0"/>
    <w:rsid w:val="00506784"/>
    <w:rsid w:val="00506886"/>
    <w:rsid w:val="00506BB2"/>
    <w:rsid w:val="00506D84"/>
    <w:rsid w:val="00506DB6"/>
    <w:rsid w:val="00507190"/>
    <w:rsid w:val="0050747A"/>
    <w:rsid w:val="0050756E"/>
    <w:rsid w:val="005076D5"/>
    <w:rsid w:val="00507885"/>
    <w:rsid w:val="00507967"/>
    <w:rsid w:val="00507D7D"/>
    <w:rsid w:val="00507EE4"/>
    <w:rsid w:val="00507FE1"/>
    <w:rsid w:val="0051006E"/>
    <w:rsid w:val="005101BA"/>
    <w:rsid w:val="00510472"/>
    <w:rsid w:val="005107B2"/>
    <w:rsid w:val="00510A0F"/>
    <w:rsid w:val="00510A4B"/>
    <w:rsid w:val="00510BBF"/>
    <w:rsid w:val="00510C6B"/>
    <w:rsid w:val="00510DCD"/>
    <w:rsid w:val="0051129F"/>
    <w:rsid w:val="005112EF"/>
    <w:rsid w:val="00511367"/>
    <w:rsid w:val="00511472"/>
    <w:rsid w:val="0051147A"/>
    <w:rsid w:val="00511492"/>
    <w:rsid w:val="0051178B"/>
    <w:rsid w:val="0051184E"/>
    <w:rsid w:val="00511A15"/>
    <w:rsid w:val="00511BC1"/>
    <w:rsid w:val="00511BF3"/>
    <w:rsid w:val="00511E3A"/>
    <w:rsid w:val="00511F4F"/>
    <w:rsid w:val="00512099"/>
    <w:rsid w:val="005120C3"/>
    <w:rsid w:val="00512191"/>
    <w:rsid w:val="00512299"/>
    <w:rsid w:val="00512461"/>
    <w:rsid w:val="0051266C"/>
    <w:rsid w:val="005126EF"/>
    <w:rsid w:val="005127B0"/>
    <w:rsid w:val="005128C3"/>
    <w:rsid w:val="0051295E"/>
    <w:rsid w:val="00512974"/>
    <w:rsid w:val="00512D0B"/>
    <w:rsid w:val="0051308D"/>
    <w:rsid w:val="00513185"/>
    <w:rsid w:val="005131FD"/>
    <w:rsid w:val="00513316"/>
    <w:rsid w:val="005135BF"/>
    <w:rsid w:val="00513616"/>
    <w:rsid w:val="00513637"/>
    <w:rsid w:val="0051363F"/>
    <w:rsid w:val="00513705"/>
    <w:rsid w:val="0051377E"/>
    <w:rsid w:val="005137B0"/>
    <w:rsid w:val="005137CD"/>
    <w:rsid w:val="00513BE3"/>
    <w:rsid w:val="00513DA9"/>
    <w:rsid w:val="00513DC2"/>
    <w:rsid w:val="00513DDB"/>
    <w:rsid w:val="00513E79"/>
    <w:rsid w:val="00513EEC"/>
    <w:rsid w:val="00514001"/>
    <w:rsid w:val="00514136"/>
    <w:rsid w:val="00514214"/>
    <w:rsid w:val="00514265"/>
    <w:rsid w:val="00514454"/>
    <w:rsid w:val="00514484"/>
    <w:rsid w:val="00514509"/>
    <w:rsid w:val="005147A0"/>
    <w:rsid w:val="00514921"/>
    <w:rsid w:val="0051497A"/>
    <w:rsid w:val="00514992"/>
    <w:rsid w:val="00514A2D"/>
    <w:rsid w:val="00514B1F"/>
    <w:rsid w:val="00514BAE"/>
    <w:rsid w:val="00514C24"/>
    <w:rsid w:val="00514C4D"/>
    <w:rsid w:val="00514D6B"/>
    <w:rsid w:val="00514DAC"/>
    <w:rsid w:val="00514DB0"/>
    <w:rsid w:val="00514DB3"/>
    <w:rsid w:val="00514EFC"/>
    <w:rsid w:val="00514FA0"/>
    <w:rsid w:val="0051505C"/>
    <w:rsid w:val="00515092"/>
    <w:rsid w:val="00515174"/>
    <w:rsid w:val="0051517D"/>
    <w:rsid w:val="005151D6"/>
    <w:rsid w:val="00515270"/>
    <w:rsid w:val="0051543C"/>
    <w:rsid w:val="00515507"/>
    <w:rsid w:val="00515545"/>
    <w:rsid w:val="00515590"/>
    <w:rsid w:val="0051560E"/>
    <w:rsid w:val="0051578C"/>
    <w:rsid w:val="005157AD"/>
    <w:rsid w:val="005157CE"/>
    <w:rsid w:val="00515A3D"/>
    <w:rsid w:val="00515B37"/>
    <w:rsid w:val="00515D58"/>
    <w:rsid w:val="00515DAC"/>
    <w:rsid w:val="00515E7D"/>
    <w:rsid w:val="00516264"/>
    <w:rsid w:val="0051628D"/>
    <w:rsid w:val="005162F5"/>
    <w:rsid w:val="00516431"/>
    <w:rsid w:val="005164A0"/>
    <w:rsid w:val="005164C0"/>
    <w:rsid w:val="005164EE"/>
    <w:rsid w:val="00516688"/>
    <w:rsid w:val="005166CA"/>
    <w:rsid w:val="00516863"/>
    <w:rsid w:val="00516A11"/>
    <w:rsid w:val="00516AB9"/>
    <w:rsid w:val="00516D75"/>
    <w:rsid w:val="00516DDD"/>
    <w:rsid w:val="00516EF3"/>
    <w:rsid w:val="005170A0"/>
    <w:rsid w:val="00517102"/>
    <w:rsid w:val="00517123"/>
    <w:rsid w:val="005174B0"/>
    <w:rsid w:val="0051751D"/>
    <w:rsid w:val="00517565"/>
    <w:rsid w:val="00517593"/>
    <w:rsid w:val="00517629"/>
    <w:rsid w:val="00517631"/>
    <w:rsid w:val="005176D5"/>
    <w:rsid w:val="00517744"/>
    <w:rsid w:val="00517942"/>
    <w:rsid w:val="00517A83"/>
    <w:rsid w:val="00517AAF"/>
    <w:rsid w:val="00517BAC"/>
    <w:rsid w:val="00517CF7"/>
    <w:rsid w:val="00517D32"/>
    <w:rsid w:val="00517D53"/>
    <w:rsid w:val="00517E08"/>
    <w:rsid w:val="00517F21"/>
    <w:rsid w:val="0052019D"/>
    <w:rsid w:val="0052029B"/>
    <w:rsid w:val="0052051F"/>
    <w:rsid w:val="0052052E"/>
    <w:rsid w:val="00520661"/>
    <w:rsid w:val="0052071B"/>
    <w:rsid w:val="005208C3"/>
    <w:rsid w:val="00520979"/>
    <w:rsid w:val="00520AD0"/>
    <w:rsid w:val="00520EE1"/>
    <w:rsid w:val="00521060"/>
    <w:rsid w:val="00521184"/>
    <w:rsid w:val="0052119E"/>
    <w:rsid w:val="005211AF"/>
    <w:rsid w:val="0052120A"/>
    <w:rsid w:val="0052120F"/>
    <w:rsid w:val="0052125D"/>
    <w:rsid w:val="005212CF"/>
    <w:rsid w:val="0052131A"/>
    <w:rsid w:val="005213B5"/>
    <w:rsid w:val="0052141A"/>
    <w:rsid w:val="005214C4"/>
    <w:rsid w:val="00521555"/>
    <w:rsid w:val="00521756"/>
    <w:rsid w:val="00521824"/>
    <w:rsid w:val="005218A1"/>
    <w:rsid w:val="005218B3"/>
    <w:rsid w:val="00521919"/>
    <w:rsid w:val="00521A64"/>
    <w:rsid w:val="00521B0A"/>
    <w:rsid w:val="00521C16"/>
    <w:rsid w:val="00521C68"/>
    <w:rsid w:val="00521CC8"/>
    <w:rsid w:val="00521D40"/>
    <w:rsid w:val="00521DE1"/>
    <w:rsid w:val="00521EAA"/>
    <w:rsid w:val="00522096"/>
    <w:rsid w:val="005220E1"/>
    <w:rsid w:val="00522100"/>
    <w:rsid w:val="00522420"/>
    <w:rsid w:val="0052244E"/>
    <w:rsid w:val="005224FB"/>
    <w:rsid w:val="005224FF"/>
    <w:rsid w:val="0052259C"/>
    <w:rsid w:val="00522769"/>
    <w:rsid w:val="0052288F"/>
    <w:rsid w:val="005228C9"/>
    <w:rsid w:val="00522984"/>
    <w:rsid w:val="005229B6"/>
    <w:rsid w:val="00522AEB"/>
    <w:rsid w:val="00522B2E"/>
    <w:rsid w:val="00522ED1"/>
    <w:rsid w:val="00522EE7"/>
    <w:rsid w:val="00523292"/>
    <w:rsid w:val="00523321"/>
    <w:rsid w:val="005234EA"/>
    <w:rsid w:val="0052375E"/>
    <w:rsid w:val="00523879"/>
    <w:rsid w:val="00523AFB"/>
    <w:rsid w:val="00523B26"/>
    <w:rsid w:val="00523C0B"/>
    <w:rsid w:val="00523F8E"/>
    <w:rsid w:val="00523FC1"/>
    <w:rsid w:val="00524098"/>
    <w:rsid w:val="00524128"/>
    <w:rsid w:val="0052417C"/>
    <w:rsid w:val="0052417F"/>
    <w:rsid w:val="005242BB"/>
    <w:rsid w:val="00524482"/>
    <w:rsid w:val="00524513"/>
    <w:rsid w:val="00524756"/>
    <w:rsid w:val="00524995"/>
    <w:rsid w:val="00524C12"/>
    <w:rsid w:val="00524CD6"/>
    <w:rsid w:val="00524D07"/>
    <w:rsid w:val="00524D49"/>
    <w:rsid w:val="00524D80"/>
    <w:rsid w:val="00524DBB"/>
    <w:rsid w:val="0052500C"/>
    <w:rsid w:val="005251CC"/>
    <w:rsid w:val="005252B3"/>
    <w:rsid w:val="0052533F"/>
    <w:rsid w:val="00525349"/>
    <w:rsid w:val="00525374"/>
    <w:rsid w:val="005253B1"/>
    <w:rsid w:val="0052559B"/>
    <w:rsid w:val="00525694"/>
    <w:rsid w:val="0052589D"/>
    <w:rsid w:val="005258BE"/>
    <w:rsid w:val="00525B20"/>
    <w:rsid w:val="00525D6D"/>
    <w:rsid w:val="00525DEE"/>
    <w:rsid w:val="00525F3A"/>
    <w:rsid w:val="00525F43"/>
    <w:rsid w:val="00526290"/>
    <w:rsid w:val="00526410"/>
    <w:rsid w:val="00526599"/>
    <w:rsid w:val="00526607"/>
    <w:rsid w:val="00526664"/>
    <w:rsid w:val="00526723"/>
    <w:rsid w:val="005269F4"/>
    <w:rsid w:val="00526C01"/>
    <w:rsid w:val="00526E2D"/>
    <w:rsid w:val="00527112"/>
    <w:rsid w:val="005271D3"/>
    <w:rsid w:val="005274A0"/>
    <w:rsid w:val="005274F3"/>
    <w:rsid w:val="0052756F"/>
    <w:rsid w:val="0052769D"/>
    <w:rsid w:val="005277E3"/>
    <w:rsid w:val="0052782A"/>
    <w:rsid w:val="0052796B"/>
    <w:rsid w:val="00527AA5"/>
    <w:rsid w:val="00527B76"/>
    <w:rsid w:val="00527BAA"/>
    <w:rsid w:val="00527BF7"/>
    <w:rsid w:val="00527C14"/>
    <w:rsid w:val="00527C1A"/>
    <w:rsid w:val="00527C27"/>
    <w:rsid w:val="00527C4F"/>
    <w:rsid w:val="00527CF6"/>
    <w:rsid w:val="00527D9E"/>
    <w:rsid w:val="00527DE9"/>
    <w:rsid w:val="00527FC1"/>
    <w:rsid w:val="00530060"/>
    <w:rsid w:val="005301E2"/>
    <w:rsid w:val="0053025C"/>
    <w:rsid w:val="005305BD"/>
    <w:rsid w:val="0053076B"/>
    <w:rsid w:val="00530965"/>
    <w:rsid w:val="00530D69"/>
    <w:rsid w:val="00530E98"/>
    <w:rsid w:val="00530FA1"/>
    <w:rsid w:val="00530FEC"/>
    <w:rsid w:val="00531067"/>
    <w:rsid w:val="00531332"/>
    <w:rsid w:val="005313EF"/>
    <w:rsid w:val="00531496"/>
    <w:rsid w:val="005314E9"/>
    <w:rsid w:val="00531546"/>
    <w:rsid w:val="005315A6"/>
    <w:rsid w:val="00531757"/>
    <w:rsid w:val="005317BC"/>
    <w:rsid w:val="00531889"/>
    <w:rsid w:val="00531905"/>
    <w:rsid w:val="00531A54"/>
    <w:rsid w:val="00531A94"/>
    <w:rsid w:val="00531BCB"/>
    <w:rsid w:val="00531CD1"/>
    <w:rsid w:val="00531D5B"/>
    <w:rsid w:val="00531D8B"/>
    <w:rsid w:val="00531DD9"/>
    <w:rsid w:val="00531F38"/>
    <w:rsid w:val="00531FC7"/>
    <w:rsid w:val="00532191"/>
    <w:rsid w:val="00532379"/>
    <w:rsid w:val="005323C4"/>
    <w:rsid w:val="005323DA"/>
    <w:rsid w:val="00532611"/>
    <w:rsid w:val="00532623"/>
    <w:rsid w:val="00532660"/>
    <w:rsid w:val="005326A6"/>
    <w:rsid w:val="005326C5"/>
    <w:rsid w:val="005326F9"/>
    <w:rsid w:val="00532775"/>
    <w:rsid w:val="00532780"/>
    <w:rsid w:val="00532852"/>
    <w:rsid w:val="00532CDF"/>
    <w:rsid w:val="00532D79"/>
    <w:rsid w:val="00532DB5"/>
    <w:rsid w:val="00532DBC"/>
    <w:rsid w:val="00532DCC"/>
    <w:rsid w:val="00532F9E"/>
    <w:rsid w:val="00533232"/>
    <w:rsid w:val="005333B8"/>
    <w:rsid w:val="00533680"/>
    <w:rsid w:val="00533694"/>
    <w:rsid w:val="005338B6"/>
    <w:rsid w:val="00533912"/>
    <w:rsid w:val="00533A25"/>
    <w:rsid w:val="00533BE2"/>
    <w:rsid w:val="00533CF3"/>
    <w:rsid w:val="0053406E"/>
    <w:rsid w:val="005341D9"/>
    <w:rsid w:val="005341EA"/>
    <w:rsid w:val="00534298"/>
    <w:rsid w:val="0053437A"/>
    <w:rsid w:val="0053466C"/>
    <w:rsid w:val="00534722"/>
    <w:rsid w:val="0053481E"/>
    <w:rsid w:val="005349AC"/>
    <w:rsid w:val="00534B3F"/>
    <w:rsid w:val="00534C22"/>
    <w:rsid w:val="00534D75"/>
    <w:rsid w:val="00534DC0"/>
    <w:rsid w:val="005352F6"/>
    <w:rsid w:val="00535413"/>
    <w:rsid w:val="0053582A"/>
    <w:rsid w:val="005358CE"/>
    <w:rsid w:val="00535C93"/>
    <w:rsid w:val="00535E99"/>
    <w:rsid w:val="00535F8A"/>
    <w:rsid w:val="00536053"/>
    <w:rsid w:val="00536077"/>
    <w:rsid w:val="00536097"/>
    <w:rsid w:val="005360B3"/>
    <w:rsid w:val="00536611"/>
    <w:rsid w:val="00536752"/>
    <w:rsid w:val="0053683D"/>
    <w:rsid w:val="00536859"/>
    <w:rsid w:val="005368F6"/>
    <w:rsid w:val="00536A8E"/>
    <w:rsid w:val="005371B7"/>
    <w:rsid w:val="005372A7"/>
    <w:rsid w:val="005372FE"/>
    <w:rsid w:val="00537647"/>
    <w:rsid w:val="0053766D"/>
    <w:rsid w:val="005376B7"/>
    <w:rsid w:val="005379BF"/>
    <w:rsid w:val="00537B0B"/>
    <w:rsid w:val="00537DE7"/>
    <w:rsid w:val="00537E40"/>
    <w:rsid w:val="00537EA6"/>
    <w:rsid w:val="00540138"/>
    <w:rsid w:val="0054036F"/>
    <w:rsid w:val="005404B9"/>
    <w:rsid w:val="00540599"/>
    <w:rsid w:val="0054074B"/>
    <w:rsid w:val="00540908"/>
    <w:rsid w:val="00540A28"/>
    <w:rsid w:val="00540A6A"/>
    <w:rsid w:val="00540AA9"/>
    <w:rsid w:val="00540BF0"/>
    <w:rsid w:val="00540C45"/>
    <w:rsid w:val="00540CC1"/>
    <w:rsid w:val="00540DC9"/>
    <w:rsid w:val="00540DCE"/>
    <w:rsid w:val="00540E55"/>
    <w:rsid w:val="00540F67"/>
    <w:rsid w:val="005410BD"/>
    <w:rsid w:val="005412D0"/>
    <w:rsid w:val="005412FC"/>
    <w:rsid w:val="005414C3"/>
    <w:rsid w:val="005415E7"/>
    <w:rsid w:val="00541671"/>
    <w:rsid w:val="00541696"/>
    <w:rsid w:val="0054173B"/>
    <w:rsid w:val="005417DA"/>
    <w:rsid w:val="0054194E"/>
    <w:rsid w:val="00541DB0"/>
    <w:rsid w:val="00541FB9"/>
    <w:rsid w:val="0054200D"/>
    <w:rsid w:val="005420D5"/>
    <w:rsid w:val="00542103"/>
    <w:rsid w:val="0054223C"/>
    <w:rsid w:val="0054248A"/>
    <w:rsid w:val="005424D4"/>
    <w:rsid w:val="005426AB"/>
    <w:rsid w:val="005426D8"/>
    <w:rsid w:val="00542834"/>
    <w:rsid w:val="005429B3"/>
    <w:rsid w:val="005429FF"/>
    <w:rsid w:val="00542A69"/>
    <w:rsid w:val="00542C19"/>
    <w:rsid w:val="00542C3F"/>
    <w:rsid w:val="00542D2E"/>
    <w:rsid w:val="00542DD6"/>
    <w:rsid w:val="00543013"/>
    <w:rsid w:val="00543065"/>
    <w:rsid w:val="00543125"/>
    <w:rsid w:val="005432C4"/>
    <w:rsid w:val="0054335C"/>
    <w:rsid w:val="0054339D"/>
    <w:rsid w:val="00543531"/>
    <w:rsid w:val="0054355F"/>
    <w:rsid w:val="005436EC"/>
    <w:rsid w:val="0054392F"/>
    <w:rsid w:val="005439A6"/>
    <w:rsid w:val="00543B63"/>
    <w:rsid w:val="00543CA3"/>
    <w:rsid w:val="00543D55"/>
    <w:rsid w:val="00543F03"/>
    <w:rsid w:val="00543F84"/>
    <w:rsid w:val="005440A0"/>
    <w:rsid w:val="005440BF"/>
    <w:rsid w:val="005440F3"/>
    <w:rsid w:val="005441DF"/>
    <w:rsid w:val="005443C8"/>
    <w:rsid w:val="00544436"/>
    <w:rsid w:val="0054443E"/>
    <w:rsid w:val="0054447A"/>
    <w:rsid w:val="005444A1"/>
    <w:rsid w:val="0054453B"/>
    <w:rsid w:val="005447F6"/>
    <w:rsid w:val="005449C3"/>
    <w:rsid w:val="00544A73"/>
    <w:rsid w:val="00544D05"/>
    <w:rsid w:val="00544FF6"/>
    <w:rsid w:val="0054528A"/>
    <w:rsid w:val="00545890"/>
    <w:rsid w:val="00545898"/>
    <w:rsid w:val="00545965"/>
    <w:rsid w:val="00545A72"/>
    <w:rsid w:val="00545ABB"/>
    <w:rsid w:val="00545ABC"/>
    <w:rsid w:val="00545B43"/>
    <w:rsid w:val="00545CE9"/>
    <w:rsid w:val="00545EE1"/>
    <w:rsid w:val="00546068"/>
    <w:rsid w:val="00546335"/>
    <w:rsid w:val="0054637D"/>
    <w:rsid w:val="0054648E"/>
    <w:rsid w:val="00546632"/>
    <w:rsid w:val="00546793"/>
    <w:rsid w:val="00546897"/>
    <w:rsid w:val="00546D11"/>
    <w:rsid w:val="00546D1F"/>
    <w:rsid w:val="00546E40"/>
    <w:rsid w:val="00546E6F"/>
    <w:rsid w:val="00546E7A"/>
    <w:rsid w:val="00547076"/>
    <w:rsid w:val="00547146"/>
    <w:rsid w:val="00547299"/>
    <w:rsid w:val="005472D5"/>
    <w:rsid w:val="005473BA"/>
    <w:rsid w:val="00547406"/>
    <w:rsid w:val="00547847"/>
    <w:rsid w:val="00547867"/>
    <w:rsid w:val="0054792F"/>
    <w:rsid w:val="00547943"/>
    <w:rsid w:val="005479E2"/>
    <w:rsid w:val="00547B77"/>
    <w:rsid w:val="00547C64"/>
    <w:rsid w:val="00547CC0"/>
    <w:rsid w:val="00547CE5"/>
    <w:rsid w:val="00547E00"/>
    <w:rsid w:val="00547FA1"/>
    <w:rsid w:val="00550078"/>
    <w:rsid w:val="00550535"/>
    <w:rsid w:val="005505F2"/>
    <w:rsid w:val="0055060D"/>
    <w:rsid w:val="0055067D"/>
    <w:rsid w:val="005506FB"/>
    <w:rsid w:val="005507EC"/>
    <w:rsid w:val="00550848"/>
    <w:rsid w:val="00550A5E"/>
    <w:rsid w:val="00550BA5"/>
    <w:rsid w:val="00550C1D"/>
    <w:rsid w:val="00550DB1"/>
    <w:rsid w:val="00550DB9"/>
    <w:rsid w:val="00550F70"/>
    <w:rsid w:val="00550FBC"/>
    <w:rsid w:val="00550FC8"/>
    <w:rsid w:val="00551038"/>
    <w:rsid w:val="0055108A"/>
    <w:rsid w:val="0055109C"/>
    <w:rsid w:val="005511C9"/>
    <w:rsid w:val="005513DA"/>
    <w:rsid w:val="005513E3"/>
    <w:rsid w:val="005514B3"/>
    <w:rsid w:val="00551511"/>
    <w:rsid w:val="0055165C"/>
    <w:rsid w:val="00551713"/>
    <w:rsid w:val="00551783"/>
    <w:rsid w:val="00551888"/>
    <w:rsid w:val="00551971"/>
    <w:rsid w:val="00551A74"/>
    <w:rsid w:val="00551A8F"/>
    <w:rsid w:val="00551CA7"/>
    <w:rsid w:val="00551D0C"/>
    <w:rsid w:val="00551F13"/>
    <w:rsid w:val="0055229F"/>
    <w:rsid w:val="005523C9"/>
    <w:rsid w:val="00552477"/>
    <w:rsid w:val="00552509"/>
    <w:rsid w:val="0055255B"/>
    <w:rsid w:val="00552567"/>
    <w:rsid w:val="00552744"/>
    <w:rsid w:val="00552845"/>
    <w:rsid w:val="00552973"/>
    <w:rsid w:val="00552D9A"/>
    <w:rsid w:val="005530B2"/>
    <w:rsid w:val="005533E2"/>
    <w:rsid w:val="00553432"/>
    <w:rsid w:val="00553549"/>
    <w:rsid w:val="005538BB"/>
    <w:rsid w:val="00553989"/>
    <w:rsid w:val="00553AD0"/>
    <w:rsid w:val="00553AF6"/>
    <w:rsid w:val="00553BD6"/>
    <w:rsid w:val="00553CAD"/>
    <w:rsid w:val="00553D2B"/>
    <w:rsid w:val="00553D44"/>
    <w:rsid w:val="00553FE8"/>
    <w:rsid w:val="005540D0"/>
    <w:rsid w:val="005540D1"/>
    <w:rsid w:val="00554155"/>
    <w:rsid w:val="005543BA"/>
    <w:rsid w:val="00554656"/>
    <w:rsid w:val="005546E7"/>
    <w:rsid w:val="00554833"/>
    <w:rsid w:val="0055497E"/>
    <w:rsid w:val="00554B12"/>
    <w:rsid w:val="00554C5C"/>
    <w:rsid w:val="00554C65"/>
    <w:rsid w:val="00554CBF"/>
    <w:rsid w:val="00554FA6"/>
    <w:rsid w:val="00554FD7"/>
    <w:rsid w:val="00555152"/>
    <w:rsid w:val="005552C0"/>
    <w:rsid w:val="0055564A"/>
    <w:rsid w:val="005556EB"/>
    <w:rsid w:val="00555A9B"/>
    <w:rsid w:val="00555BBE"/>
    <w:rsid w:val="00555FDD"/>
    <w:rsid w:val="0055602D"/>
    <w:rsid w:val="0055604A"/>
    <w:rsid w:val="0055606E"/>
    <w:rsid w:val="00556095"/>
    <w:rsid w:val="00556210"/>
    <w:rsid w:val="005563FD"/>
    <w:rsid w:val="0055664F"/>
    <w:rsid w:val="005566C5"/>
    <w:rsid w:val="005567E1"/>
    <w:rsid w:val="0055682D"/>
    <w:rsid w:val="00556929"/>
    <w:rsid w:val="00556AAF"/>
    <w:rsid w:val="00556B00"/>
    <w:rsid w:val="00556D46"/>
    <w:rsid w:val="00556D69"/>
    <w:rsid w:val="00556E50"/>
    <w:rsid w:val="00556EBB"/>
    <w:rsid w:val="00556F2E"/>
    <w:rsid w:val="00556FD1"/>
    <w:rsid w:val="00557093"/>
    <w:rsid w:val="00557125"/>
    <w:rsid w:val="00557167"/>
    <w:rsid w:val="005571ED"/>
    <w:rsid w:val="005573B7"/>
    <w:rsid w:val="00557664"/>
    <w:rsid w:val="00557751"/>
    <w:rsid w:val="00557788"/>
    <w:rsid w:val="00557A92"/>
    <w:rsid w:val="00557CBF"/>
    <w:rsid w:val="0056001F"/>
    <w:rsid w:val="0056028F"/>
    <w:rsid w:val="00560451"/>
    <w:rsid w:val="005604A1"/>
    <w:rsid w:val="005608D5"/>
    <w:rsid w:val="005609FB"/>
    <w:rsid w:val="00560A13"/>
    <w:rsid w:val="00560B9E"/>
    <w:rsid w:val="00560D09"/>
    <w:rsid w:val="00560DDD"/>
    <w:rsid w:val="00560DFA"/>
    <w:rsid w:val="00560EDC"/>
    <w:rsid w:val="00560F86"/>
    <w:rsid w:val="0056104D"/>
    <w:rsid w:val="005610FD"/>
    <w:rsid w:val="0056122E"/>
    <w:rsid w:val="0056124A"/>
    <w:rsid w:val="00561370"/>
    <w:rsid w:val="005613B3"/>
    <w:rsid w:val="00561459"/>
    <w:rsid w:val="00561577"/>
    <w:rsid w:val="005616AF"/>
    <w:rsid w:val="005616F8"/>
    <w:rsid w:val="00561958"/>
    <w:rsid w:val="005619BB"/>
    <w:rsid w:val="00561A7E"/>
    <w:rsid w:val="005622C2"/>
    <w:rsid w:val="005623AC"/>
    <w:rsid w:val="005623EA"/>
    <w:rsid w:val="00562472"/>
    <w:rsid w:val="005624AD"/>
    <w:rsid w:val="005628AD"/>
    <w:rsid w:val="00562B19"/>
    <w:rsid w:val="00562D78"/>
    <w:rsid w:val="00562DCC"/>
    <w:rsid w:val="00562DF0"/>
    <w:rsid w:val="00562FB5"/>
    <w:rsid w:val="00563041"/>
    <w:rsid w:val="00563525"/>
    <w:rsid w:val="00563527"/>
    <w:rsid w:val="00563653"/>
    <w:rsid w:val="005637A3"/>
    <w:rsid w:val="00563825"/>
    <w:rsid w:val="00563A04"/>
    <w:rsid w:val="00563A0D"/>
    <w:rsid w:val="00563A96"/>
    <w:rsid w:val="00563C56"/>
    <w:rsid w:val="00563EF5"/>
    <w:rsid w:val="00563F26"/>
    <w:rsid w:val="00563F74"/>
    <w:rsid w:val="005640B7"/>
    <w:rsid w:val="005641F1"/>
    <w:rsid w:val="00564474"/>
    <w:rsid w:val="005645A2"/>
    <w:rsid w:val="005645C1"/>
    <w:rsid w:val="005645D7"/>
    <w:rsid w:val="005647F4"/>
    <w:rsid w:val="0056482A"/>
    <w:rsid w:val="00564926"/>
    <w:rsid w:val="0056494D"/>
    <w:rsid w:val="00564AA3"/>
    <w:rsid w:val="00564CF8"/>
    <w:rsid w:val="00564DB2"/>
    <w:rsid w:val="00564E36"/>
    <w:rsid w:val="005651FA"/>
    <w:rsid w:val="0056526C"/>
    <w:rsid w:val="005652E2"/>
    <w:rsid w:val="00565456"/>
    <w:rsid w:val="005659B2"/>
    <w:rsid w:val="005659BE"/>
    <w:rsid w:val="00565A75"/>
    <w:rsid w:val="00565C74"/>
    <w:rsid w:val="00565F32"/>
    <w:rsid w:val="0056604E"/>
    <w:rsid w:val="00566187"/>
    <w:rsid w:val="0056656A"/>
    <w:rsid w:val="005665C7"/>
    <w:rsid w:val="00566708"/>
    <w:rsid w:val="00566785"/>
    <w:rsid w:val="00566A27"/>
    <w:rsid w:val="00566A66"/>
    <w:rsid w:val="00566B41"/>
    <w:rsid w:val="00566FBD"/>
    <w:rsid w:val="00567048"/>
    <w:rsid w:val="00567052"/>
    <w:rsid w:val="0056722E"/>
    <w:rsid w:val="0056745A"/>
    <w:rsid w:val="005674BA"/>
    <w:rsid w:val="005675ED"/>
    <w:rsid w:val="00567808"/>
    <w:rsid w:val="0056792D"/>
    <w:rsid w:val="005679F1"/>
    <w:rsid w:val="00567A61"/>
    <w:rsid w:val="00567BBC"/>
    <w:rsid w:val="00567D63"/>
    <w:rsid w:val="00567DB5"/>
    <w:rsid w:val="00567E8B"/>
    <w:rsid w:val="00567F29"/>
    <w:rsid w:val="00567F71"/>
    <w:rsid w:val="00570007"/>
    <w:rsid w:val="005700BF"/>
    <w:rsid w:val="005700F1"/>
    <w:rsid w:val="0057020D"/>
    <w:rsid w:val="005703E9"/>
    <w:rsid w:val="00570429"/>
    <w:rsid w:val="005705AA"/>
    <w:rsid w:val="00570607"/>
    <w:rsid w:val="00570736"/>
    <w:rsid w:val="0057082B"/>
    <w:rsid w:val="005709BE"/>
    <w:rsid w:val="00570B09"/>
    <w:rsid w:val="00570C94"/>
    <w:rsid w:val="00570D13"/>
    <w:rsid w:val="00570FB7"/>
    <w:rsid w:val="00571340"/>
    <w:rsid w:val="00571390"/>
    <w:rsid w:val="00571404"/>
    <w:rsid w:val="0057140F"/>
    <w:rsid w:val="00571424"/>
    <w:rsid w:val="0057156A"/>
    <w:rsid w:val="00571761"/>
    <w:rsid w:val="00571983"/>
    <w:rsid w:val="00571B20"/>
    <w:rsid w:val="00571CB5"/>
    <w:rsid w:val="00571CC1"/>
    <w:rsid w:val="00571D37"/>
    <w:rsid w:val="00571EAB"/>
    <w:rsid w:val="00572052"/>
    <w:rsid w:val="0057225F"/>
    <w:rsid w:val="005722BB"/>
    <w:rsid w:val="005722D7"/>
    <w:rsid w:val="00572456"/>
    <w:rsid w:val="00572513"/>
    <w:rsid w:val="0057260F"/>
    <w:rsid w:val="0057261B"/>
    <w:rsid w:val="00572737"/>
    <w:rsid w:val="0057277E"/>
    <w:rsid w:val="005727D1"/>
    <w:rsid w:val="00572839"/>
    <w:rsid w:val="00572950"/>
    <w:rsid w:val="00572957"/>
    <w:rsid w:val="00572E17"/>
    <w:rsid w:val="00572EC9"/>
    <w:rsid w:val="0057306A"/>
    <w:rsid w:val="0057315D"/>
    <w:rsid w:val="00573315"/>
    <w:rsid w:val="00573536"/>
    <w:rsid w:val="0057356B"/>
    <w:rsid w:val="00573598"/>
    <w:rsid w:val="005738A6"/>
    <w:rsid w:val="005739ED"/>
    <w:rsid w:val="00573C8E"/>
    <w:rsid w:val="00573CB2"/>
    <w:rsid w:val="00573CDD"/>
    <w:rsid w:val="00573E3E"/>
    <w:rsid w:val="00573F64"/>
    <w:rsid w:val="00573FE8"/>
    <w:rsid w:val="00574032"/>
    <w:rsid w:val="0057415E"/>
    <w:rsid w:val="005743A8"/>
    <w:rsid w:val="005744AE"/>
    <w:rsid w:val="00574813"/>
    <w:rsid w:val="00574873"/>
    <w:rsid w:val="00574910"/>
    <w:rsid w:val="00574A2F"/>
    <w:rsid w:val="00574A70"/>
    <w:rsid w:val="00574D89"/>
    <w:rsid w:val="00574F33"/>
    <w:rsid w:val="005750BC"/>
    <w:rsid w:val="00575163"/>
    <w:rsid w:val="00575192"/>
    <w:rsid w:val="005751BD"/>
    <w:rsid w:val="00575230"/>
    <w:rsid w:val="0057546D"/>
    <w:rsid w:val="005756F4"/>
    <w:rsid w:val="00575749"/>
    <w:rsid w:val="0057574A"/>
    <w:rsid w:val="0057576A"/>
    <w:rsid w:val="00575C75"/>
    <w:rsid w:val="00575C78"/>
    <w:rsid w:val="00575CB0"/>
    <w:rsid w:val="00575E76"/>
    <w:rsid w:val="00575EDF"/>
    <w:rsid w:val="00575FDB"/>
    <w:rsid w:val="00576001"/>
    <w:rsid w:val="005761DA"/>
    <w:rsid w:val="00576253"/>
    <w:rsid w:val="005763C2"/>
    <w:rsid w:val="005763E2"/>
    <w:rsid w:val="0057644E"/>
    <w:rsid w:val="005764BB"/>
    <w:rsid w:val="005767B3"/>
    <w:rsid w:val="005767E4"/>
    <w:rsid w:val="005769CC"/>
    <w:rsid w:val="005769E6"/>
    <w:rsid w:val="00576B83"/>
    <w:rsid w:val="00576C18"/>
    <w:rsid w:val="00576D31"/>
    <w:rsid w:val="00576E14"/>
    <w:rsid w:val="00576FAB"/>
    <w:rsid w:val="0057717D"/>
    <w:rsid w:val="005771B4"/>
    <w:rsid w:val="00577425"/>
    <w:rsid w:val="00577468"/>
    <w:rsid w:val="00577580"/>
    <w:rsid w:val="0057787C"/>
    <w:rsid w:val="005779A9"/>
    <w:rsid w:val="00577B32"/>
    <w:rsid w:val="00577BCA"/>
    <w:rsid w:val="00577C28"/>
    <w:rsid w:val="00577D44"/>
    <w:rsid w:val="00577D5E"/>
    <w:rsid w:val="00577E12"/>
    <w:rsid w:val="00580036"/>
    <w:rsid w:val="005800FA"/>
    <w:rsid w:val="00580139"/>
    <w:rsid w:val="0058025D"/>
    <w:rsid w:val="00580605"/>
    <w:rsid w:val="00580614"/>
    <w:rsid w:val="005806B2"/>
    <w:rsid w:val="005808DB"/>
    <w:rsid w:val="00580977"/>
    <w:rsid w:val="00580EC9"/>
    <w:rsid w:val="00580F9A"/>
    <w:rsid w:val="00580F9D"/>
    <w:rsid w:val="00580FB9"/>
    <w:rsid w:val="00580FBD"/>
    <w:rsid w:val="005810E5"/>
    <w:rsid w:val="00581173"/>
    <w:rsid w:val="005811B2"/>
    <w:rsid w:val="005814CC"/>
    <w:rsid w:val="00581674"/>
    <w:rsid w:val="005816A7"/>
    <w:rsid w:val="00581803"/>
    <w:rsid w:val="00581A5A"/>
    <w:rsid w:val="00581B4C"/>
    <w:rsid w:val="00581D19"/>
    <w:rsid w:val="00581DF3"/>
    <w:rsid w:val="00582028"/>
    <w:rsid w:val="005821A2"/>
    <w:rsid w:val="00582416"/>
    <w:rsid w:val="005824D4"/>
    <w:rsid w:val="00582645"/>
    <w:rsid w:val="005826B1"/>
    <w:rsid w:val="00582714"/>
    <w:rsid w:val="00582AAC"/>
    <w:rsid w:val="00582AE2"/>
    <w:rsid w:val="00582B9F"/>
    <w:rsid w:val="00582D81"/>
    <w:rsid w:val="00582E47"/>
    <w:rsid w:val="00582ED5"/>
    <w:rsid w:val="00583023"/>
    <w:rsid w:val="005830EC"/>
    <w:rsid w:val="005831E5"/>
    <w:rsid w:val="005832AD"/>
    <w:rsid w:val="00583314"/>
    <w:rsid w:val="00583324"/>
    <w:rsid w:val="00583549"/>
    <w:rsid w:val="00583599"/>
    <w:rsid w:val="0058367D"/>
    <w:rsid w:val="00583733"/>
    <w:rsid w:val="005838BB"/>
    <w:rsid w:val="00583923"/>
    <w:rsid w:val="00584001"/>
    <w:rsid w:val="0058420C"/>
    <w:rsid w:val="00584364"/>
    <w:rsid w:val="00584638"/>
    <w:rsid w:val="005848F2"/>
    <w:rsid w:val="005849F1"/>
    <w:rsid w:val="00584A56"/>
    <w:rsid w:val="00584A70"/>
    <w:rsid w:val="00584C79"/>
    <w:rsid w:val="00584F73"/>
    <w:rsid w:val="00585098"/>
    <w:rsid w:val="00585200"/>
    <w:rsid w:val="0058524F"/>
    <w:rsid w:val="005852B3"/>
    <w:rsid w:val="00585534"/>
    <w:rsid w:val="005856B9"/>
    <w:rsid w:val="0058580D"/>
    <w:rsid w:val="0058585D"/>
    <w:rsid w:val="00585C1D"/>
    <w:rsid w:val="00585D6A"/>
    <w:rsid w:val="00585DFA"/>
    <w:rsid w:val="00585EF3"/>
    <w:rsid w:val="00585F39"/>
    <w:rsid w:val="0058603D"/>
    <w:rsid w:val="00586171"/>
    <w:rsid w:val="00586407"/>
    <w:rsid w:val="005868CB"/>
    <w:rsid w:val="00586944"/>
    <w:rsid w:val="0058697D"/>
    <w:rsid w:val="00586996"/>
    <w:rsid w:val="00586A19"/>
    <w:rsid w:val="00586AD5"/>
    <w:rsid w:val="00586B15"/>
    <w:rsid w:val="00586CBF"/>
    <w:rsid w:val="00586DF8"/>
    <w:rsid w:val="005870D2"/>
    <w:rsid w:val="0058711B"/>
    <w:rsid w:val="0058733C"/>
    <w:rsid w:val="005873CD"/>
    <w:rsid w:val="005875D9"/>
    <w:rsid w:val="00587765"/>
    <w:rsid w:val="00587A0F"/>
    <w:rsid w:val="00587C6D"/>
    <w:rsid w:val="00587CF9"/>
    <w:rsid w:val="00587F93"/>
    <w:rsid w:val="005905D9"/>
    <w:rsid w:val="0059061B"/>
    <w:rsid w:val="00590647"/>
    <w:rsid w:val="0059090E"/>
    <w:rsid w:val="00590921"/>
    <w:rsid w:val="005909AC"/>
    <w:rsid w:val="00590B3E"/>
    <w:rsid w:val="00590BC2"/>
    <w:rsid w:val="00590CF5"/>
    <w:rsid w:val="00590D99"/>
    <w:rsid w:val="00590DCB"/>
    <w:rsid w:val="00590F14"/>
    <w:rsid w:val="00590F81"/>
    <w:rsid w:val="0059178C"/>
    <w:rsid w:val="00591A94"/>
    <w:rsid w:val="00591C51"/>
    <w:rsid w:val="00591CE0"/>
    <w:rsid w:val="00591D3A"/>
    <w:rsid w:val="00591E9C"/>
    <w:rsid w:val="00591F62"/>
    <w:rsid w:val="005920E4"/>
    <w:rsid w:val="00592280"/>
    <w:rsid w:val="005922D8"/>
    <w:rsid w:val="00592391"/>
    <w:rsid w:val="005923B9"/>
    <w:rsid w:val="005924B2"/>
    <w:rsid w:val="005924E6"/>
    <w:rsid w:val="005928AF"/>
    <w:rsid w:val="005928ED"/>
    <w:rsid w:val="00592901"/>
    <w:rsid w:val="00592945"/>
    <w:rsid w:val="00592A38"/>
    <w:rsid w:val="00592B1A"/>
    <w:rsid w:val="00592B66"/>
    <w:rsid w:val="00592BD7"/>
    <w:rsid w:val="00592CEE"/>
    <w:rsid w:val="00592D7B"/>
    <w:rsid w:val="00592E25"/>
    <w:rsid w:val="00592E4E"/>
    <w:rsid w:val="00592F1E"/>
    <w:rsid w:val="00592F25"/>
    <w:rsid w:val="00592F40"/>
    <w:rsid w:val="00592F4B"/>
    <w:rsid w:val="00593021"/>
    <w:rsid w:val="00593075"/>
    <w:rsid w:val="005930D4"/>
    <w:rsid w:val="00593127"/>
    <w:rsid w:val="0059314A"/>
    <w:rsid w:val="0059338C"/>
    <w:rsid w:val="005934DC"/>
    <w:rsid w:val="005935EC"/>
    <w:rsid w:val="0059369D"/>
    <w:rsid w:val="00593A14"/>
    <w:rsid w:val="00593A4C"/>
    <w:rsid w:val="00593AE5"/>
    <w:rsid w:val="00593BCB"/>
    <w:rsid w:val="00593CBA"/>
    <w:rsid w:val="00593D89"/>
    <w:rsid w:val="00593DB4"/>
    <w:rsid w:val="00593DB8"/>
    <w:rsid w:val="00593EE3"/>
    <w:rsid w:val="0059402E"/>
    <w:rsid w:val="0059415C"/>
    <w:rsid w:val="005941AF"/>
    <w:rsid w:val="0059424A"/>
    <w:rsid w:val="00594612"/>
    <w:rsid w:val="00594655"/>
    <w:rsid w:val="005947DF"/>
    <w:rsid w:val="00594816"/>
    <w:rsid w:val="00594855"/>
    <w:rsid w:val="005948D9"/>
    <w:rsid w:val="00594AAC"/>
    <w:rsid w:val="00594B3A"/>
    <w:rsid w:val="00594B69"/>
    <w:rsid w:val="00594E96"/>
    <w:rsid w:val="00594F24"/>
    <w:rsid w:val="0059522B"/>
    <w:rsid w:val="0059524C"/>
    <w:rsid w:val="00595286"/>
    <w:rsid w:val="00595419"/>
    <w:rsid w:val="0059546F"/>
    <w:rsid w:val="0059578C"/>
    <w:rsid w:val="00595818"/>
    <w:rsid w:val="00595872"/>
    <w:rsid w:val="00595A83"/>
    <w:rsid w:val="00595AE1"/>
    <w:rsid w:val="00595C09"/>
    <w:rsid w:val="00595C30"/>
    <w:rsid w:val="00595C8B"/>
    <w:rsid w:val="00595E16"/>
    <w:rsid w:val="00595F78"/>
    <w:rsid w:val="005960A0"/>
    <w:rsid w:val="00596324"/>
    <w:rsid w:val="005964C8"/>
    <w:rsid w:val="0059654B"/>
    <w:rsid w:val="005965C9"/>
    <w:rsid w:val="005965E0"/>
    <w:rsid w:val="005967C4"/>
    <w:rsid w:val="005967D6"/>
    <w:rsid w:val="00596872"/>
    <w:rsid w:val="0059698F"/>
    <w:rsid w:val="00596AA8"/>
    <w:rsid w:val="00596ABF"/>
    <w:rsid w:val="00596B79"/>
    <w:rsid w:val="00596C1B"/>
    <w:rsid w:val="00596DEA"/>
    <w:rsid w:val="00596E0E"/>
    <w:rsid w:val="00596E15"/>
    <w:rsid w:val="00596EFE"/>
    <w:rsid w:val="00596F5A"/>
    <w:rsid w:val="00596FD4"/>
    <w:rsid w:val="005971A3"/>
    <w:rsid w:val="00597201"/>
    <w:rsid w:val="0059723C"/>
    <w:rsid w:val="00597264"/>
    <w:rsid w:val="00597273"/>
    <w:rsid w:val="005972C6"/>
    <w:rsid w:val="00597383"/>
    <w:rsid w:val="00597444"/>
    <w:rsid w:val="00597555"/>
    <w:rsid w:val="005975C3"/>
    <w:rsid w:val="00597648"/>
    <w:rsid w:val="0059767F"/>
    <w:rsid w:val="00597743"/>
    <w:rsid w:val="00597748"/>
    <w:rsid w:val="00597773"/>
    <w:rsid w:val="005977AC"/>
    <w:rsid w:val="005977F0"/>
    <w:rsid w:val="005978DA"/>
    <w:rsid w:val="0059799B"/>
    <w:rsid w:val="00597A26"/>
    <w:rsid w:val="00597A3F"/>
    <w:rsid w:val="00597A91"/>
    <w:rsid w:val="00597B1F"/>
    <w:rsid w:val="00597BFE"/>
    <w:rsid w:val="00597D9B"/>
    <w:rsid w:val="005A003E"/>
    <w:rsid w:val="005A0158"/>
    <w:rsid w:val="005A02DE"/>
    <w:rsid w:val="005A035C"/>
    <w:rsid w:val="005A0424"/>
    <w:rsid w:val="005A07A2"/>
    <w:rsid w:val="005A093D"/>
    <w:rsid w:val="005A0AD8"/>
    <w:rsid w:val="005A0C0E"/>
    <w:rsid w:val="005A0CB4"/>
    <w:rsid w:val="005A0D39"/>
    <w:rsid w:val="005A0DBF"/>
    <w:rsid w:val="005A109A"/>
    <w:rsid w:val="005A133A"/>
    <w:rsid w:val="005A148D"/>
    <w:rsid w:val="005A1493"/>
    <w:rsid w:val="005A1532"/>
    <w:rsid w:val="005A1666"/>
    <w:rsid w:val="005A1768"/>
    <w:rsid w:val="005A183D"/>
    <w:rsid w:val="005A1A72"/>
    <w:rsid w:val="005A1DB4"/>
    <w:rsid w:val="005A1ED2"/>
    <w:rsid w:val="005A2100"/>
    <w:rsid w:val="005A227E"/>
    <w:rsid w:val="005A229E"/>
    <w:rsid w:val="005A238C"/>
    <w:rsid w:val="005A2391"/>
    <w:rsid w:val="005A24D0"/>
    <w:rsid w:val="005A24FE"/>
    <w:rsid w:val="005A253E"/>
    <w:rsid w:val="005A265C"/>
    <w:rsid w:val="005A26DA"/>
    <w:rsid w:val="005A26F0"/>
    <w:rsid w:val="005A26F9"/>
    <w:rsid w:val="005A276C"/>
    <w:rsid w:val="005A2A16"/>
    <w:rsid w:val="005A2B44"/>
    <w:rsid w:val="005A2CD1"/>
    <w:rsid w:val="005A2FA5"/>
    <w:rsid w:val="005A3019"/>
    <w:rsid w:val="005A30A5"/>
    <w:rsid w:val="005A3187"/>
    <w:rsid w:val="005A3340"/>
    <w:rsid w:val="005A3510"/>
    <w:rsid w:val="005A35D5"/>
    <w:rsid w:val="005A35E6"/>
    <w:rsid w:val="005A3631"/>
    <w:rsid w:val="005A37E1"/>
    <w:rsid w:val="005A3814"/>
    <w:rsid w:val="005A39B0"/>
    <w:rsid w:val="005A3A48"/>
    <w:rsid w:val="005A3B0B"/>
    <w:rsid w:val="005A3BA1"/>
    <w:rsid w:val="005A3C43"/>
    <w:rsid w:val="005A3CCF"/>
    <w:rsid w:val="005A3DC9"/>
    <w:rsid w:val="005A3F82"/>
    <w:rsid w:val="005A3FB8"/>
    <w:rsid w:val="005A4117"/>
    <w:rsid w:val="005A42A1"/>
    <w:rsid w:val="005A44DE"/>
    <w:rsid w:val="005A4574"/>
    <w:rsid w:val="005A45CD"/>
    <w:rsid w:val="005A45FD"/>
    <w:rsid w:val="005A46C1"/>
    <w:rsid w:val="005A492F"/>
    <w:rsid w:val="005A4B04"/>
    <w:rsid w:val="005A4C1A"/>
    <w:rsid w:val="005A4DA8"/>
    <w:rsid w:val="005A4FB2"/>
    <w:rsid w:val="005A504A"/>
    <w:rsid w:val="005A506A"/>
    <w:rsid w:val="005A53D7"/>
    <w:rsid w:val="005A5474"/>
    <w:rsid w:val="005A57EF"/>
    <w:rsid w:val="005A5946"/>
    <w:rsid w:val="005A5A51"/>
    <w:rsid w:val="005A5A8A"/>
    <w:rsid w:val="005A5AE2"/>
    <w:rsid w:val="005A5B38"/>
    <w:rsid w:val="005A5B75"/>
    <w:rsid w:val="005A5BCF"/>
    <w:rsid w:val="005A5CF6"/>
    <w:rsid w:val="005A5D24"/>
    <w:rsid w:val="005A5EC2"/>
    <w:rsid w:val="005A6034"/>
    <w:rsid w:val="005A605F"/>
    <w:rsid w:val="005A608B"/>
    <w:rsid w:val="005A6530"/>
    <w:rsid w:val="005A6586"/>
    <w:rsid w:val="005A6641"/>
    <w:rsid w:val="005A6824"/>
    <w:rsid w:val="005A685B"/>
    <w:rsid w:val="005A68CC"/>
    <w:rsid w:val="005A692A"/>
    <w:rsid w:val="005A69F8"/>
    <w:rsid w:val="005A6A65"/>
    <w:rsid w:val="005A6C6D"/>
    <w:rsid w:val="005A6C7C"/>
    <w:rsid w:val="005A6D2C"/>
    <w:rsid w:val="005A6F33"/>
    <w:rsid w:val="005A6F42"/>
    <w:rsid w:val="005A6F48"/>
    <w:rsid w:val="005A6FCE"/>
    <w:rsid w:val="005A7081"/>
    <w:rsid w:val="005A72C8"/>
    <w:rsid w:val="005A7338"/>
    <w:rsid w:val="005A74D7"/>
    <w:rsid w:val="005A76CD"/>
    <w:rsid w:val="005A77D0"/>
    <w:rsid w:val="005A78D8"/>
    <w:rsid w:val="005A795D"/>
    <w:rsid w:val="005A7A7D"/>
    <w:rsid w:val="005A7AD6"/>
    <w:rsid w:val="005A7B46"/>
    <w:rsid w:val="005A7B71"/>
    <w:rsid w:val="005A7C27"/>
    <w:rsid w:val="005A7FCA"/>
    <w:rsid w:val="005B004F"/>
    <w:rsid w:val="005B0310"/>
    <w:rsid w:val="005B03CB"/>
    <w:rsid w:val="005B043B"/>
    <w:rsid w:val="005B06A5"/>
    <w:rsid w:val="005B07F7"/>
    <w:rsid w:val="005B0868"/>
    <w:rsid w:val="005B0AE3"/>
    <w:rsid w:val="005B0B65"/>
    <w:rsid w:val="005B0BC3"/>
    <w:rsid w:val="005B0C86"/>
    <w:rsid w:val="005B0E73"/>
    <w:rsid w:val="005B0FC9"/>
    <w:rsid w:val="005B1130"/>
    <w:rsid w:val="005B131B"/>
    <w:rsid w:val="005B1402"/>
    <w:rsid w:val="005B1469"/>
    <w:rsid w:val="005B14DF"/>
    <w:rsid w:val="005B156D"/>
    <w:rsid w:val="005B177F"/>
    <w:rsid w:val="005B1C61"/>
    <w:rsid w:val="005B1E02"/>
    <w:rsid w:val="005B1FF1"/>
    <w:rsid w:val="005B217B"/>
    <w:rsid w:val="005B24FF"/>
    <w:rsid w:val="005B2645"/>
    <w:rsid w:val="005B289E"/>
    <w:rsid w:val="005B2B3B"/>
    <w:rsid w:val="005B2D39"/>
    <w:rsid w:val="005B2F86"/>
    <w:rsid w:val="005B3073"/>
    <w:rsid w:val="005B3281"/>
    <w:rsid w:val="005B3360"/>
    <w:rsid w:val="005B33A3"/>
    <w:rsid w:val="005B33E0"/>
    <w:rsid w:val="005B3428"/>
    <w:rsid w:val="005B34FC"/>
    <w:rsid w:val="005B369B"/>
    <w:rsid w:val="005B38B7"/>
    <w:rsid w:val="005B3ACA"/>
    <w:rsid w:val="005B3ACB"/>
    <w:rsid w:val="005B3C53"/>
    <w:rsid w:val="005B3D2B"/>
    <w:rsid w:val="005B3D99"/>
    <w:rsid w:val="005B3EB4"/>
    <w:rsid w:val="005B3F86"/>
    <w:rsid w:val="005B41A2"/>
    <w:rsid w:val="005B41C1"/>
    <w:rsid w:val="005B4262"/>
    <w:rsid w:val="005B431C"/>
    <w:rsid w:val="005B43C3"/>
    <w:rsid w:val="005B43C9"/>
    <w:rsid w:val="005B43CD"/>
    <w:rsid w:val="005B43F0"/>
    <w:rsid w:val="005B4494"/>
    <w:rsid w:val="005B4609"/>
    <w:rsid w:val="005B4755"/>
    <w:rsid w:val="005B476E"/>
    <w:rsid w:val="005B496A"/>
    <w:rsid w:val="005B4B11"/>
    <w:rsid w:val="005B4D50"/>
    <w:rsid w:val="005B4D57"/>
    <w:rsid w:val="005B4FD8"/>
    <w:rsid w:val="005B4FE4"/>
    <w:rsid w:val="005B50A5"/>
    <w:rsid w:val="005B50F0"/>
    <w:rsid w:val="005B5321"/>
    <w:rsid w:val="005B55C2"/>
    <w:rsid w:val="005B5610"/>
    <w:rsid w:val="005B5687"/>
    <w:rsid w:val="005B5834"/>
    <w:rsid w:val="005B58E5"/>
    <w:rsid w:val="005B59AF"/>
    <w:rsid w:val="005B5ADA"/>
    <w:rsid w:val="005B5B05"/>
    <w:rsid w:val="005B5BAD"/>
    <w:rsid w:val="005B5BB2"/>
    <w:rsid w:val="005B5EEE"/>
    <w:rsid w:val="005B6108"/>
    <w:rsid w:val="005B647A"/>
    <w:rsid w:val="005B65B2"/>
    <w:rsid w:val="005B66A1"/>
    <w:rsid w:val="005B6739"/>
    <w:rsid w:val="005B6751"/>
    <w:rsid w:val="005B6966"/>
    <w:rsid w:val="005B6A6E"/>
    <w:rsid w:val="005B6B39"/>
    <w:rsid w:val="005B6B6A"/>
    <w:rsid w:val="005B6B8C"/>
    <w:rsid w:val="005B6F38"/>
    <w:rsid w:val="005B6FEB"/>
    <w:rsid w:val="005B7213"/>
    <w:rsid w:val="005B72CF"/>
    <w:rsid w:val="005B72D2"/>
    <w:rsid w:val="005B730F"/>
    <w:rsid w:val="005B733C"/>
    <w:rsid w:val="005B7357"/>
    <w:rsid w:val="005B75B1"/>
    <w:rsid w:val="005B7747"/>
    <w:rsid w:val="005B78CF"/>
    <w:rsid w:val="005B79B3"/>
    <w:rsid w:val="005B7B23"/>
    <w:rsid w:val="005B7B4F"/>
    <w:rsid w:val="005B7BAF"/>
    <w:rsid w:val="005B7C30"/>
    <w:rsid w:val="005B7C89"/>
    <w:rsid w:val="005B7C99"/>
    <w:rsid w:val="005B7D4E"/>
    <w:rsid w:val="005B7E46"/>
    <w:rsid w:val="005B7E7A"/>
    <w:rsid w:val="005B7F32"/>
    <w:rsid w:val="005C0236"/>
    <w:rsid w:val="005C02AE"/>
    <w:rsid w:val="005C0352"/>
    <w:rsid w:val="005C04BA"/>
    <w:rsid w:val="005C05FE"/>
    <w:rsid w:val="005C0739"/>
    <w:rsid w:val="005C0998"/>
    <w:rsid w:val="005C0A7B"/>
    <w:rsid w:val="005C0C15"/>
    <w:rsid w:val="005C0D2E"/>
    <w:rsid w:val="005C0DB1"/>
    <w:rsid w:val="005C0DBB"/>
    <w:rsid w:val="005C1022"/>
    <w:rsid w:val="005C10F2"/>
    <w:rsid w:val="005C121F"/>
    <w:rsid w:val="005C12CF"/>
    <w:rsid w:val="005C130C"/>
    <w:rsid w:val="005C1466"/>
    <w:rsid w:val="005C14E9"/>
    <w:rsid w:val="005C170B"/>
    <w:rsid w:val="005C176B"/>
    <w:rsid w:val="005C1847"/>
    <w:rsid w:val="005C1A31"/>
    <w:rsid w:val="005C1BBC"/>
    <w:rsid w:val="005C1C08"/>
    <w:rsid w:val="005C1C50"/>
    <w:rsid w:val="005C1DCF"/>
    <w:rsid w:val="005C1E4C"/>
    <w:rsid w:val="005C1FC6"/>
    <w:rsid w:val="005C2092"/>
    <w:rsid w:val="005C23CF"/>
    <w:rsid w:val="005C24CD"/>
    <w:rsid w:val="005C2518"/>
    <w:rsid w:val="005C2948"/>
    <w:rsid w:val="005C2A60"/>
    <w:rsid w:val="005C2B00"/>
    <w:rsid w:val="005C2B73"/>
    <w:rsid w:val="005C2B94"/>
    <w:rsid w:val="005C2DAC"/>
    <w:rsid w:val="005C2DC6"/>
    <w:rsid w:val="005C2E28"/>
    <w:rsid w:val="005C317D"/>
    <w:rsid w:val="005C3317"/>
    <w:rsid w:val="005C344F"/>
    <w:rsid w:val="005C35B8"/>
    <w:rsid w:val="005C35BC"/>
    <w:rsid w:val="005C36E7"/>
    <w:rsid w:val="005C399F"/>
    <w:rsid w:val="005C3A85"/>
    <w:rsid w:val="005C3AFE"/>
    <w:rsid w:val="005C3B68"/>
    <w:rsid w:val="005C3C1B"/>
    <w:rsid w:val="005C3D44"/>
    <w:rsid w:val="005C3EC2"/>
    <w:rsid w:val="005C3EC8"/>
    <w:rsid w:val="005C3EDA"/>
    <w:rsid w:val="005C3F60"/>
    <w:rsid w:val="005C3FD1"/>
    <w:rsid w:val="005C3FFB"/>
    <w:rsid w:val="005C4010"/>
    <w:rsid w:val="005C427D"/>
    <w:rsid w:val="005C42B4"/>
    <w:rsid w:val="005C4390"/>
    <w:rsid w:val="005C444B"/>
    <w:rsid w:val="005C44CD"/>
    <w:rsid w:val="005C4513"/>
    <w:rsid w:val="005C4593"/>
    <w:rsid w:val="005C4733"/>
    <w:rsid w:val="005C4843"/>
    <w:rsid w:val="005C4991"/>
    <w:rsid w:val="005C4BB8"/>
    <w:rsid w:val="005C4C85"/>
    <w:rsid w:val="005C4CAD"/>
    <w:rsid w:val="005C4D7A"/>
    <w:rsid w:val="005C4EDF"/>
    <w:rsid w:val="005C4F8F"/>
    <w:rsid w:val="005C5013"/>
    <w:rsid w:val="005C51CB"/>
    <w:rsid w:val="005C52D6"/>
    <w:rsid w:val="005C52D7"/>
    <w:rsid w:val="005C546D"/>
    <w:rsid w:val="005C553D"/>
    <w:rsid w:val="005C561A"/>
    <w:rsid w:val="005C5855"/>
    <w:rsid w:val="005C58AF"/>
    <w:rsid w:val="005C5B87"/>
    <w:rsid w:val="005C5C8B"/>
    <w:rsid w:val="005C5E9D"/>
    <w:rsid w:val="005C6020"/>
    <w:rsid w:val="005C61B1"/>
    <w:rsid w:val="005C63CC"/>
    <w:rsid w:val="005C655D"/>
    <w:rsid w:val="005C660D"/>
    <w:rsid w:val="005C67B1"/>
    <w:rsid w:val="005C67CD"/>
    <w:rsid w:val="005C6875"/>
    <w:rsid w:val="005C6A7F"/>
    <w:rsid w:val="005C6C14"/>
    <w:rsid w:val="005C6D62"/>
    <w:rsid w:val="005C6FE6"/>
    <w:rsid w:val="005C7137"/>
    <w:rsid w:val="005C7306"/>
    <w:rsid w:val="005C74F2"/>
    <w:rsid w:val="005C7684"/>
    <w:rsid w:val="005C76AA"/>
    <w:rsid w:val="005C7718"/>
    <w:rsid w:val="005C773F"/>
    <w:rsid w:val="005C79A1"/>
    <w:rsid w:val="005C7A41"/>
    <w:rsid w:val="005C7A61"/>
    <w:rsid w:val="005C7E9C"/>
    <w:rsid w:val="005C7EC8"/>
    <w:rsid w:val="005C7F68"/>
    <w:rsid w:val="005D008D"/>
    <w:rsid w:val="005D0403"/>
    <w:rsid w:val="005D049A"/>
    <w:rsid w:val="005D054F"/>
    <w:rsid w:val="005D05A1"/>
    <w:rsid w:val="005D0786"/>
    <w:rsid w:val="005D097D"/>
    <w:rsid w:val="005D0B88"/>
    <w:rsid w:val="005D0BB6"/>
    <w:rsid w:val="005D0C01"/>
    <w:rsid w:val="005D0CE4"/>
    <w:rsid w:val="005D0D73"/>
    <w:rsid w:val="005D0F9A"/>
    <w:rsid w:val="005D10F2"/>
    <w:rsid w:val="005D1275"/>
    <w:rsid w:val="005D1284"/>
    <w:rsid w:val="005D12D4"/>
    <w:rsid w:val="005D1556"/>
    <w:rsid w:val="005D1568"/>
    <w:rsid w:val="005D15E0"/>
    <w:rsid w:val="005D1801"/>
    <w:rsid w:val="005D1853"/>
    <w:rsid w:val="005D18AB"/>
    <w:rsid w:val="005D18B4"/>
    <w:rsid w:val="005D19FD"/>
    <w:rsid w:val="005D1B63"/>
    <w:rsid w:val="005D1B84"/>
    <w:rsid w:val="005D1BD9"/>
    <w:rsid w:val="005D1D6D"/>
    <w:rsid w:val="005D1D82"/>
    <w:rsid w:val="005D1D84"/>
    <w:rsid w:val="005D1EE5"/>
    <w:rsid w:val="005D20EB"/>
    <w:rsid w:val="005D20EC"/>
    <w:rsid w:val="005D214A"/>
    <w:rsid w:val="005D215A"/>
    <w:rsid w:val="005D23B2"/>
    <w:rsid w:val="005D247E"/>
    <w:rsid w:val="005D2611"/>
    <w:rsid w:val="005D279C"/>
    <w:rsid w:val="005D2A11"/>
    <w:rsid w:val="005D2EF1"/>
    <w:rsid w:val="005D3056"/>
    <w:rsid w:val="005D31B2"/>
    <w:rsid w:val="005D33DB"/>
    <w:rsid w:val="005D359F"/>
    <w:rsid w:val="005D3632"/>
    <w:rsid w:val="005D3654"/>
    <w:rsid w:val="005D37D1"/>
    <w:rsid w:val="005D3802"/>
    <w:rsid w:val="005D384F"/>
    <w:rsid w:val="005D39E1"/>
    <w:rsid w:val="005D39EB"/>
    <w:rsid w:val="005D3B0D"/>
    <w:rsid w:val="005D3C6E"/>
    <w:rsid w:val="005D3D19"/>
    <w:rsid w:val="005D3DF9"/>
    <w:rsid w:val="005D3ECC"/>
    <w:rsid w:val="005D3FB4"/>
    <w:rsid w:val="005D425B"/>
    <w:rsid w:val="005D42AF"/>
    <w:rsid w:val="005D42C9"/>
    <w:rsid w:val="005D441A"/>
    <w:rsid w:val="005D44D0"/>
    <w:rsid w:val="005D48CF"/>
    <w:rsid w:val="005D4A6B"/>
    <w:rsid w:val="005D4AF0"/>
    <w:rsid w:val="005D4D3C"/>
    <w:rsid w:val="005D5091"/>
    <w:rsid w:val="005D519B"/>
    <w:rsid w:val="005D5259"/>
    <w:rsid w:val="005D53A5"/>
    <w:rsid w:val="005D54C3"/>
    <w:rsid w:val="005D5507"/>
    <w:rsid w:val="005D5621"/>
    <w:rsid w:val="005D5844"/>
    <w:rsid w:val="005D588A"/>
    <w:rsid w:val="005D5973"/>
    <w:rsid w:val="005D5AB3"/>
    <w:rsid w:val="005D5B29"/>
    <w:rsid w:val="005D5B8F"/>
    <w:rsid w:val="005D5BC3"/>
    <w:rsid w:val="005D5C1B"/>
    <w:rsid w:val="005D5C53"/>
    <w:rsid w:val="005D5D45"/>
    <w:rsid w:val="005D5EF9"/>
    <w:rsid w:val="005D5EFE"/>
    <w:rsid w:val="005D5FB3"/>
    <w:rsid w:val="005D602F"/>
    <w:rsid w:val="005D6107"/>
    <w:rsid w:val="005D61A3"/>
    <w:rsid w:val="005D6219"/>
    <w:rsid w:val="005D6452"/>
    <w:rsid w:val="005D68B1"/>
    <w:rsid w:val="005D6ACD"/>
    <w:rsid w:val="005D6AE7"/>
    <w:rsid w:val="005D6DF1"/>
    <w:rsid w:val="005D6FA2"/>
    <w:rsid w:val="005D7061"/>
    <w:rsid w:val="005D715F"/>
    <w:rsid w:val="005D71A2"/>
    <w:rsid w:val="005D7284"/>
    <w:rsid w:val="005D74C6"/>
    <w:rsid w:val="005D7634"/>
    <w:rsid w:val="005D7688"/>
    <w:rsid w:val="005D7714"/>
    <w:rsid w:val="005D79B3"/>
    <w:rsid w:val="005D7BA5"/>
    <w:rsid w:val="005D7D61"/>
    <w:rsid w:val="005E032E"/>
    <w:rsid w:val="005E040A"/>
    <w:rsid w:val="005E054A"/>
    <w:rsid w:val="005E0661"/>
    <w:rsid w:val="005E0AD7"/>
    <w:rsid w:val="005E0C95"/>
    <w:rsid w:val="005E0D0A"/>
    <w:rsid w:val="005E0D55"/>
    <w:rsid w:val="005E0E5E"/>
    <w:rsid w:val="005E0EAB"/>
    <w:rsid w:val="005E0F79"/>
    <w:rsid w:val="005E0F84"/>
    <w:rsid w:val="005E1030"/>
    <w:rsid w:val="005E1354"/>
    <w:rsid w:val="005E1519"/>
    <w:rsid w:val="005E15A5"/>
    <w:rsid w:val="005E166D"/>
    <w:rsid w:val="005E1A21"/>
    <w:rsid w:val="005E1EC0"/>
    <w:rsid w:val="005E1EFD"/>
    <w:rsid w:val="005E1F19"/>
    <w:rsid w:val="005E1F7F"/>
    <w:rsid w:val="005E2065"/>
    <w:rsid w:val="005E2086"/>
    <w:rsid w:val="005E214A"/>
    <w:rsid w:val="005E24B1"/>
    <w:rsid w:val="005E25BC"/>
    <w:rsid w:val="005E2699"/>
    <w:rsid w:val="005E26E0"/>
    <w:rsid w:val="005E2723"/>
    <w:rsid w:val="005E28C7"/>
    <w:rsid w:val="005E28F4"/>
    <w:rsid w:val="005E296A"/>
    <w:rsid w:val="005E2A56"/>
    <w:rsid w:val="005E2A6C"/>
    <w:rsid w:val="005E2B83"/>
    <w:rsid w:val="005E2C7B"/>
    <w:rsid w:val="005E2CFE"/>
    <w:rsid w:val="005E2F74"/>
    <w:rsid w:val="005E30B2"/>
    <w:rsid w:val="005E30F9"/>
    <w:rsid w:val="005E315A"/>
    <w:rsid w:val="005E3627"/>
    <w:rsid w:val="005E3665"/>
    <w:rsid w:val="005E3713"/>
    <w:rsid w:val="005E3897"/>
    <w:rsid w:val="005E3A00"/>
    <w:rsid w:val="005E3A89"/>
    <w:rsid w:val="005E3AE3"/>
    <w:rsid w:val="005E3B12"/>
    <w:rsid w:val="005E3BD5"/>
    <w:rsid w:val="005E3DCF"/>
    <w:rsid w:val="005E3DE2"/>
    <w:rsid w:val="005E3E76"/>
    <w:rsid w:val="005E3F6B"/>
    <w:rsid w:val="005E405A"/>
    <w:rsid w:val="005E40BB"/>
    <w:rsid w:val="005E40C5"/>
    <w:rsid w:val="005E4210"/>
    <w:rsid w:val="005E43FA"/>
    <w:rsid w:val="005E4496"/>
    <w:rsid w:val="005E4659"/>
    <w:rsid w:val="005E4697"/>
    <w:rsid w:val="005E4821"/>
    <w:rsid w:val="005E49CD"/>
    <w:rsid w:val="005E4A34"/>
    <w:rsid w:val="005E4A81"/>
    <w:rsid w:val="005E4A94"/>
    <w:rsid w:val="005E4AD1"/>
    <w:rsid w:val="005E4B96"/>
    <w:rsid w:val="005E4D66"/>
    <w:rsid w:val="005E4DC1"/>
    <w:rsid w:val="005E500C"/>
    <w:rsid w:val="005E508E"/>
    <w:rsid w:val="005E5163"/>
    <w:rsid w:val="005E5550"/>
    <w:rsid w:val="005E559F"/>
    <w:rsid w:val="005E5867"/>
    <w:rsid w:val="005E58C6"/>
    <w:rsid w:val="005E5991"/>
    <w:rsid w:val="005E59DA"/>
    <w:rsid w:val="005E5A8B"/>
    <w:rsid w:val="005E5BCA"/>
    <w:rsid w:val="005E5E9B"/>
    <w:rsid w:val="005E60EC"/>
    <w:rsid w:val="005E62F2"/>
    <w:rsid w:val="005E6556"/>
    <w:rsid w:val="005E65F5"/>
    <w:rsid w:val="005E66C6"/>
    <w:rsid w:val="005E69B8"/>
    <w:rsid w:val="005E6A43"/>
    <w:rsid w:val="005E6BDC"/>
    <w:rsid w:val="005E6BE5"/>
    <w:rsid w:val="005E6C07"/>
    <w:rsid w:val="005E6D49"/>
    <w:rsid w:val="005E70A7"/>
    <w:rsid w:val="005E70F3"/>
    <w:rsid w:val="005E71F9"/>
    <w:rsid w:val="005E721D"/>
    <w:rsid w:val="005E73C3"/>
    <w:rsid w:val="005E7425"/>
    <w:rsid w:val="005E745E"/>
    <w:rsid w:val="005E7577"/>
    <w:rsid w:val="005E7640"/>
    <w:rsid w:val="005E766B"/>
    <w:rsid w:val="005E7679"/>
    <w:rsid w:val="005E770B"/>
    <w:rsid w:val="005E79DA"/>
    <w:rsid w:val="005E7A62"/>
    <w:rsid w:val="005E7ABD"/>
    <w:rsid w:val="005E7B5D"/>
    <w:rsid w:val="005E7B8D"/>
    <w:rsid w:val="005E7BBA"/>
    <w:rsid w:val="005E7CB7"/>
    <w:rsid w:val="005E7CE4"/>
    <w:rsid w:val="005E7E02"/>
    <w:rsid w:val="005F0053"/>
    <w:rsid w:val="005F0114"/>
    <w:rsid w:val="005F0299"/>
    <w:rsid w:val="005F065B"/>
    <w:rsid w:val="005F0708"/>
    <w:rsid w:val="005F0795"/>
    <w:rsid w:val="005F08D5"/>
    <w:rsid w:val="005F0A84"/>
    <w:rsid w:val="005F0B56"/>
    <w:rsid w:val="005F0EBB"/>
    <w:rsid w:val="005F0F7C"/>
    <w:rsid w:val="005F1123"/>
    <w:rsid w:val="005F125A"/>
    <w:rsid w:val="005F168A"/>
    <w:rsid w:val="005F18DB"/>
    <w:rsid w:val="005F1ADD"/>
    <w:rsid w:val="005F1C09"/>
    <w:rsid w:val="005F1DB1"/>
    <w:rsid w:val="005F1E1A"/>
    <w:rsid w:val="005F2045"/>
    <w:rsid w:val="005F20AA"/>
    <w:rsid w:val="005F20CE"/>
    <w:rsid w:val="005F21D3"/>
    <w:rsid w:val="005F2208"/>
    <w:rsid w:val="005F2360"/>
    <w:rsid w:val="005F23BF"/>
    <w:rsid w:val="005F24B6"/>
    <w:rsid w:val="005F268D"/>
    <w:rsid w:val="005F28A8"/>
    <w:rsid w:val="005F2C58"/>
    <w:rsid w:val="005F2C59"/>
    <w:rsid w:val="005F2C64"/>
    <w:rsid w:val="005F2DDE"/>
    <w:rsid w:val="005F2E4A"/>
    <w:rsid w:val="005F3124"/>
    <w:rsid w:val="005F3224"/>
    <w:rsid w:val="005F333F"/>
    <w:rsid w:val="005F3452"/>
    <w:rsid w:val="005F3461"/>
    <w:rsid w:val="005F3478"/>
    <w:rsid w:val="005F362E"/>
    <w:rsid w:val="005F366F"/>
    <w:rsid w:val="005F3761"/>
    <w:rsid w:val="005F38F1"/>
    <w:rsid w:val="005F39F7"/>
    <w:rsid w:val="005F3EA9"/>
    <w:rsid w:val="005F3F82"/>
    <w:rsid w:val="005F3FDF"/>
    <w:rsid w:val="005F4280"/>
    <w:rsid w:val="005F4354"/>
    <w:rsid w:val="005F479D"/>
    <w:rsid w:val="005F495E"/>
    <w:rsid w:val="005F498C"/>
    <w:rsid w:val="005F49D7"/>
    <w:rsid w:val="005F4C3C"/>
    <w:rsid w:val="005F4EB7"/>
    <w:rsid w:val="005F4F47"/>
    <w:rsid w:val="005F4F77"/>
    <w:rsid w:val="005F50AC"/>
    <w:rsid w:val="005F5349"/>
    <w:rsid w:val="005F567D"/>
    <w:rsid w:val="005F5694"/>
    <w:rsid w:val="005F56C6"/>
    <w:rsid w:val="005F5747"/>
    <w:rsid w:val="005F5A24"/>
    <w:rsid w:val="005F5A9B"/>
    <w:rsid w:val="005F5AFC"/>
    <w:rsid w:val="005F5B1C"/>
    <w:rsid w:val="005F5D04"/>
    <w:rsid w:val="005F5DBD"/>
    <w:rsid w:val="005F5E02"/>
    <w:rsid w:val="005F5E9F"/>
    <w:rsid w:val="005F606D"/>
    <w:rsid w:val="005F6239"/>
    <w:rsid w:val="005F625C"/>
    <w:rsid w:val="005F643D"/>
    <w:rsid w:val="005F6666"/>
    <w:rsid w:val="005F66CF"/>
    <w:rsid w:val="005F678E"/>
    <w:rsid w:val="005F693B"/>
    <w:rsid w:val="005F6A5D"/>
    <w:rsid w:val="005F6D28"/>
    <w:rsid w:val="005F6F0F"/>
    <w:rsid w:val="005F703A"/>
    <w:rsid w:val="005F705D"/>
    <w:rsid w:val="005F70AF"/>
    <w:rsid w:val="005F7145"/>
    <w:rsid w:val="005F7263"/>
    <w:rsid w:val="005F7275"/>
    <w:rsid w:val="005F736F"/>
    <w:rsid w:val="005F7444"/>
    <w:rsid w:val="005F756F"/>
    <w:rsid w:val="005F77D9"/>
    <w:rsid w:val="005F78E5"/>
    <w:rsid w:val="005F790C"/>
    <w:rsid w:val="005F7D53"/>
    <w:rsid w:val="005F7D63"/>
    <w:rsid w:val="005F7F7F"/>
    <w:rsid w:val="006000F0"/>
    <w:rsid w:val="0060021F"/>
    <w:rsid w:val="00600297"/>
    <w:rsid w:val="0060038E"/>
    <w:rsid w:val="006004D4"/>
    <w:rsid w:val="00600577"/>
    <w:rsid w:val="006009B3"/>
    <w:rsid w:val="00600BE0"/>
    <w:rsid w:val="00600C13"/>
    <w:rsid w:val="00600C72"/>
    <w:rsid w:val="00600DA1"/>
    <w:rsid w:val="00600E73"/>
    <w:rsid w:val="0060122C"/>
    <w:rsid w:val="00601505"/>
    <w:rsid w:val="00601720"/>
    <w:rsid w:val="00601826"/>
    <w:rsid w:val="00601A33"/>
    <w:rsid w:val="00601C80"/>
    <w:rsid w:val="00601D09"/>
    <w:rsid w:val="00601D75"/>
    <w:rsid w:val="00601DFF"/>
    <w:rsid w:val="0060211D"/>
    <w:rsid w:val="00602178"/>
    <w:rsid w:val="006021E4"/>
    <w:rsid w:val="00602243"/>
    <w:rsid w:val="006023E3"/>
    <w:rsid w:val="0060245B"/>
    <w:rsid w:val="006024D2"/>
    <w:rsid w:val="00602544"/>
    <w:rsid w:val="0060259F"/>
    <w:rsid w:val="0060284C"/>
    <w:rsid w:val="0060289F"/>
    <w:rsid w:val="006028E7"/>
    <w:rsid w:val="00602A0C"/>
    <w:rsid w:val="00602C79"/>
    <w:rsid w:val="00602EBB"/>
    <w:rsid w:val="006030B4"/>
    <w:rsid w:val="006030C0"/>
    <w:rsid w:val="00603183"/>
    <w:rsid w:val="006031A5"/>
    <w:rsid w:val="006032A9"/>
    <w:rsid w:val="006032EB"/>
    <w:rsid w:val="00603474"/>
    <w:rsid w:val="006036D7"/>
    <w:rsid w:val="00603736"/>
    <w:rsid w:val="006039F2"/>
    <w:rsid w:val="00603AEB"/>
    <w:rsid w:val="00603D60"/>
    <w:rsid w:val="00603DB0"/>
    <w:rsid w:val="00603E88"/>
    <w:rsid w:val="00603ED2"/>
    <w:rsid w:val="00603F7C"/>
    <w:rsid w:val="00603FAB"/>
    <w:rsid w:val="00603FEF"/>
    <w:rsid w:val="0060408B"/>
    <w:rsid w:val="00604106"/>
    <w:rsid w:val="006041E0"/>
    <w:rsid w:val="006042C8"/>
    <w:rsid w:val="0060448F"/>
    <w:rsid w:val="006045F7"/>
    <w:rsid w:val="00604664"/>
    <w:rsid w:val="006046B4"/>
    <w:rsid w:val="006046F1"/>
    <w:rsid w:val="0060488E"/>
    <w:rsid w:val="00604B7B"/>
    <w:rsid w:val="00604D29"/>
    <w:rsid w:val="00604F78"/>
    <w:rsid w:val="00604FF2"/>
    <w:rsid w:val="00604FF4"/>
    <w:rsid w:val="0060505B"/>
    <w:rsid w:val="00605287"/>
    <w:rsid w:val="0060532F"/>
    <w:rsid w:val="006053CB"/>
    <w:rsid w:val="006054B6"/>
    <w:rsid w:val="0060572B"/>
    <w:rsid w:val="0060599A"/>
    <w:rsid w:val="00605A11"/>
    <w:rsid w:val="00605A15"/>
    <w:rsid w:val="00605ABB"/>
    <w:rsid w:val="00605C40"/>
    <w:rsid w:val="00605D74"/>
    <w:rsid w:val="00605E7C"/>
    <w:rsid w:val="00606007"/>
    <w:rsid w:val="00606052"/>
    <w:rsid w:val="006062B0"/>
    <w:rsid w:val="006063BF"/>
    <w:rsid w:val="006064DC"/>
    <w:rsid w:val="0060651A"/>
    <w:rsid w:val="00606558"/>
    <w:rsid w:val="00606730"/>
    <w:rsid w:val="006067EC"/>
    <w:rsid w:val="00606801"/>
    <w:rsid w:val="00606823"/>
    <w:rsid w:val="00606840"/>
    <w:rsid w:val="00606934"/>
    <w:rsid w:val="00606BED"/>
    <w:rsid w:val="00607049"/>
    <w:rsid w:val="00607102"/>
    <w:rsid w:val="00607310"/>
    <w:rsid w:val="006075AE"/>
    <w:rsid w:val="0060765E"/>
    <w:rsid w:val="006077AE"/>
    <w:rsid w:val="00607C08"/>
    <w:rsid w:val="00607C3D"/>
    <w:rsid w:val="00607CFE"/>
    <w:rsid w:val="00607D07"/>
    <w:rsid w:val="00607E8D"/>
    <w:rsid w:val="00610745"/>
    <w:rsid w:val="0061081A"/>
    <w:rsid w:val="00610837"/>
    <w:rsid w:val="00610838"/>
    <w:rsid w:val="00610A57"/>
    <w:rsid w:val="00610BFF"/>
    <w:rsid w:val="00611240"/>
    <w:rsid w:val="006112A9"/>
    <w:rsid w:val="006113EF"/>
    <w:rsid w:val="00611426"/>
    <w:rsid w:val="00611460"/>
    <w:rsid w:val="00611488"/>
    <w:rsid w:val="006117B3"/>
    <w:rsid w:val="00611823"/>
    <w:rsid w:val="00611922"/>
    <w:rsid w:val="00611B03"/>
    <w:rsid w:val="00611EA1"/>
    <w:rsid w:val="00611ED8"/>
    <w:rsid w:val="00611EE4"/>
    <w:rsid w:val="00611EF6"/>
    <w:rsid w:val="00611F7C"/>
    <w:rsid w:val="006122F9"/>
    <w:rsid w:val="006123BB"/>
    <w:rsid w:val="0061261C"/>
    <w:rsid w:val="00612820"/>
    <w:rsid w:val="006129E6"/>
    <w:rsid w:val="00612AD5"/>
    <w:rsid w:val="00612D34"/>
    <w:rsid w:val="00612E13"/>
    <w:rsid w:val="00612E4B"/>
    <w:rsid w:val="00613091"/>
    <w:rsid w:val="0061314F"/>
    <w:rsid w:val="0061317E"/>
    <w:rsid w:val="00613449"/>
    <w:rsid w:val="00613468"/>
    <w:rsid w:val="0061363E"/>
    <w:rsid w:val="00613688"/>
    <w:rsid w:val="006139CD"/>
    <w:rsid w:val="00613B06"/>
    <w:rsid w:val="00613C32"/>
    <w:rsid w:val="00613D63"/>
    <w:rsid w:val="006141D7"/>
    <w:rsid w:val="006142EE"/>
    <w:rsid w:val="0061435E"/>
    <w:rsid w:val="00614482"/>
    <w:rsid w:val="006144A2"/>
    <w:rsid w:val="006144EB"/>
    <w:rsid w:val="00614505"/>
    <w:rsid w:val="00614525"/>
    <w:rsid w:val="0061464F"/>
    <w:rsid w:val="00614733"/>
    <w:rsid w:val="00614A5B"/>
    <w:rsid w:val="00614AFC"/>
    <w:rsid w:val="00614C35"/>
    <w:rsid w:val="00614EA6"/>
    <w:rsid w:val="00614F6D"/>
    <w:rsid w:val="00614F90"/>
    <w:rsid w:val="0061522E"/>
    <w:rsid w:val="00615286"/>
    <w:rsid w:val="006153AB"/>
    <w:rsid w:val="00615498"/>
    <w:rsid w:val="0061549F"/>
    <w:rsid w:val="00615517"/>
    <w:rsid w:val="00615539"/>
    <w:rsid w:val="006155E2"/>
    <w:rsid w:val="00615709"/>
    <w:rsid w:val="00615C97"/>
    <w:rsid w:val="00615EAF"/>
    <w:rsid w:val="00615F7F"/>
    <w:rsid w:val="00615FB5"/>
    <w:rsid w:val="006162EB"/>
    <w:rsid w:val="00616300"/>
    <w:rsid w:val="006163B1"/>
    <w:rsid w:val="006166AF"/>
    <w:rsid w:val="00616803"/>
    <w:rsid w:val="006168FB"/>
    <w:rsid w:val="00616A52"/>
    <w:rsid w:val="00616AAF"/>
    <w:rsid w:val="00616AF2"/>
    <w:rsid w:val="00616CE1"/>
    <w:rsid w:val="00616F4D"/>
    <w:rsid w:val="00617035"/>
    <w:rsid w:val="00617139"/>
    <w:rsid w:val="00617184"/>
    <w:rsid w:val="0061724C"/>
    <w:rsid w:val="006172D4"/>
    <w:rsid w:val="00617316"/>
    <w:rsid w:val="00617453"/>
    <w:rsid w:val="006175D6"/>
    <w:rsid w:val="0061766B"/>
    <w:rsid w:val="006176AF"/>
    <w:rsid w:val="006176D7"/>
    <w:rsid w:val="00617791"/>
    <w:rsid w:val="006178EE"/>
    <w:rsid w:val="006179B9"/>
    <w:rsid w:val="00617BE0"/>
    <w:rsid w:val="00617BF8"/>
    <w:rsid w:val="00617E3B"/>
    <w:rsid w:val="00617EF1"/>
    <w:rsid w:val="006200C0"/>
    <w:rsid w:val="00620275"/>
    <w:rsid w:val="00620303"/>
    <w:rsid w:val="006206CC"/>
    <w:rsid w:val="006207FA"/>
    <w:rsid w:val="00620891"/>
    <w:rsid w:val="006208C2"/>
    <w:rsid w:val="0062090B"/>
    <w:rsid w:val="00620987"/>
    <w:rsid w:val="00620AB4"/>
    <w:rsid w:val="00620C56"/>
    <w:rsid w:val="00620E10"/>
    <w:rsid w:val="00620EEF"/>
    <w:rsid w:val="0062101F"/>
    <w:rsid w:val="006211E5"/>
    <w:rsid w:val="0062154D"/>
    <w:rsid w:val="0062172B"/>
    <w:rsid w:val="006219F8"/>
    <w:rsid w:val="00621D37"/>
    <w:rsid w:val="00621F8D"/>
    <w:rsid w:val="0062206F"/>
    <w:rsid w:val="006220A0"/>
    <w:rsid w:val="006222B8"/>
    <w:rsid w:val="00622455"/>
    <w:rsid w:val="0062266F"/>
    <w:rsid w:val="006227EE"/>
    <w:rsid w:val="00622A34"/>
    <w:rsid w:val="00622BB4"/>
    <w:rsid w:val="00622EEC"/>
    <w:rsid w:val="00623118"/>
    <w:rsid w:val="006231DB"/>
    <w:rsid w:val="006233FD"/>
    <w:rsid w:val="006234B1"/>
    <w:rsid w:val="006237EE"/>
    <w:rsid w:val="00623A7B"/>
    <w:rsid w:val="00623C1A"/>
    <w:rsid w:val="00623CB5"/>
    <w:rsid w:val="00623D86"/>
    <w:rsid w:val="00623DD1"/>
    <w:rsid w:val="006241E8"/>
    <w:rsid w:val="006242B3"/>
    <w:rsid w:val="0062434D"/>
    <w:rsid w:val="006243C6"/>
    <w:rsid w:val="00624575"/>
    <w:rsid w:val="00624693"/>
    <w:rsid w:val="0062483F"/>
    <w:rsid w:val="00624894"/>
    <w:rsid w:val="00624BBF"/>
    <w:rsid w:val="00624C2E"/>
    <w:rsid w:val="00624E81"/>
    <w:rsid w:val="0062515C"/>
    <w:rsid w:val="006251B5"/>
    <w:rsid w:val="00625251"/>
    <w:rsid w:val="00625272"/>
    <w:rsid w:val="0062545B"/>
    <w:rsid w:val="00625850"/>
    <w:rsid w:val="006258D7"/>
    <w:rsid w:val="006259AF"/>
    <w:rsid w:val="00625A44"/>
    <w:rsid w:val="00625A6E"/>
    <w:rsid w:val="00625C39"/>
    <w:rsid w:val="00625D04"/>
    <w:rsid w:val="00625D17"/>
    <w:rsid w:val="00625D3E"/>
    <w:rsid w:val="00625D73"/>
    <w:rsid w:val="00625E10"/>
    <w:rsid w:val="00625F33"/>
    <w:rsid w:val="006265F0"/>
    <w:rsid w:val="00626639"/>
    <w:rsid w:val="0062675D"/>
    <w:rsid w:val="0062687A"/>
    <w:rsid w:val="00626893"/>
    <w:rsid w:val="0062689E"/>
    <w:rsid w:val="00626AFC"/>
    <w:rsid w:val="00626B07"/>
    <w:rsid w:val="00626B15"/>
    <w:rsid w:val="00626B40"/>
    <w:rsid w:val="00626C74"/>
    <w:rsid w:val="00626C9D"/>
    <w:rsid w:val="00626CE5"/>
    <w:rsid w:val="00626D43"/>
    <w:rsid w:val="00626F84"/>
    <w:rsid w:val="00627011"/>
    <w:rsid w:val="006270D2"/>
    <w:rsid w:val="00627101"/>
    <w:rsid w:val="00627109"/>
    <w:rsid w:val="00627277"/>
    <w:rsid w:val="006274A1"/>
    <w:rsid w:val="00627577"/>
    <w:rsid w:val="00627618"/>
    <w:rsid w:val="00627825"/>
    <w:rsid w:val="00627835"/>
    <w:rsid w:val="00627C76"/>
    <w:rsid w:val="00627E0A"/>
    <w:rsid w:val="00627EE6"/>
    <w:rsid w:val="00627F73"/>
    <w:rsid w:val="00627FA4"/>
    <w:rsid w:val="006305E7"/>
    <w:rsid w:val="006306A2"/>
    <w:rsid w:val="0063097B"/>
    <w:rsid w:val="00630998"/>
    <w:rsid w:val="00630AF1"/>
    <w:rsid w:val="00630BA3"/>
    <w:rsid w:val="00630D0E"/>
    <w:rsid w:val="00630DDB"/>
    <w:rsid w:val="00630ECB"/>
    <w:rsid w:val="0063109B"/>
    <w:rsid w:val="006310DD"/>
    <w:rsid w:val="006311D9"/>
    <w:rsid w:val="0063123F"/>
    <w:rsid w:val="00631508"/>
    <w:rsid w:val="0063166B"/>
    <w:rsid w:val="006316AC"/>
    <w:rsid w:val="00631A16"/>
    <w:rsid w:val="00631C9A"/>
    <w:rsid w:val="00631CB8"/>
    <w:rsid w:val="00631CD7"/>
    <w:rsid w:val="00631DDD"/>
    <w:rsid w:val="00631DFB"/>
    <w:rsid w:val="00631E70"/>
    <w:rsid w:val="00631F3D"/>
    <w:rsid w:val="00631F91"/>
    <w:rsid w:val="00631FE4"/>
    <w:rsid w:val="006320CD"/>
    <w:rsid w:val="006322B7"/>
    <w:rsid w:val="00632392"/>
    <w:rsid w:val="006325FA"/>
    <w:rsid w:val="0063264A"/>
    <w:rsid w:val="0063275F"/>
    <w:rsid w:val="00632784"/>
    <w:rsid w:val="00632965"/>
    <w:rsid w:val="00632B73"/>
    <w:rsid w:val="00632B8E"/>
    <w:rsid w:val="00632C51"/>
    <w:rsid w:val="00632CEA"/>
    <w:rsid w:val="00632CF8"/>
    <w:rsid w:val="0063316E"/>
    <w:rsid w:val="006334E2"/>
    <w:rsid w:val="0063367D"/>
    <w:rsid w:val="00633890"/>
    <w:rsid w:val="00633939"/>
    <w:rsid w:val="00633AEE"/>
    <w:rsid w:val="00633DE8"/>
    <w:rsid w:val="006340C1"/>
    <w:rsid w:val="00634240"/>
    <w:rsid w:val="00634295"/>
    <w:rsid w:val="006342A8"/>
    <w:rsid w:val="00634644"/>
    <w:rsid w:val="0063468B"/>
    <w:rsid w:val="006347D0"/>
    <w:rsid w:val="006349AE"/>
    <w:rsid w:val="00634B4C"/>
    <w:rsid w:val="00634B67"/>
    <w:rsid w:val="0063506A"/>
    <w:rsid w:val="006350B5"/>
    <w:rsid w:val="0063512E"/>
    <w:rsid w:val="00635372"/>
    <w:rsid w:val="00635412"/>
    <w:rsid w:val="00635434"/>
    <w:rsid w:val="0063561C"/>
    <w:rsid w:val="00635653"/>
    <w:rsid w:val="006356C4"/>
    <w:rsid w:val="00635777"/>
    <w:rsid w:val="00635981"/>
    <w:rsid w:val="006359AA"/>
    <w:rsid w:val="00635BAE"/>
    <w:rsid w:val="00635CB1"/>
    <w:rsid w:val="00635DCE"/>
    <w:rsid w:val="00635F7D"/>
    <w:rsid w:val="00636172"/>
    <w:rsid w:val="00636191"/>
    <w:rsid w:val="006361A8"/>
    <w:rsid w:val="00636535"/>
    <w:rsid w:val="006365CB"/>
    <w:rsid w:val="006366CB"/>
    <w:rsid w:val="00636B0C"/>
    <w:rsid w:val="00636BD7"/>
    <w:rsid w:val="00636D2D"/>
    <w:rsid w:val="00636DC5"/>
    <w:rsid w:val="00636DE1"/>
    <w:rsid w:val="00636E9C"/>
    <w:rsid w:val="006370EB"/>
    <w:rsid w:val="00637134"/>
    <w:rsid w:val="00637391"/>
    <w:rsid w:val="006373CD"/>
    <w:rsid w:val="00637435"/>
    <w:rsid w:val="00637535"/>
    <w:rsid w:val="00637549"/>
    <w:rsid w:val="00637766"/>
    <w:rsid w:val="0063782A"/>
    <w:rsid w:val="0063787A"/>
    <w:rsid w:val="006378B5"/>
    <w:rsid w:val="006378D6"/>
    <w:rsid w:val="006378E9"/>
    <w:rsid w:val="006379AF"/>
    <w:rsid w:val="00637A75"/>
    <w:rsid w:val="00637B35"/>
    <w:rsid w:val="00637BCF"/>
    <w:rsid w:val="00637E1E"/>
    <w:rsid w:val="00637EF4"/>
    <w:rsid w:val="00637FA2"/>
    <w:rsid w:val="006401BE"/>
    <w:rsid w:val="0064046A"/>
    <w:rsid w:val="00640560"/>
    <w:rsid w:val="006406AD"/>
    <w:rsid w:val="006408A7"/>
    <w:rsid w:val="00640A98"/>
    <w:rsid w:val="00640E04"/>
    <w:rsid w:val="00640E08"/>
    <w:rsid w:val="00640EF0"/>
    <w:rsid w:val="00640F8A"/>
    <w:rsid w:val="0064101C"/>
    <w:rsid w:val="00641063"/>
    <w:rsid w:val="006411AC"/>
    <w:rsid w:val="006414BA"/>
    <w:rsid w:val="00641662"/>
    <w:rsid w:val="006416B6"/>
    <w:rsid w:val="006416BA"/>
    <w:rsid w:val="0064198B"/>
    <w:rsid w:val="00641A06"/>
    <w:rsid w:val="00641CCF"/>
    <w:rsid w:val="00641D55"/>
    <w:rsid w:val="00641E5A"/>
    <w:rsid w:val="00641F3B"/>
    <w:rsid w:val="00641FCD"/>
    <w:rsid w:val="0064207B"/>
    <w:rsid w:val="0064218A"/>
    <w:rsid w:val="0064237F"/>
    <w:rsid w:val="006423BA"/>
    <w:rsid w:val="00642682"/>
    <w:rsid w:val="006426AE"/>
    <w:rsid w:val="006426B4"/>
    <w:rsid w:val="006426C2"/>
    <w:rsid w:val="006428FE"/>
    <w:rsid w:val="00642953"/>
    <w:rsid w:val="006429AA"/>
    <w:rsid w:val="006429BF"/>
    <w:rsid w:val="006429E3"/>
    <w:rsid w:val="00642C74"/>
    <w:rsid w:val="00642CA9"/>
    <w:rsid w:val="00642DCF"/>
    <w:rsid w:val="00642FCE"/>
    <w:rsid w:val="00643049"/>
    <w:rsid w:val="00643059"/>
    <w:rsid w:val="00643132"/>
    <w:rsid w:val="00643206"/>
    <w:rsid w:val="006432FF"/>
    <w:rsid w:val="00643542"/>
    <w:rsid w:val="006437D6"/>
    <w:rsid w:val="00643A16"/>
    <w:rsid w:val="00643F05"/>
    <w:rsid w:val="0064404C"/>
    <w:rsid w:val="006440C0"/>
    <w:rsid w:val="0064415C"/>
    <w:rsid w:val="00644230"/>
    <w:rsid w:val="006443A7"/>
    <w:rsid w:val="006443F5"/>
    <w:rsid w:val="00644513"/>
    <w:rsid w:val="0064474D"/>
    <w:rsid w:val="00644785"/>
    <w:rsid w:val="00644806"/>
    <w:rsid w:val="006449A2"/>
    <w:rsid w:val="00644A58"/>
    <w:rsid w:val="00644B11"/>
    <w:rsid w:val="00644B86"/>
    <w:rsid w:val="00644C9D"/>
    <w:rsid w:val="00644D70"/>
    <w:rsid w:val="00644DDD"/>
    <w:rsid w:val="00644DFF"/>
    <w:rsid w:val="00644E07"/>
    <w:rsid w:val="00644EC8"/>
    <w:rsid w:val="00644EE5"/>
    <w:rsid w:val="00644F03"/>
    <w:rsid w:val="00644F80"/>
    <w:rsid w:val="00644F98"/>
    <w:rsid w:val="0064528E"/>
    <w:rsid w:val="006452F7"/>
    <w:rsid w:val="00645574"/>
    <w:rsid w:val="006455EC"/>
    <w:rsid w:val="0064560F"/>
    <w:rsid w:val="0064578C"/>
    <w:rsid w:val="00645ADC"/>
    <w:rsid w:val="00645B25"/>
    <w:rsid w:val="00645D28"/>
    <w:rsid w:val="00645D3C"/>
    <w:rsid w:val="00645E0A"/>
    <w:rsid w:val="00645F65"/>
    <w:rsid w:val="006462F8"/>
    <w:rsid w:val="0064633E"/>
    <w:rsid w:val="006464A4"/>
    <w:rsid w:val="00646519"/>
    <w:rsid w:val="00646584"/>
    <w:rsid w:val="0064662B"/>
    <w:rsid w:val="0064672B"/>
    <w:rsid w:val="00646866"/>
    <w:rsid w:val="006469F0"/>
    <w:rsid w:val="00646A8C"/>
    <w:rsid w:val="00646A95"/>
    <w:rsid w:val="00646D96"/>
    <w:rsid w:val="00646E90"/>
    <w:rsid w:val="00646EB9"/>
    <w:rsid w:val="00646F19"/>
    <w:rsid w:val="00646F81"/>
    <w:rsid w:val="00647069"/>
    <w:rsid w:val="00647070"/>
    <w:rsid w:val="006472B8"/>
    <w:rsid w:val="00647322"/>
    <w:rsid w:val="00647432"/>
    <w:rsid w:val="0064744E"/>
    <w:rsid w:val="00647733"/>
    <w:rsid w:val="006477A3"/>
    <w:rsid w:val="00647852"/>
    <w:rsid w:val="00647979"/>
    <w:rsid w:val="00647B8F"/>
    <w:rsid w:val="00647CCA"/>
    <w:rsid w:val="00647DA8"/>
    <w:rsid w:val="00647E7B"/>
    <w:rsid w:val="00647FA5"/>
    <w:rsid w:val="00647FAA"/>
    <w:rsid w:val="0065038C"/>
    <w:rsid w:val="0065053D"/>
    <w:rsid w:val="00650572"/>
    <w:rsid w:val="00650643"/>
    <w:rsid w:val="00650734"/>
    <w:rsid w:val="006508C7"/>
    <w:rsid w:val="00650C0A"/>
    <w:rsid w:val="00650C65"/>
    <w:rsid w:val="00650ED2"/>
    <w:rsid w:val="00650F38"/>
    <w:rsid w:val="00650F3B"/>
    <w:rsid w:val="00651243"/>
    <w:rsid w:val="0065135D"/>
    <w:rsid w:val="0065145C"/>
    <w:rsid w:val="00651561"/>
    <w:rsid w:val="0065163A"/>
    <w:rsid w:val="00651A1C"/>
    <w:rsid w:val="00651A90"/>
    <w:rsid w:val="00651D6C"/>
    <w:rsid w:val="00651E42"/>
    <w:rsid w:val="00651F64"/>
    <w:rsid w:val="006520B3"/>
    <w:rsid w:val="00652180"/>
    <w:rsid w:val="00652298"/>
    <w:rsid w:val="0065241F"/>
    <w:rsid w:val="00652436"/>
    <w:rsid w:val="006524A3"/>
    <w:rsid w:val="006524AD"/>
    <w:rsid w:val="006524FC"/>
    <w:rsid w:val="006525E5"/>
    <w:rsid w:val="006525EF"/>
    <w:rsid w:val="006527DA"/>
    <w:rsid w:val="00652937"/>
    <w:rsid w:val="006529A7"/>
    <w:rsid w:val="00652A1C"/>
    <w:rsid w:val="00652A65"/>
    <w:rsid w:val="00652BAB"/>
    <w:rsid w:val="00652D7D"/>
    <w:rsid w:val="00652DD6"/>
    <w:rsid w:val="00652E4C"/>
    <w:rsid w:val="00652E9C"/>
    <w:rsid w:val="00652EDD"/>
    <w:rsid w:val="00652F1D"/>
    <w:rsid w:val="006530B9"/>
    <w:rsid w:val="006531DA"/>
    <w:rsid w:val="00653440"/>
    <w:rsid w:val="0065345A"/>
    <w:rsid w:val="00653531"/>
    <w:rsid w:val="006535AF"/>
    <w:rsid w:val="0065377F"/>
    <w:rsid w:val="006537C4"/>
    <w:rsid w:val="00653903"/>
    <w:rsid w:val="00653A18"/>
    <w:rsid w:val="00653B09"/>
    <w:rsid w:val="00653B80"/>
    <w:rsid w:val="00653BCF"/>
    <w:rsid w:val="00653D02"/>
    <w:rsid w:val="00654866"/>
    <w:rsid w:val="006548F6"/>
    <w:rsid w:val="00654911"/>
    <w:rsid w:val="00654AA0"/>
    <w:rsid w:val="00654B41"/>
    <w:rsid w:val="00654BD8"/>
    <w:rsid w:val="00654C62"/>
    <w:rsid w:val="00654CF5"/>
    <w:rsid w:val="00654D8E"/>
    <w:rsid w:val="0065509F"/>
    <w:rsid w:val="006550D1"/>
    <w:rsid w:val="00655587"/>
    <w:rsid w:val="00655595"/>
    <w:rsid w:val="006555D9"/>
    <w:rsid w:val="00655672"/>
    <w:rsid w:val="0065568F"/>
    <w:rsid w:val="006556CB"/>
    <w:rsid w:val="006557CC"/>
    <w:rsid w:val="00655A1E"/>
    <w:rsid w:val="00655AD3"/>
    <w:rsid w:val="00655C74"/>
    <w:rsid w:val="00655DCC"/>
    <w:rsid w:val="00656080"/>
    <w:rsid w:val="006563D4"/>
    <w:rsid w:val="0065642B"/>
    <w:rsid w:val="00656922"/>
    <w:rsid w:val="00656C22"/>
    <w:rsid w:val="00656CAD"/>
    <w:rsid w:val="00656D5B"/>
    <w:rsid w:val="00657068"/>
    <w:rsid w:val="00657187"/>
    <w:rsid w:val="006572F3"/>
    <w:rsid w:val="00657326"/>
    <w:rsid w:val="0065739D"/>
    <w:rsid w:val="0065743E"/>
    <w:rsid w:val="006574D1"/>
    <w:rsid w:val="00657555"/>
    <w:rsid w:val="006577A1"/>
    <w:rsid w:val="006577E1"/>
    <w:rsid w:val="00657840"/>
    <w:rsid w:val="00657905"/>
    <w:rsid w:val="0065791E"/>
    <w:rsid w:val="00657F3A"/>
    <w:rsid w:val="00657FFD"/>
    <w:rsid w:val="006600F7"/>
    <w:rsid w:val="006601EC"/>
    <w:rsid w:val="00660241"/>
    <w:rsid w:val="006603C2"/>
    <w:rsid w:val="006603DD"/>
    <w:rsid w:val="00660631"/>
    <w:rsid w:val="00660744"/>
    <w:rsid w:val="00660763"/>
    <w:rsid w:val="006608BD"/>
    <w:rsid w:val="006608C0"/>
    <w:rsid w:val="00660967"/>
    <w:rsid w:val="00660A92"/>
    <w:rsid w:val="00660BCB"/>
    <w:rsid w:val="00660C8A"/>
    <w:rsid w:val="00660DF2"/>
    <w:rsid w:val="00660E3E"/>
    <w:rsid w:val="00660F74"/>
    <w:rsid w:val="00661040"/>
    <w:rsid w:val="00661041"/>
    <w:rsid w:val="006612B4"/>
    <w:rsid w:val="0066157D"/>
    <w:rsid w:val="00661625"/>
    <w:rsid w:val="00661626"/>
    <w:rsid w:val="00661630"/>
    <w:rsid w:val="0066193D"/>
    <w:rsid w:val="006619A5"/>
    <w:rsid w:val="00661CB6"/>
    <w:rsid w:val="00661CE4"/>
    <w:rsid w:val="00661D09"/>
    <w:rsid w:val="00661D17"/>
    <w:rsid w:val="00661EF3"/>
    <w:rsid w:val="00661FDD"/>
    <w:rsid w:val="0066202A"/>
    <w:rsid w:val="006621A9"/>
    <w:rsid w:val="006621C4"/>
    <w:rsid w:val="00662305"/>
    <w:rsid w:val="00662339"/>
    <w:rsid w:val="006623ED"/>
    <w:rsid w:val="00662407"/>
    <w:rsid w:val="00662445"/>
    <w:rsid w:val="00662DF8"/>
    <w:rsid w:val="00662E86"/>
    <w:rsid w:val="00662F2D"/>
    <w:rsid w:val="00662FA1"/>
    <w:rsid w:val="0066301E"/>
    <w:rsid w:val="006630D7"/>
    <w:rsid w:val="006631D8"/>
    <w:rsid w:val="0066327F"/>
    <w:rsid w:val="0066328B"/>
    <w:rsid w:val="00663385"/>
    <w:rsid w:val="006633A0"/>
    <w:rsid w:val="006634DD"/>
    <w:rsid w:val="006635D0"/>
    <w:rsid w:val="006637D1"/>
    <w:rsid w:val="0066386A"/>
    <w:rsid w:val="00663885"/>
    <w:rsid w:val="00663962"/>
    <w:rsid w:val="00663BE7"/>
    <w:rsid w:val="00663EE4"/>
    <w:rsid w:val="006640F2"/>
    <w:rsid w:val="00664146"/>
    <w:rsid w:val="0066431E"/>
    <w:rsid w:val="006644C7"/>
    <w:rsid w:val="006645B1"/>
    <w:rsid w:val="006645CF"/>
    <w:rsid w:val="00664639"/>
    <w:rsid w:val="006646C0"/>
    <w:rsid w:val="0066478C"/>
    <w:rsid w:val="006648B6"/>
    <w:rsid w:val="0066490B"/>
    <w:rsid w:val="00664936"/>
    <w:rsid w:val="00664E4E"/>
    <w:rsid w:val="00664F83"/>
    <w:rsid w:val="006650C0"/>
    <w:rsid w:val="006650CD"/>
    <w:rsid w:val="006651A9"/>
    <w:rsid w:val="006652B9"/>
    <w:rsid w:val="00665489"/>
    <w:rsid w:val="006654EE"/>
    <w:rsid w:val="0066570D"/>
    <w:rsid w:val="00665710"/>
    <w:rsid w:val="006657B0"/>
    <w:rsid w:val="00665885"/>
    <w:rsid w:val="006658E6"/>
    <w:rsid w:val="00665AE0"/>
    <w:rsid w:val="00665AF6"/>
    <w:rsid w:val="00665B58"/>
    <w:rsid w:val="00665B73"/>
    <w:rsid w:val="00665C09"/>
    <w:rsid w:val="00665F53"/>
    <w:rsid w:val="00665FB4"/>
    <w:rsid w:val="006660DF"/>
    <w:rsid w:val="00666205"/>
    <w:rsid w:val="006662C1"/>
    <w:rsid w:val="00666696"/>
    <w:rsid w:val="006668AF"/>
    <w:rsid w:val="00666BE4"/>
    <w:rsid w:val="00666D59"/>
    <w:rsid w:val="00666EFD"/>
    <w:rsid w:val="00667040"/>
    <w:rsid w:val="0066720F"/>
    <w:rsid w:val="00667281"/>
    <w:rsid w:val="00667405"/>
    <w:rsid w:val="00667580"/>
    <w:rsid w:val="00667590"/>
    <w:rsid w:val="00667779"/>
    <w:rsid w:val="00667A5D"/>
    <w:rsid w:val="00667C9D"/>
    <w:rsid w:val="00667EB0"/>
    <w:rsid w:val="0067028F"/>
    <w:rsid w:val="00670426"/>
    <w:rsid w:val="00670634"/>
    <w:rsid w:val="006706A2"/>
    <w:rsid w:val="006707DB"/>
    <w:rsid w:val="006707E0"/>
    <w:rsid w:val="00670984"/>
    <w:rsid w:val="006709DF"/>
    <w:rsid w:val="00670A5C"/>
    <w:rsid w:val="00670ECB"/>
    <w:rsid w:val="00670EE8"/>
    <w:rsid w:val="00670F7D"/>
    <w:rsid w:val="00671159"/>
    <w:rsid w:val="006711C9"/>
    <w:rsid w:val="0067142D"/>
    <w:rsid w:val="0067165B"/>
    <w:rsid w:val="0067172B"/>
    <w:rsid w:val="006717D5"/>
    <w:rsid w:val="0067181C"/>
    <w:rsid w:val="00671AB5"/>
    <w:rsid w:val="00671BB0"/>
    <w:rsid w:val="00671D40"/>
    <w:rsid w:val="00671F5A"/>
    <w:rsid w:val="00671F5F"/>
    <w:rsid w:val="0067210E"/>
    <w:rsid w:val="0067233C"/>
    <w:rsid w:val="00672437"/>
    <w:rsid w:val="0067259B"/>
    <w:rsid w:val="006725E3"/>
    <w:rsid w:val="006729DA"/>
    <w:rsid w:val="00672B18"/>
    <w:rsid w:val="00672CA6"/>
    <w:rsid w:val="00672CB2"/>
    <w:rsid w:val="00672D0C"/>
    <w:rsid w:val="006730C7"/>
    <w:rsid w:val="0067312F"/>
    <w:rsid w:val="00673287"/>
    <w:rsid w:val="00673300"/>
    <w:rsid w:val="0067348E"/>
    <w:rsid w:val="006735DC"/>
    <w:rsid w:val="00673672"/>
    <w:rsid w:val="006737C6"/>
    <w:rsid w:val="0067382F"/>
    <w:rsid w:val="00673855"/>
    <w:rsid w:val="006738B0"/>
    <w:rsid w:val="0067398C"/>
    <w:rsid w:val="00673B95"/>
    <w:rsid w:val="00673C0D"/>
    <w:rsid w:val="00673C4E"/>
    <w:rsid w:val="00673CFF"/>
    <w:rsid w:val="00673E54"/>
    <w:rsid w:val="00673E67"/>
    <w:rsid w:val="0067401D"/>
    <w:rsid w:val="006740C9"/>
    <w:rsid w:val="006741D7"/>
    <w:rsid w:val="00674202"/>
    <w:rsid w:val="0067429E"/>
    <w:rsid w:val="006745C7"/>
    <w:rsid w:val="00674671"/>
    <w:rsid w:val="0067467D"/>
    <w:rsid w:val="00674869"/>
    <w:rsid w:val="0067493E"/>
    <w:rsid w:val="00674998"/>
    <w:rsid w:val="00674AC9"/>
    <w:rsid w:val="00674B46"/>
    <w:rsid w:val="00674D6A"/>
    <w:rsid w:val="00674FAB"/>
    <w:rsid w:val="0067504D"/>
    <w:rsid w:val="00675092"/>
    <w:rsid w:val="00675198"/>
    <w:rsid w:val="0067567E"/>
    <w:rsid w:val="0067572C"/>
    <w:rsid w:val="006758A4"/>
    <w:rsid w:val="006758E9"/>
    <w:rsid w:val="00675BC3"/>
    <w:rsid w:val="00675C8E"/>
    <w:rsid w:val="00675D94"/>
    <w:rsid w:val="00675F00"/>
    <w:rsid w:val="00675F5F"/>
    <w:rsid w:val="006760B5"/>
    <w:rsid w:val="0067642F"/>
    <w:rsid w:val="00676471"/>
    <w:rsid w:val="006765D6"/>
    <w:rsid w:val="006766A9"/>
    <w:rsid w:val="00676789"/>
    <w:rsid w:val="0067681F"/>
    <w:rsid w:val="006768F4"/>
    <w:rsid w:val="00676A60"/>
    <w:rsid w:val="00676B97"/>
    <w:rsid w:val="00676C49"/>
    <w:rsid w:val="00676E2D"/>
    <w:rsid w:val="00676F6F"/>
    <w:rsid w:val="00677495"/>
    <w:rsid w:val="006774C0"/>
    <w:rsid w:val="00677637"/>
    <w:rsid w:val="006776F3"/>
    <w:rsid w:val="00677752"/>
    <w:rsid w:val="00677902"/>
    <w:rsid w:val="00677A58"/>
    <w:rsid w:val="00677CA7"/>
    <w:rsid w:val="00677CAC"/>
    <w:rsid w:val="00677D2C"/>
    <w:rsid w:val="00677E30"/>
    <w:rsid w:val="00680090"/>
    <w:rsid w:val="00680129"/>
    <w:rsid w:val="00680156"/>
    <w:rsid w:val="006802E1"/>
    <w:rsid w:val="006804F4"/>
    <w:rsid w:val="00680634"/>
    <w:rsid w:val="00680647"/>
    <w:rsid w:val="00680B9B"/>
    <w:rsid w:val="00680C1D"/>
    <w:rsid w:val="00680CA2"/>
    <w:rsid w:val="00680D94"/>
    <w:rsid w:val="00680DCF"/>
    <w:rsid w:val="00680EAD"/>
    <w:rsid w:val="00680FED"/>
    <w:rsid w:val="006810B1"/>
    <w:rsid w:val="00681129"/>
    <w:rsid w:val="0068129E"/>
    <w:rsid w:val="006813A2"/>
    <w:rsid w:val="00681482"/>
    <w:rsid w:val="006814CD"/>
    <w:rsid w:val="0068164F"/>
    <w:rsid w:val="006816EE"/>
    <w:rsid w:val="00681983"/>
    <w:rsid w:val="00681AB2"/>
    <w:rsid w:val="00681AFA"/>
    <w:rsid w:val="00681BAC"/>
    <w:rsid w:val="00681EEE"/>
    <w:rsid w:val="00681F39"/>
    <w:rsid w:val="00681F49"/>
    <w:rsid w:val="006820C1"/>
    <w:rsid w:val="006820F8"/>
    <w:rsid w:val="006821CC"/>
    <w:rsid w:val="00682229"/>
    <w:rsid w:val="006823BB"/>
    <w:rsid w:val="0068244A"/>
    <w:rsid w:val="0068257F"/>
    <w:rsid w:val="00682697"/>
    <w:rsid w:val="00682745"/>
    <w:rsid w:val="006827BA"/>
    <w:rsid w:val="00682917"/>
    <w:rsid w:val="0068293B"/>
    <w:rsid w:val="0068295A"/>
    <w:rsid w:val="00682AA8"/>
    <w:rsid w:val="0068312C"/>
    <w:rsid w:val="00683520"/>
    <w:rsid w:val="006835F0"/>
    <w:rsid w:val="00683742"/>
    <w:rsid w:val="00683760"/>
    <w:rsid w:val="006838FB"/>
    <w:rsid w:val="00683B04"/>
    <w:rsid w:val="00683CFF"/>
    <w:rsid w:val="00683D7B"/>
    <w:rsid w:val="00683DB2"/>
    <w:rsid w:val="00683F12"/>
    <w:rsid w:val="00684060"/>
    <w:rsid w:val="006840D4"/>
    <w:rsid w:val="006841E0"/>
    <w:rsid w:val="0068425D"/>
    <w:rsid w:val="00684371"/>
    <w:rsid w:val="006843CD"/>
    <w:rsid w:val="006844AD"/>
    <w:rsid w:val="006844C0"/>
    <w:rsid w:val="006844D9"/>
    <w:rsid w:val="00684680"/>
    <w:rsid w:val="0068471A"/>
    <w:rsid w:val="00684779"/>
    <w:rsid w:val="006847EE"/>
    <w:rsid w:val="00684892"/>
    <w:rsid w:val="00684922"/>
    <w:rsid w:val="00684AEA"/>
    <w:rsid w:val="00684B3C"/>
    <w:rsid w:val="00684B86"/>
    <w:rsid w:val="00684C23"/>
    <w:rsid w:val="00684D1C"/>
    <w:rsid w:val="00684D68"/>
    <w:rsid w:val="00684DB4"/>
    <w:rsid w:val="00684F1A"/>
    <w:rsid w:val="00685110"/>
    <w:rsid w:val="006853BD"/>
    <w:rsid w:val="00685426"/>
    <w:rsid w:val="0068569B"/>
    <w:rsid w:val="0068583F"/>
    <w:rsid w:val="0068590A"/>
    <w:rsid w:val="00685A28"/>
    <w:rsid w:val="00685CBA"/>
    <w:rsid w:val="00685CD7"/>
    <w:rsid w:val="00685EBE"/>
    <w:rsid w:val="0068603C"/>
    <w:rsid w:val="006860BE"/>
    <w:rsid w:val="006861D7"/>
    <w:rsid w:val="00686343"/>
    <w:rsid w:val="006863C4"/>
    <w:rsid w:val="006864C6"/>
    <w:rsid w:val="006864F9"/>
    <w:rsid w:val="00686503"/>
    <w:rsid w:val="0068651F"/>
    <w:rsid w:val="00686538"/>
    <w:rsid w:val="0068657C"/>
    <w:rsid w:val="006865BA"/>
    <w:rsid w:val="006867A2"/>
    <w:rsid w:val="00686842"/>
    <w:rsid w:val="00686862"/>
    <w:rsid w:val="006868D6"/>
    <w:rsid w:val="00686BD4"/>
    <w:rsid w:val="00686CBB"/>
    <w:rsid w:val="00686CE9"/>
    <w:rsid w:val="00686DED"/>
    <w:rsid w:val="00686EA0"/>
    <w:rsid w:val="0068701F"/>
    <w:rsid w:val="006871D1"/>
    <w:rsid w:val="006874A0"/>
    <w:rsid w:val="0068750C"/>
    <w:rsid w:val="0068753F"/>
    <w:rsid w:val="00687695"/>
    <w:rsid w:val="006879F3"/>
    <w:rsid w:val="00687A30"/>
    <w:rsid w:val="00687C1D"/>
    <w:rsid w:val="00687D1C"/>
    <w:rsid w:val="00687E39"/>
    <w:rsid w:val="00687E6B"/>
    <w:rsid w:val="00687EEC"/>
    <w:rsid w:val="00687F61"/>
    <w:rsid w:val="00690027"/>
    <w:rsid w:val="006900A6"/>
    <w:rsid w:val="006900C4"/>
    <w:rsid w:val="00690203"/>
    <w:rsid w:val="0069053E"/>
    <w:rsid w:val="006906A2"/>
    <w:rsid w:val="006907AC"/>
    <w:rsid w:val="00690810"/>
    <w:rsid w:val="00690AED"/>
    <w:rsid w:val="00690C04"/>
    <w:rsid w:val="00690DF6"/>
    <w:rsid w:val="00690FB4"/>
    <w:rsid w:val="00691290"/>
    <w:rsid w:val="0069147D"/>
    <w:rsid w:val="00691BAD"/>
    <w:rsid w:val="00691FC9"/>
    <w:rsid w:val="00691FFD"/>
    <w:rsid w:val="00692058"/>
    <w:rsid w:val="006920CC"/>
    <w:rsid w:val="006920E9"/>
    <w:rsid w:val="006923E5"/>
    <w:rsid w:val="006923FF"/>
    <w:rsid w:val="0069257D"/>
    <w:rsid w:val="0069269A"/>
    <w:rsid w:val="0069284B"/>
    <w:rsid w:val="00692A45"/>
    <w:rsid w:val="00692B3D"/>
    <w:rsid w:val="00692B86"/>
    <w:rsid w:val="00692C99"/>
    <w:rsid w:val="00692CE6"/>
    <w:rsid w:val="00692E4F"/>
    <w:rsid w:val="0069312C"/>
    <w:rsid w:val="0069319C"/>
    <w:rsid w:val="00693405"/>
    <w:rsid w:val="00693520"/>
    <w:rsid w:val="006935C3"/>
    <w:rsid w:val="006936E7"/>
    <w:rsid w:val="0069387A"/>
    <w:rsid w:val="00693A0E"/>
    <w:rsid w:val="00693FDD"/>
    <w:rsid w:val="00694210"/>
    <w:rsid w:val="006942BC"/>
    <w:rsid w:val="006943BB"/>
    <w:rsid w:val="0069442C"/>
    <w:rsid w:val="0069447E"/>
    <w:rsid w:val="00694559"/>
    <w:rsid w:val="006947C0"/>
    <w:rsid w:val="00694815"/>
    <w:rsid w:val="0069485F"/>
    <w:rsid w:val="00694869"/>
    <w:rsid w:val="0069490C"/>
    <w:rsid w:val="00694951"/>
    <w:rsid w:val="00694FD6"/>
    <w:rsid w:val="00695191"/>
    <w:rsid w:val="006951B8"/>
    <w:rsid w:val="006951F8"/>
    <w:rsid w:val="00695294"/>
    <w:rsid w:val="00695424"/>
    <w:rsid w:val="006955B1"/>
    <w:rsid w:val="006956D3"/>
    <w:rsid w:val="0069571F"/>
    <w:rsid w:val="006957AA"/>
    <w:rsid w:val="00695867"/>
    <w:rsid w:val="006958B4"/>
    <w:rsid w:val="0069594D"/>
    <w:rsid w:val="0069597D"/>
    <w:rsid w:val="00695A2B"/>
    <w:rsid w:val="00695AFD"/>
    <w:rsid w:val="00695B21"/>
    <w:rsid w:val="00695CE8"/>
    <w:rsid w:val="00695DCA"/>
    <w:rsid w:val="006960AD"/>
    <w:rsid w:val="0069617F"/>
    <w:rsid w:val="006961F2"/>
    <w:rsid w:val="0069643A"/>
    <w:rsid w:val="0069670C"/>
    <w:rsid w:val="006969BA"/>
    <w:rsid w:val="006969F2"/>
    <w:rsid w:val="00696DC5"/>
    <w:rsid w:val="00696FB1"/>
    <w:rsid w:val="00696FD5"/>
    <w:rsid w:val="0069727B"/>
    <w:rsid w:val="006972FE"/>
    <w:rsid w:val="00697324"/>
    <w:rsid w:val="00697333"/>
    <w:rsid w:val="006974EB"/>
    <w:rsid w:val="0069755F"/>
    <w:rsid w:val="006975E0"/>
    <w:rsid w:val="00697637"/>
    <w:rsid w:val="00697756"/>
    <w:rsid w:val="0069776B"/>
    <w:rsid w:val="00697881"/>
    <w:rsid w:val="00697ADB"/>
    <w:rsid w:val="00697D65"/>
    <w:rsid w:val="00697D7D"/>
    <w:rsid w:val="00697EE3"/>
    <w:rsid w:val="00697FEA"/>
    <w:rsid w:val="006A004D"/>
    <w:rsid w:val="006A0338"/>
    <w:rsid w:val="006A0772"/>
    <w:rsid w:val="006A0B23"/>
    <w:rsid w:val="006A0BDE"/>
    <w:rsid w:val="006A0C26"/>
    <w:rsid w:val="006A0CE4"/>
    <w:rsid w:val="006A1051"/>
    <w:rsid w:val="006A131C"/>
    <w:rsid w:val="006A13AD"/>
    <w:rsid w:val="006A1457"/>
    <w:rsid w:val="006A1568"/>
    <w:rsid w:val="006A1631"/>
    <w:rsid w:val="006A16BD"/>
    <w:rsid w:val="006A1871"/>
    <w:rsid w:val="006A1A0A"/>
    <w:rsid w:val="006A1A50"/>
    <w:rsid w:val="006A1A88"/>
    <w:rsid w:val="006A1B31"/>
    <w:rsid w:val="006A2038"/>
    <w:rsid w:val="006A20BE"/>
    <w:rsid w:val="006A2154"/>
    <w:rsid w:val="006A215B"/>
    <w:rsid w:val="006A22B7"/>
    <w:rsid w:val="006A22D6"/>
    <w:rsid w:val="006A22EC"/>
    <w:rsid w:val="006A2336"/>
    <w:rsid w:val="006A269E"/>
    <w:rsid w:val="006A27C9"/>
    <w:rsid w:val="006A2918"/>
    <w:rsid w:val="006A2B23"/>
    <w:rsid w:val="006A2D52"/>
    <w:rsid w:val="006A2D58"/>
    <w:rsid w:val="006A2DC7"/>
    <w:rsid w:val="006A2DC9"/>
    <w:rsid w:val="006A2E3E"/>
    <w:rsid w:val="006A2EE5"/>
    <w:rsid w:val="006A2F69"/>
    <w:rsid w:val="006A2F75"/>
    <w:rsid w:val="006A2FD9"/>
    <w:rsid w:val="006A31CD"/>
    <w:rsid w:val="006A32D8"/>
    <w:rsid w:val="006A3351"/>
    <w:rsid w:val="006A336C"/>
    <w:rsid w:val="006A345B"/>
    <w:rsid w:val="006A3641"/>
    <w:rsid w:val="006A37C0"/>
    <w:rsid w:val="006A3A89"/>
    <w:rsid w:val="006A3C00"/>
    <w:rsid w:val="006A3C90"/>
    <w:rsid w:val="006A3D96"/>
    <w:rsid w:val="006A3E52"/>
    <w:rsid w:val="006A3EA0"/>
    <w:rsid w:val="006A3EDB"/>
    <w:rsid w:val="006A41F0"/>
    <w:rsid w:val="006A49AE"/>
    <w:rsid w:val="006A4AAC"/>
    <w:rsid w:val="006A4B4A"/>
    <w:rsid w:val="006A4BC4"/>
    <w:rsid w:val="006A4C5B"/>
    <w:rsid w:val="006A4DC2"/>
    <w:rsid w:val="006A4F2E"/>
    <w:rsid w:val="006A4FCC"/>
    <w:rsid w:val="006A4FD2"/>
    <w:rsid w:val="006A5158"/>
    <w:rsid w:val="006A51AF"/>
    <w:rsid w:val="006A5242"/>
    <w:rsid w:val="006A5260"/>
    <w:rsid w:val="006A5281"/>
    <w:rsid w:val="006A5397"/>
    <w:rsid w:val="006A5595"/>
    <w:rsid w:val="006A5651"/>
    <w:rsid w:val="006A571A"/>
    <w:rsid w:val="006A5970"/>
    <w:rsid w:val="006A5A7A"/>
    <w:rsid w:val="006A5DF4"/>
    <w:rsid w:val="006A5E6B"/>
    <w:rsid w:val="006A6156"/>
    <w:rsid w:val="006A636B"/>
    <w:rsid w:val="006A6643"/>
    <w:rsid w:val="006A665C"/>
    <w:rsid w:val="006A677D"/>
    <w:rsid w:val="006A67BC"/>
    <w:rsid w:val="006A67F5"/>
    <w:rsid w:val="006A6A43"/>
    <w:rsid w:val="006A6CA7"/>
    <w:rsid w:val="006A6CBC"/>
    <w:rsid w:val="006A6CED"/>
    <w:rsid w:val="006A6D4B"/>
    <w:rsid w:val="006A6E04"/>
    <w:rsid w:val="006A6E68"/>
    <w:rsid w:val="006A703B"/>
    <w:rsid w:val="006A7097"/>
    <w:rsid w:val="006A712B"/>
    <w:rsid w:val="006A7392"/>
    <w:rsid w:val="006A7780"/>
    <w:rsid w:val="006A7806"/>
    <w:rsid w:val="006A79D5"/>
    <w:rsid w:val="006A7B09"/>
    <w:rsid w:val="006A7BE2"/>
    <w:rsid w:val="006A7C86"/>
    <w:rsid w:val="006A7C9B"/>
    <w:rsid w:val="006A7E4A"/>
    <w:rsid w:val="006A7E72"/>
    <w:rsid w:val="006A7E95"/>
    <w:rsid w:val="006A7EB0"/>
    <w:rsid w:val="006B0255"/>
    <w:rsid w:val="006B02AE"/>
    <w:rsid w:val="006B035D"/>
    <w:rsid w:val="006B06FF"/>
    <w:rsid w:val="006B0950"/>
    <w:rsid w:val="006B0B28"/>
    <w:rsid w:val="006B0BF0"/>
    <w:rsid w:val="006B0F07"/>
    <w:rsid w:val="006B0F2A"/>
    <w:rsid w:val="006B0FBB"/>
    <w:rsid w:val="006B100E"/>
    <w:rsid w:val="006B123C"/>
    <w:rsid w:val="006B1444"/>
    <w:rsid w:val="006B162F"/>
    <w:rsid w:val="006B1741"/>
    <w:rsid w:val="006B17EE"/>
    <w:rsid w:val="006B1811"/>
    <w:rsid w:val="006B18AF"/>
    <w:rsid w:val="006B19E5"/>
    <w:rsid w:val="006B1ACB"/>
    <w:rsid w:val="006B1B10"/>
    <w:rsid w:val="006B1BCC"/>
    <w:rsid w:val="006B1D5D"/>
    <w:rsid w:val="006B1ECB"/>
    <w:rsid w:val="006B20CC"/>
    <w:rsid w:val="006B2132"/>
    <w:rsid w:val="006B21F7"/>
    <w:rsid w:val="006B235E"/>
    <w:rsid w:val="006B251C"/>
    <w:rsid w:val="006B259A"/>
    <w:rsid w:val="006B2644"/>
    <w:rsid w:val="006B2668"/>
    <w:rsid w:val="006B2765"/>
    <w:rsid w:val="006B27FA"/>
    <w:rsid w:val="006B2962"/>
    <w:rsid w:val="006B2966"/>
    <w:rsid w:val="006B29C4"/>
    <w:rsid w:val="006B2A75"/>
    <w:rsid w:val="006B2B95"/>
    <w:rsid w:val="006B2E37"/>
    <w:rsid w:val="006B2EF4"/>
    <w:rsid w:val="006B30EA"/>
    <w:rsid w:val="006B311E"/>
    <w:rsid w:val="006B3158"/>
    <w:rsid w:val="006B3342"/>
    <w:rsid w:val="006B338F"/>
    <w:rsid w:val="006B349E"/>
    <w:rsid w:val="006B359A"/>
    <w:rsid w:val="006B3610"/>
    <w:rsid w:val="006B363C"/>
    <w:rsid w:val="006B36D6"/>
    <w:rsid w:val="006B3754"/>
    <w:rsid w:val="006B37AC"/>
    <w:rsid w:val="006B381F"/>
    <w:rsid w:val="006B3AF3"/>
    <w:rsid w:val="006B3D9C"/>
    <w:rsid w:val="006B3E53"/>
    <w:rsid w:val="006B423F"/>
    <w:rsid w:val="006B42D7"/>
    <w:rsid w:val="006B4321"/>
    <w:rsid w:val="006B445F"/>
    <w:rsid w:val="006B4492"/>
    <w:rsid w:val="006B4685"/>
    <w:rsid w:val="006B468E"/>
    <w:rsid w:val="006B477C"/>
    <w:rsid w:val="006B4842"/>
    <w:rsid w:val="006B497B"/>
    <w:rsid w:val="006B4A70"/>
    <w:rsid w:val="006B4AB4"/>
    <w:rsid w:val="006B4E2B"/>
    <w:rsid w:val="006B4FC4"/>
    <w:rsid w:val="006B5069"/>
    <w:rsid w:val="006B50FC"/>
    <w:rsid w:val="006B521F"/>
    <w:rsid w:val="006B53E9"/>
    <w:rsid w:val="006B53F9"/>
    <w:rsid w:val="006B5552"/>
    <w:rsid w:val="006B5686"/>
    <w:rsid w:val="006B57EA"/>
    <w:rsid w:val="006B58AD"/>
    <w:rsid w:val="006B5966"/>
    <w:rsid w:val="006B5BAA"/>
    <w:rsid w:val="006B5D85"/>
    <w:rsid w:val="006B5E57"/>
    <w:rsid w:val="006B5F4F"/>
    <w:rsid w:val="006B5F88"/>
    <w:rsid w:val="006B5FAA"/>
    <w:rsid w:val="006B6065"/>
    <w:rsid w:val="006B6099"/>
    <w:rsid w:val="006B6243"/>
    <w:rsid w:val="006B6333"/>
    <w:rsid w:val="006B6554"/>
    <w:rsid w:val="006B6870"/>
    <w:rsid w:val="006B68B5"/>
    <w:rsid w:val="006B6BA1"/>
    <w:rsid w:val="006B6BC3"/>
    <w:rsid w:val="006B6DD8"/>
    <w:rsid w:val="006B6EB9"/>
    <w:rsid w:val="006B6ECB"/>
    <w:rsid w:val="006B7123"/>
    <w:rsid w:val="006B7124"/>
    <w:rsid w:val="006B7179"/>
    <w:rsid w:val="006B71AB"/>
    <w:rsid w:val="006B7213"/>
    <w:rsid w:val="006B7295"/>
    <w:rsid w:val="006B7392"/>
    <w:rsid w:val="006B73F2"/>
    <w:rsid w:val="006B749C"/>
    <w:rsid w:val="006B78F9"/>
    <w:rsid w:val="006B7913"/>
    <w:rsid w:val="006B7914"/>
    <w:rsid w:val="006B7ADA"/>
    <w:rsid w:val="006B7B0D"/>
    <w:rsid w:val="006B7D02"/>
    <w:rsid w:val="006B7E98"/>
    <w:rsid w:val="006B7F6E"/>
    <w:rsid w:val="006C0019"/>
    <w:rsid w:val="006C00F9"/>
    <w:rsid w:val="006C0192"/>
    <w:rsid w:val="006C01F9"/>
    <w:rsid w:val="006C02B8"/>
    <w:rsid w:val="006C032E"/>
    <w:rsid w:val="006C049E"/>
    <w:rsid w:val="006C0811"/>
    <w:rsid w:val="006C086D"/>
    <w:rsid w:val="006C08D4"/>
    <w:rsid w:val="006C0BCC"/>
    <w:rsid w:val="006C0BF1"/>
    <w:rsid w:val="006C0C53"/>
    <w:rsid w:val="006C0C81"/>
    <w:rsid w:val="006C0E4E"/>
    <w:rsid w:val="006C0F4F"/>
    <w:rsid w:val="006C1027"/>
    <w:rsid w:val="006C127B"/>
    <w:rsid w:val="006C16A5"/>
    <w:rsid w:val="006C192F"/>
    <w:rsid w:val="006C1AC5"/>
    <w:rsid w:val="006C2027"/>
    <w:rsid w:val="006C2467"/>
    <w:rsid w:val="006C2508"/>
    <w:rsid w:val="006C25D6"/>
    <w:rsid w:val="006C25E1"/>
    <w:rsid w:val="006C27A8"/>
    <w:rsid w:val="006C299C"/>
    <w:rsid w:val="006C29FA"/>
    <w:rsid w:val="006C2A37"/>
    <w:rsid w:val="006C2B65"/>
    <w:rsid w:val="006C2C03"/>
    <w:rsid w:val="006C2D32"/>
    <w:rsid w:val="006C2D87"/>
    <w:rsid w:val="006C2DB4"/>
    <w:rsid w:val="006C2E3C"/>
    <w:rsid w:val="006C2E65"/>
    <w:rsid w:val="006C2EC0"/>
    <w:rsid w:val="006C3026"/>
    <w:rsid w:val="006C315C"/>
    <w:rsid w:val="006C3274"/>
    <w:rsid w:val="006C3308"/>
    <w:rsid w:val="006C342D"/>
    <w:rsid w:val="006C34E8"/>
    <w:rsid w:val="006C3514"/>
    <w:rsid w:val="006C357A"/>
    <w:rsid w:val="006C3657"/>
    <w:rsid w:val="006C38DD"/>
    <w:rsid w:val="006C3950"/>
    <w:rsid w:val="006C396F"/>
    <w:rsid w:val="006C39F6"/>
    <w:rsid w:val="006C3A5F"/>
    <w:rsid w:val="006C3B40"/>
    <w:rsid w:val="006C3F03"/>
    <w:rsid w:val="006C3F25"/>
    <w:rsid w:val="006C431E"/>
    <w:rsid w:val="006C4546"/>
    <w:rsid w:val="006C458B"/>
    <w:rsid w:val="006C4665"/>
    <w:rsid w:val="006C4827"/>
    <w:rsid w:val="006C482E"/>
    <w:rsid w:val="006C4A65"/>
    <w:rsid w:val="006C4AD3"/>
    <w:rsid w:val="006C4BDC"/>
    <w:rsid w:val="006C50E9"/>
    <w:rsid w:val="006C5188"/>
    <w:rsid w:val="006C5236"/>
    <w:rsid w:val="006C52BD"/>
    <w:rsid w:val="006C5314"/>
    <w:rsid w:val="006C5322"/>
    <w:rsid w:val="006C532A"/>
    <w:rsid w:val="006C53A7"/>
    <w:rsid w:val="006C5582"/>
    <w:rsid w:val="006C559B"/>
    <w:rsid w:val="006C571A"/>
    <w:rsid w:val="006C57B5"/>
    <w:rsid w:val="006C57EE"/>
    <w:rsid w:val="006C5851"/>
    <w:rsid w:val="006C5A01"/>
    <w:rsid w:val="006C5A4D"/>
    <w:rsid w:val="006C5C35"/>
    <w:rsid w:val="006C5E9C"/>
    <w:rsid w:val="006C607F"/>
    <w:rsid w:val="006C6191"/>
    <w:rsid w:val="006C62EE"/>
    <w:rsid w:val="006C6306"/>
    <w:rsid w:val="006C6308"/>
    <w:rsid w:val="006C637C"/>
    <w:rsid w:val="006C63E0"/>
    <w:rsid w:val="006C641A"/>
    <w:rsid w:val="006C654B"/>
    <w:rsid w:val="006C684B"/>
    <w:rsid w:val="006C6877"/>
    <w:rsid w:val="006C6959"/>
    <w:rsid w:val="006C6A0F"/>
    <w:rsid w:val="006C6BFF"/>
    <w:rsid w:val="006C6D53"/>
    <w:rsid w:val="006C6E5E"/>
    <w:rsid w:val="006C6EDD"/>
    <w:rsid w:val="006C6EFB"/>
    <w:rsid w:val="006C6F4C"/>
    <w:rsid w:val="006C6FDE"/>
    <w:rsid w:val="006C717B"/>
    <w:rsid w:val="006C7275"/>
    <w:rsid w:val="006C73FB"/>
    <w:rsid w:val="006C7728"/>
    <w:rsid w:val="006C7870"/>
    <w:rsid w:val="006C78F3"/>
    <w:rsid w:val="006C799A"/>
    <w:rsid w:val="006C7B31"/>
    <w:rsid w:val="006C7DA4"/>
    <w:rsid w:val="006C7F31"/>
    <w:rsid w:val="006D01D6"/>
    <w:rsid w:val="006D036A"/>
    <w:rsid w:val="006D045D"/>
    <w:rsid w:val="006D056E"/>
    <w:rsid w:val="006D0728"/>
    <w:rsid w:val="006D0733"/>
    <w:rsid w:val="006D0914"/>
    <w:rsid w:val="006D0D3E"/>
    <w:rsid w:val="006D0D74"/>
    <w:rsid w:val="006D0E89"/>
    <w:rsid w:val="006D0FC0"/>
    <w:rsid w:val="006D122C"/>
    <w:rsid w:val="006D13AA"/>
    <w:rsid w:val="006D1521"/>
    <w:rsid w:val="006D15A6"/>
    <w:rsid w:val="006D1699"/>
    <w:rsid w:val="006D17B0"/>
    <w:rsid w:val="006D1994"/>
    <w:rsid w:val="006D1C72"/>
    <w:rsid w:val="006D1CCC"/>
    <w:rsid w:val="006D1FF6"/>
    <w:rsid w:val="006D2081"/>
    <w:rsid w:val="006D2127"/>
    <w:rsid w:val="006D2195"/>
    <w:rsid w:val="006D22A5"/>
    <w:rsid w:val="006D236C"/>
    <w:rsid w:val="006D239F"/>
    <w:rsid w:val="006D23AC"/>
    <w:rsid w:val="006D2424"/>
    <w:rsid w:val="006D247D"/>
    <w:rsid w:val="006D2510"/>
    <w:rsid w:val="006D261A"/>
    <w:rsid w:val="006D267B"/>
    <w:rsid w:val="006D26EE"/>
    <w:rsid w:val="006D2874"/>
    <w:rsid w:val="006D28A3"/>
    <w:rsid w:val="006D2A90"/>
    <w:rsid w:val="006D2AD7"/>
    <w:rsid w:val="006D2BBD"/>
    <w:rsid w:val="006D2C67"/>
    <w:rsid w:val="006D2D72"/>
    <w:rsid w:val="006D2F62"/>
    <w:rsid w:val="006D2F7B"/>
    <w:rsid w:val="006D30AE"/>
    <w:rsid w:val="006D3362"/>
    <w:rsid w:val="006D36C7"/>
    <w:rsid w:val="006D3779"/>
    <w:rsid w:val="006D378B"/>
    <w:rsid w:val="006D3825"/>
    <w:rsid w:val="006D386D"/>
    <w:rsid w:val="006D39F4"/>
    <w:rsid w:val="006D3B71"/>
    <w:rsid w:val="006D3B9F"/>
    <w:rsid w:val="006D3BEB"/>
    <w:rsid w:val="006D3BED"/>
    <w:rsid w:val="006D3CD7"/>
    <w:rsid w:val="006D3E8C"/>
    <w:rsid w:val="006D3F1F"/>
    <w:rsid w:val="006D3F83"/>
    <w:rsid w:val="006D3F85"/>
    <w:rsid w:val="006D3F9F"/>
    <w:rsid w:val="006D40D1"/>
    <w:rsid w:val="006D40FB"/>
    <w:rsid w:val="006D44C8"/>
    <w:rsid w:val="006D45EA"/>
    <w:rsid w:val="006D4A1C"/>
    <w:rsid w:val="006D4D95"/>
    <w:rsid w:val="006D4D9D"/>
    <w:rsid w:val="006D4DCD"/>
    <w:rsid w:val="006D5028"/>
    <w:rsid w:val="006D527C"/>
    <w:rsid w:val="006D539A"/>
    <w:rsid w:val="006D5522"/>
    <w:rsid w:val="006D5642"/>
    <w:rsid w:val="006D5648"/>
    <w:rsid w:val="006D56B7"/>
    <w:rsid w:val="006D57C2"/>
    <w:rsid w:val="006D58E3"/>
    <w:rsid w:val="006D5A63"/>
    <w:rsid w:val="006D5AB1"/>
    <w:rsid w:val="006D5C8C"/>
    <w:rsid w:val="006D5FA0"/>
    <w:rsid w:val="006D621E"/>
    <w:rsid w:val="006D6500"/>
    <w:rsid w:val="006D6DBA"/>
    <w:rsid w:val="006D7080"/>
    <w:rsid w:val="006D72FC"/>
    <w:rsid w:val="006D7652"/>
    <w:rsid w:val="006D7739"/>
    <w:rsid w:val="006D782C"/>
    <w:rsid w:val="006D7860"/>
    <w:rsid w:val="006D78DD"/>
    <w:rsid w:val="006D796D"/>
    <w:rsid w:val="006D79D2"/>
    <w:rsid w:val="006D7B17"/>
    <w:rsid w:val="006D7B5C"/>
    <w:rsid w:val="006D7E12"/>
    <w:rsid w:val="006D7EDC"/>
    <w:rsid w:val="006D7FFE"/>
    <w:rsid w:val="006E024C"/>
    <w:rsid w:val="006E0339"/>
    <w:rsid w:val="006E052B"/>
    <w:rsid w:val="006E05C2"/>
    <w:rsid w:val="006E068E"/>
    <w:rsid w:val="006E0743"/>
    <w:rsid w:val="006E0915"/>
    <w:rsid w:val="006E09F2"/>
    <w:rsid w:val="006E0C77"/>
    <w:rsid w:val="006E0CB2"/>
    <w:rsid w:val="006E0CE4"/>
    <w:rsid w:val="006E0D1F"/>
    <w:rsid w:val="006E0F94"/>
    <w:rsid w:val="006E1086"/>
    <w:rsid w:val="006E1236"/>
    <w:rsid w:val="006E12E3"/>
    <w:rsid w:val="006E12EB"/>
    <w:rsid w:val="006E1350"/>
    <w:rsid w:val="006E1651"/>
    <w:rsid w:val="006E18A2"/>
    <w:rsid w:val="006E18B4"/>
    <w:rsid w:val="006E1A5A"/>
    <w:rsid w:val="006E1AC5"/>
    <w:rsid w:val="006E1B4A"/>
    <w:rsid w:val="006E1B71"/>
    <w:rsid w:val="006E1C40"/>
    <w:rsid w:val="006E1E8E"/>
    <w:rsid w:val="006E1ED9"/>
    <w:rsid w:val="006E1EF2"/>
    <w:rsid w:val="006E20F5"/>
    <w:rsid w:val="006E237C"/>
    <w:rsid w:val="006E2436"/>
    <w:rsid w:val="006E2464"/>
    <w:rsid w:val="006E248C"/>
    <w:rsid w:val="006E268D"/>
    <w:rsid w:val="006E26A0"/>
    <w:rsid w:val="006E27A3"/>
    <w:rsid w:val="006E28FC"/>
    <w:rsid w:val="006E29BB"/>
    <w:rsid w:val="006E2A90"/>
    <w:rsid w:val="006E2AE0"/>
    <w:rsid w:val="006E2AF6"/>
    <w:rsid w:val="006E2BBE"/>
    <w:rsid w:val="006E2CA7"/>
    <w:rsid w:val="006E2D25"/>
    <w:rsid w:val="006E2EA5"/>
    <w:rsid w:val="006E2EBB"/>
    <w:rsid w:val="006E3153"/>
    <w:rsid w:val="006E31E8"/>
    <w:rsid w:val="006E3219"/>
    <w:rsid w:val="006E33B0"/>
    <w:rsid w:val="006E3585"/>
    <w:rsid w:val="006E3789"/>
    <w:rsid w:val="006E3826"/>
    <w:rsid w:val="006E38BA"/>
    <w:rsid w:val="006E3CEC"/>
    <w:rsid w:val="006E3F05"/>
    <w:rsid w:val="006E4118"/>
    <w:rsid w:val="006E4282"/>
    <w:rsid w:val="006E438D"/>
    <w:rsid w:val="006E4413"/>
    <w:rsid w:val="006E441A"/>
    <w:rsid w:val="006E44AA"/>
    <w:rsid w:val="006E47D2"/>
    <w:rsid w:val="006E481D"/>
    <w:rsid w:val="006E4827"/>
    <w:rsid w:val="006E4974"/>
    <w:rsid w:val="006E4A45"/>
    <w:rsid w:val="006E4AB2"/>
    <w:rsid w:val="006E4B36"/>
    <w:rsid w:val="006E4F88"/>
    <w:rsid w:val="006E4FF9"/>
    <w:rsid w:val="006E5040"/>
    <w:rsid w:val="006E5041"/>
    <w:rsid w:val="006E5246"/>
    <w:rsid w:val="006E5259"/>
    <w:rsid w:val="006E565D"/>
    <w:rsid w:val="006E5684"/>
    <w:rsid w:val="006E591B"/>
    <w:rsid w:val="006E5A6A"/>
    <w:rsid w:val="006E5A91"/>
    <w:rsid w:val="006E5AE2"/>
    <w:rsid w:val="006E5AF8"/>
    <w:rsid w:val="006E5C71"/>
    <w:rsid w:val="006E5DAD"/>
    <w:rsid w:val="006E5F48"/>
    <w:rsid w:val="006E5FE7"/>
    <w:rsid w:val="006E60C7"/>
    <w:rsid w:val="006E60D6"/>
    <w:rsid w:val="006E60F4"/>
    <w:rsid w:val="006E6108"/>
    <w:rsid w:val="006E610C"/>
    <w:rsid w:val="006E61E6"/>
    <w:rsid w:val="006E639F"/>
    <w:rsid w:val="006E63AB"/>
    <w:rsid w:val="006E64AF"/>
    <w:rsid w:val="006E6635"/>
    <w:rsid w:val="006E66A0"/>
    <w:rsid w:val="006E66B0"/>
    <w:rsid w:val="006E6796"/>
    <w:rsid w:val="006E699C"/>
    <w:rsid w:val="006E6A29"/>
    <w:rsid w:val="006E6CA5"/>
    <w:rsid w:val="006E6E09"/>
    <w:rsid w:val="006E7049"/>
    <w:rsid w:val="006E7138"/>
    <w:rsid w:val="006E7186"/>
    <w:rsid w:val="006E7359"/>
    <w:rsid w:val="006E7370"/>
    <w:rsid w:val="006E7563"/>
    <w:rsid w:val="006E75AA"/>
    <w:rsid w:val="006E764F"/>
    <w:rsid w:val="006E76D5"/>
    <w:rsid w:val="006E7791"/>
    <w:rsid w:val="006E7843"/>
    <w:rsid w:val="006E790E"/>
    <w:rsid w:val="006E7A2A"/>
    <w:rsid w:val="006E7B6E"/>
    <w:rsid w:val="006E7C20"/>
    <w:rsid w:val="006F02EB"/>
    <w:rsid w:val="006F078C"/>
    <w:rsid w:val="006F083C"/>
    <w:rsid w:val="006F09A4"/>
    <w:rsid w:val="006F09D2"/>
    <w:rsid w:val="006F09D7"/>
    <w:rsid w:val="006F0A61"/>
    <w:rsid w:val="006F0C6C"/>
    <w:rsid w:val="006F0C75"/>
    <w:rsid w:val="006F0DDC"/>
    <w:rsid w:val="006F0E92"/>
    <w:rsid w:val="006F0F83"/>
    <w:rsid w:val="006F0F8B"/>
    <w:rsid w:val="006F0FB4"/>
    <w:rsid w:val="006F1046"/>
    <w:rsid w:val="006F10D0"/>
    <w:rsid w:val="006F11AD"/>
    <w:rsid w:val="006F11F1"/>
    <w:rsid w:val="006F13BC"/>
    <w:rsid w:val="006F1425"/>
    <w:rsid w:val="006F1517"/>
    <w:rsid w:val="006F1672"/>
    <w:rsid w:val="006F181E"/>
    <w:rsid w:val="006F1A9D"/>
    <w:rsid w:val="006F1ACE"/>
    <w:rsid w:val="006F1DDD"/>
    <w:rsid w:val="006F21E7"/>
    <w:rsid w:val="006F2211"/>
    <w:rsid w:val="006F225C"/>
    <w:rsid w:val="006F22AB"/>
    <w:rsid w:val="006F23B9"/>
    <w:rsid w:val="006F23C0"/>
    <w:rsid w:val="006F2449"/>
    <w:rsid w:val="006F2742"/>
    <w:rsid w:val="006F27CA"/>
    <w:rsid w:val="006F281E"/>
    <w:rsid w:val="006F2837"/>
    <w:rsid w:val="006F286E"/>
    <w:rsid w:val="006F28ED"/>
    <w:rsid w:val="006F297E"/>
    <w:rsid w:val="006F2AD5"/>
    <w:rsid w:val="006F2AFE"/>
    <w:rsid w:val="006F2DCA"/>
    <w:rsid w:val="006F2DCD"/>
    <w:rsid w:val="006F2E69"/>
    <w:rsid w:val="006F2FDF"/>
    <w:rsid w:val="006F34AA"/>
    <w:rsid w:val="006F353B"/>
    <w:rsid w:val="006F37CD"/>
    <w:rsid w:val="006F393A"/>
    <w:rsid w:val="006F3BE3"/>
    <w:rsid w:val="006F3D1F"/>
    <w:rsid w:val="006F3E08"/>
    <w:rsid w:val="006F3E49"/>
    <w:rsid w:val="006F3EEE"/>
    <w:rsid w:val="006F4035"/>
    <w:rsid w:val="006F4043"/>
    <w:rsid w:val="006F4062"/>
    <w:rsid w:val="006F416E"/>
    <w:rsid w:val="006F4292"/>
    <w:rsid w:val="006F42E3"/>
    <w:rsid w:val="006F43DA"/>
    <w:rsid w:val="006F4411"/>
    <w:rsid w:val="006F4456"/>
    <w:rsid w:val="006F4477"/>
    <w:rsid w:val="006F44C4"/>
    <w:rsid w:val="006F451A"/>
    <w:rsid w:val="006F4550"/>
    <w:rsid w:val="006F469C"/>
    <w:rsid w:val="006F46ED"/>
    <w:rsid w:val="006F46FF"/>
    <w:rsid w:val="006F49A7"/>
    <w:rsid w:val="006F4A8B"/>
    <w:rsid w:val="006F4D6E"/>
    <w:rsid w:val="006F4DBC"/>
    <w:rsid w:val="006F4DCD"/>
    <w:rsid w:val="006F4FD6"/>
    <w:rsid w:val="006F5185"/>
    <w:rsid w:val="006F5251"/>
    <w:rsid w:val="006F5253"/>
    <w:rsid w:val="006F547A"/>
    <w:rsid w:val="006F57B1"/>
    <w:rsid w:val="006F5921"/>
    <w:rsid w:val="006F59D4"/>
    <w:rsid w:val="006F5B2E"/>
    <w:rsid w:val="006F5B9D"/>
    <w:rsid w:val="006F5C00"/>
    <w:rsid w:val="006F6108"/>
    <w:rsid w:val="006F612C"/>
    <w:rsid w:val="006F6276"/>
    <w:rsid w:val="006F6517"/>
    <w:rsid w:val="006F6A4B"/>
    <w:rsid w:val="006F6BF3"/>
    <w:rsid w:val="006F6CC2"/>
    <w:rsid w:val="006F6D7C"/>
    <w:rsid w:val="006F6DD2"/>
    <w:rsid w:val="006F6EFE"/>
    <w:rsid w:val="006F748B"/>
    <w:rsid w:val="006F7621"/>
    <w:rsid w:val="006F7957"/>
    <w:rsid w:val="006F79DE"/>
    <w:rsid w:val="006F7A83"/>
    <w:rsid w:val="006F7ACB"/>
    <w:rsid w:val="006F7F2A"/>
    <w:rsid w:val="006F7F64"/>
    <w:rsid w:val="006F7FAC"/>
    <w:rsid w:val="0070003A"/>
    <w:rsid w:val="00700053"/>
    <w:rsid w:val="0070024D"/>
    <w:rsid w:val="007002B8"/>
    <w:rsid w:val="00700376"/>
    <w:rsid w:val="007003E5"/>
    <w:rsid w:val="00700427"/>
    <w:rsid w:val="00700474"/>
    <w:rsid w:val="00700607"/>
    <w:rsid w:val="00700664"/>
    <w:rsid w:val="00700BBE"/>
    <w:rsid w:val="00700C8E"/>
    <w:rsid w:val="00700D9B"/>
    <w:rsid w:val="00700DCF"/>
    <w:rsid w:val="00700E9A"/>
    <w:rsid w:val="00700EB5"/>
    <w:rsid w:val="00700F40"/>
    <w:rsid w:val="00700F5B"/>
    <w:rsid w:val="00700F77"/>
    <w:rsid w:val="00700FA0"/>
    <w:rsid w:val="0070136A"/>
    <w:rsid w:val="007013C2"/>
    <w:rsid w:val="00701430"/>
    <w:rsid w:val="0070149A"/>
    <w:rsid w:val="0070159D"/>
    <w:rsid w:val="00701648"/>
    <w:rsid w:val="00701811"/>
    <w:rsid w:val="007018CC"/>
    <w:rsid w:val="00701AB2"/>
    <w:rsid w:val="00701CCE"/>
    <w:rsid w:val="00701D90"/>
    <w:rsid w:val="00701E40"/>
    <w:rsid w:val="007020C0"/>
    <w:rsid w:val="00702175"/>
    <w:rsid w:val="007021C7"/>
    <w:rsid w:val="007021CE"/>
    <w:rsid w:val="0070234F"/>
    <w:rsid w:val="007023EE"/>
    <w:rsid w:val="0070249B"/>
    <w:rsid w:val="00702604"/>
    <w:rsid w:val="007026A0"/>
    <w:rsid w:val="0070270D"/>
    <w:rsid w:val="0070287D"/>
    <w:rsid w:val="007028A3"/>
    <w:rsid w:val="00702965"/>
    <w:rsid w:val="007029AB"/>
    <w:rsid w:val="00702A89"/>
    <w:rsid w:val="00702AF6"/>
    <w:rsid w:val="00702B46"/>
    <w:rsid w:val="00702F92"/>
    <w:rsid w:val="007031AC"/>
    <w:rsid w:val="007031B9"/>
    <w:rsid w:val="0070336E"/>
    <w:rsid w:val="007033F8"/>
    <w:rsid w:val="007038B1"/>
    <w:rsid w:val="007038F3"/>
    <w:rsid w:val="00703A90"/>
    <w:rsid w:val="00703BB2"/>
    <w:rsid w:val="00703BD1"/>
    <w:rsid w:val="00703CC2"/>
    <w:rsid w:val="00703D1A"/>
    <w:rsid w:val="00703E0C"/>
    <w:rsid w:val="007041DA"/>
    <w:rsid w:val="00704203"/>
    <w:rsid w:val="007042E4"/>
    <w:rsid w:val="007043B2"/>
    <w:rsid w:val="00704500"/>
    <w:rsid w:val="007045F4"/>
    <w:rsid w:val="00704890"/>
    <w:rsid w:val="007048F8"/>
    <w:rsid w:val="007048FA"/>
    <w:rsid w:val="007049B9"/>
    <w:rsid w:val="00704A34"/>
    <w:rsid w:val="00704A92"/>
    <w:rsid w:val="00704B26"/>
    <w:rsid w:val="00704EF0"/>
    <w:rsid w:val="0070500D"/>
    <w:rsid w:val="0070502F"/>
    <w:rsid w:val="0070508F"/>
    <w:rsid w:val="0070523F"/>
    <w:rsid w:val="00705348"/>
    <w:rsid w:val="00705386"/>
    <w:rsid w:val="007056A3"/>
    <w:rsid w:val="00705807"/>
    <w:rsid w:val="0070580A"/>
    <w:rsid w:val="00705947"/>
    <w:rsid w:val="007059A5"/>
    <w:rsid w:val="00705AF7"/>
    <w:rsid w:val="00705B8D"/>
    <w:rsid w:val="00705E30"/>
    <w:rsid w:val="00705F63"/>
    <w:rsid w:val="00706061"/>
    <w:rsid w:val="00706121"/>
    <w:rsid w:val="007061E7"/>
    <w:rsid w:val="007062E6"/>
    <w:rsid w:val="007063CC"/>
    <w:rsid w:val="00706436"/>
    <w:rsid w:val="00706448"/>
    <w:rsid w:val="007066AB"/>
    <w:rsid w:val="0070675E"/>
    <w:rsid w:val="007069C9"/>
    <w:rsid w:val="00706B65"/>
    <w:rsid w:val="00706D77"/>
    <w:rsid w:val="00706DBF"/>
    <w:rsid w:val="00706DCA"/>
    <w:rsid w:val="00706FEC"/>
    <w:rsid w:val="007070EE"/>
    <w:rsid w:val="00707144"/>
    <w:rsid w:val="007073B5"/>
    <w:rsid w:val="0070742F"/>
    <w:rsid w:val="0070744D"/>
    <w:rsid w:val="0070746F"/>
    <w:rsid w:val="007076EF"/>
    <w:rsid w:val="007077F6"/>
    <w:rsid w:val="0070789B"/>
    <w:rsid w:val="00707BE6"/>
    <w:rsid w:val="00707C00"/>
    <w:rsid w:val="00707CB7"/>
    <w:rsid w:val="00707D05"/>
    <w:rsid w:val="00707D85"/>
    <w:rsid w:val="00707F42"/>
    <w:rsid w:val="0071007B"/>
    <w:rsid w:val="0071009B"/>
    <w:rsid w:val="007100A1"/>
    <w:rsid w:val="007100E1"/>
    <w:rsid w:val="00710283"/>
    <w:rsid w:val="00710374"/>
    <w:rsid w:val="007103FC"/>
    <w:rsid w:val="0071046E"/>
    <w:rsid w:val="00710722"/>
    <w:rsid w:val="0071074D"/>
    <w:rsid w:val="007107A7"/>
    <w:rsid w:val="007109E4"/>
    <w:rsid w:val="00710D5C"/>
    <w:rsid w:val="00710DF3"/>
    <w:rsid w:val="00710F68"/>
    <w:rsid w:val="00710FF9"/>
    <w:rsid w:val="007110CC"/>
    <w:rsid w:val="0071126D"/>
    <w:rsid w:val="007114FD"/>
    <w:rsid w:val="00711658"/>
    <w:rsid w:val="00711678"/>
    <w:rsid w:val="0071176B"/>
    <w:rsid w:val="007117FA"/>
    <w:rsid w:val="00711802"/>
    <w:rsid w:val="0071189F"/>
    <w:rsid w:val="00711AFB"/>
    <w:rsid w:val="00711B38"/>
    <w:rsid w:val="00711B42"/>
    <w:rsid w:val="00711BF3"/>
    <w:rsid w:val="00711DE1"/>
    <w:rsid w:val="00711E5C"/>
    <w:rsid w:val="0071200D"/>
    <w:rsid w:val="0071217F"/>
    <w:rsid w:val="00712343"/>
    <w:rsid w:val="0071245E"/>
    <w:rsid w:val="00712462"/>
    <w:rsid w:val="007125B0"/>
    <w:rsid w:val="00712633"/>
    <w:rsid w:val="00712752"/>
    <w:rsid w:val="00712869"/>
    <w:rsid w:val="00712AAB"/>
    <w:rsid w:val="00712AC4"/>
    <w:rsid w:val="00712CDF"/>
    <w:rsid w:val="00712CF9"/>
    <w:rsid w:val="00712E09"/>
    <w:rsid w:val="00712E88"/>
    <w:rsid w:val="00712EA5"/>
    <w:rsid w:val="00712F72"/>
    <w:rsid w:val="00712FDB"/>
    <w:rsid w:val="0071309F"/>
    <w:rsid w:val="00713142"/>
    <w:rsid w:val="007134DC"/>
    <w:rsid w:val="0071365A"/>
    <w:rsid w:val="007139B5"/>
    <w:rsid w:val="00713B63"/>
    <w:rsid w:val="00713B6C"/>
    <w:rsid w:val="00713D91"/>
    <w:rsid w:val="00713DDF"/>
    <w:rsid w:val="00713F26"/>
    <w:rsid w:val="007140AD"/>
    <w:rsid w:val="00714324"/>
    <w:rsid w:val="0071464A"/>
    <w:rsid w:val="007146C7"/>
    <w:rsid w:val="00714840"/>
    <w:rsid w:val="00714911"/>
    <w:rsid w:val="00714998"/>
    <w:rsid w:val="00714C17"/>
    <w:rsid w:val="00714C73"/>
    <w:rsid w:val="0071519C"/>
    <w:rsid w:val="007155FE"/>
    <w:rsid w:val="00715724"/>
    <w:rsid w:val="00715736"/>
    <w:rsid w:val="00715888"/>
    <w:rsid w:val="007158C1"/>
    <w:rsid w:val="007158E5"/>
    <w:rsid w:val="00715A8C"/>
    <w:rsid w:val="00715ACE"/>
    <w:rsid w:val="00715E9A"/>
    <w:rsid w:val="00715EBB"/>
    <w:rsid w:val="00715F27"/>
    <w:rsid w:val="00715F3D"/>
    <w:rsid w:val="00715FA1"/>
    <w:rsid w:val="00715FBD"/>
    <w:rsid w:val="00715FCF"/>
    <w:rsid w:val="00716071"/>
    <w:rsid w:val="0071609D"/>
    <w:rsid w:val="00716132"/>
    <w:rsid w:val="0071615E"/>
    <w:rsid w:val="0071626D"/>
    <w:rsid w:val="007162D4"/>
    <w:rsid w:val="00716382"/>
    <w:rsid w:val="007163B7"/>
    <w:rsid w:val="0071649F"/>
    <w:rsid w:val="007164F7"/>
    <w:rsid w:val="0071652D"/>
    <w:rsid w:val="007165DC"/>
    <w:rsid w:val="0071661E"/>
    <w:rsid w:val="0071679A"/>
    <w:rsid w:val="00716B39"/>
    <w:rsid w:val="00716B8D"/>
    <w:rsid w:val="00716F1F"/>
    <w:rsid w:val="00716FB8"/>
    <w:rsid w:val="007170AD"/>
    <w:rsid w:val="007170F1"/>
    <w:rsid w:val="0071720D"/>
    <w:rsid w:val="0071726E"/>
    <w:rsid w:val="007173DD"/>
    <w:rsid w:val="007174A5"/>
    <w:rsid w:val="007175AD"/>
    <w:rsid w:val="007175C9"/>
    <w:rsid w:val="0071778D"/>
    <w:rsid w:val="0071790C"/>
    <w:rsid w:val="00717A1E"/>
    <w:rsid w:val="00717A61"/>
    <w:rsid w:val="00717AFD"/>
    <w:rsid w:val="00717C5D"/>
    <w:rsid w:val="00717C8B"/>
    <w:rsid w:val="00717D19"/>
    <w:rsid w:val="00717D4D"/>
    <w:rsid w:val="00717DA5"/>
    <w:rsid w:val="00717EAF"/>
    <w:rsid w:val="00717F89"/>
    <w:rsid w:val="00717FB5"/>
    <w:rsid w:val="00720289"/>
    <w:rsid w:val="007202B9"/>
    <w:rsid w:val="007202ED"/>
    <w:rsid w:val="00720470"/>
    <w:rsid w:val="007204B9"/>
    <w:rsid w:val="00720761"/>
    <w:rsid w:val="00720809"/>
    <w:rsid w:val="00720881"/>
    <w:rsid w:val="007209EA"/>
    <w:rsid w:val="00720BF2"/>
    <w:rsid w:val="00720C32"/>
    <w:rsid w:val="00720F58"/>
    <w:rsid w:val="007211B4"/>
    <w:rsid w:val="00721339"/>
    <w:rsid w:val="0072142F"/>
    <w:rsid w:val="00721659"/>
    <w:rsid w:val="007216F5"/>
    <w:rsid w:val="00721737"/>
    <w:rsid w:val="0072178E"/>
    <w:rsid w:val="00721A40"/>
    <w:rsid w:val="00721BA2"/>
    <w:rsid w:val="00721BB0"/>
    <w:rsid w:val="00721BCD"/>
    <w:rsid w:val="00721D43"/>
    <w:rsid w:val="00721D87"/>
    <w:rsid w:val="00721EA2"/>
    <w:rsid w:val="00722346"/>
    <w:rsid w:val="007224A3"/>
    <w:rsid w:val="007224F3"/>
    <w:rsid w:val="0072254F"/>
    <w:rsid w:val="00722586"/>
    <w:rsid w:val="007226DF"/>
    <w:rsid w:val="00722A80"/>
    <w:rsid w:val="00722AC4"/>
    <w:rsid w:val="00722B83"/>
    <w:rsid w:val="00722BCD"/>
    <w:rsid w:val="00722C6C"/>
    <w:rsid w:val="00722D07"/>
    <w:rsid w:val="00722E83"/>
    <w:rsid w:val="00722F3C"/>
    <w:rsid w:val="00722F73"/>
    <w:rsid w:val="00722FDC"/>
    <w:rsid w:val="00723013"/>
    <w:rsid w:val="007232C7"/>
    <w:rsid w:val="0072348A"/>
    <w:rsid w:val="007235CD"/>
    <w:rsid w:val="007235F8"/>
    <w:rsid w:val="00723ADB"/>
    <w:rsid w:val="00723D23"/>
    <w:rsid w:val="00723D93"/>
    <w:rsid w:val="00723E57"/>
    <w:rsid w:val="00723EDE"/>
    <w:rsid w:val="00723F6A"/>
    <w:rsid w:val="00723FD1"/>
    <w:rsid w:val="00723FD7"/>
    <w:rsid w:val="00723FFE"/>
    <w:rsid w:val="0072409F"/>
    <w:rsid w:val="00724163"/>
    <w:rsid w:val="007241FD"/>
    <w:rsid w:val="0072442C"/>
    <w:rsid w:val="007244AB"/>
    <w:rsid w:val="007245D4"/>
    <w:rsid w:val="00724931"/>
    <w:rsid w:val="0072494A"/>
    <w:rsid w:val="00724981"/>
    <w:rsid w:val="00724D63"/>
    <w:rsid w:val="00724DF7"/>
    <w:rsid w:val="007250B2"/>
    <w:rsid w:val="007250D3"/>
    <w:rsid w:val="007250EC"/>
    <w:rsid w:val="00725111"/>
    <w:rsid w:val="00725411"/>
    <w:rsid w:val="00725467"/>
    <w:rsid w:val="00725490"/>
    <w:rsid w:val="00725618"/>
    <w:rsid w:val="007257A4"/>
    <w:rsid w:val="00725825"/>
    <w:rsid w:val="0072591E"/>
    <w:rsid w:val="00725B99"/>
    <w:rsid w:val="00725BF6"/>
    <w:rsid w:val="00725BFD"/>
    <w:rsid w:val="00725D07"/>
    <w:rsid w:val="00725EF0"/>
    <w:rsid w:val="0072607F"/>
    <w:rsid w:val="00726080"/>
    <w:rsid w:val="00726166"/>
    <w:rsid w:val="0072624A"/>
    <w:rsid w:val="0072646E"/>
    <w:rsid w:val="00726575"/>
    <w:rsid w:val="00726613"/>
    <w:rsid w:val="007267F9"/>
    <w:rsid w:val="0072684E"/>
    <w:rsid w:val="0072694A"/>
    <w:rsid w:val="00726B09"/>
    <w:rsid w:val="00726C9A"/>
    <w:rsid w:val="00726CAB"/>
    <w:rsid w:val="00726DC4"/>
    <w:rsid w:val="00726DF1"/>
    <w:rsid w:val="00726E09"/>
    <w:rsid w:val="00726E24"/>
    <w:rsid w:val="00726FBA"/>
    <w:rsid w:val="00726FE1"/>
    <w:rsid w:val="0072715C"/>
    <w:rsid w:val="007273D4"/>
    <w:rsid w:val="00727510"/>
    <w:rsid w:val="00727712"/>
    <w:rsid w:val="00727AB8"/>
    <w:rsid w:val="00727C08"/>
    <w:rsid w:val="00727FED"/>
    <w:rsid w:val="00730277"/>
    <w:rsid w:val="00730543"/>
    <w:rsid w:val="007305F1"/>
    <w:rsid w:val="00730659"/>
    <w:rsid w:val="007306D5"/>
    <w:rsid w:val="0073074E"/>
    <w:rsid w:val="007307A1"/>
    <w:rsid w:val="007307C8"/>
    <w:rsid w:val="00730D24"/>
    <w:rsid w:val="00730E30"/>
    <w:rsid w:val="00730FC8"/>
    <w:rsid w:val="00731049"/>
    <w:rsid w:val="007311D7"/>
    <w:rsid w:val="0073143D"/>
    <w:rsid w:val="00731579"/>
    <w:rsid w:val="00731937"/>
    <w:rsid w:val="00731ADE"/>
    <w:rsid w:val="00731B93"/>
    <w:rsid w:val="00731C2F"/>
    <w:rsid w:val="00731E5E"/>
    <w:rsid w:val="00731EFE"/>
    <w:rsid w:val="00731FF2"/>
    <w:rsid w:val="00732056"/>
    <w:rsid w:val="007321B6"/>
    <w:rsid w:val="007322FA"/>
    <w:rsid w:val="00732393"/>
    <w:rsid w:val="0073243E"/>
    <w:rsid w:val="00732482"/>
    <w:rsid w:val="00732605"/>
    <w:rsid w:val="00732771"/>
    <w:rsid w:val="00732C21"/>
    <w:rsid w:val="00732C77"/>
    <w:rsid w:val="00732C84"/>
    <w:rsid w:val="00732CAD"/>
    <w:rsid w:val="00732DD7"/>
    <w:rsid w:val="00732F6D"/>
    <w:rsid w:val="0073315C"/>
    <w:rsid w:val="0073341F"/>
    <w:rsid w:val="0073346F"/>
    <w:rsid w:val="00733522"/>
    <w:rsid w:val="00733556"/>
    <w:rsid w:val="007337DF"/>
    <w:rsid w:val="00733860"/>
    <w:rsid w:val="007338C6"/>
    <w:rsid w:val="00733A96"/>
    <w:rsid w:val="00733B5E"/>
    <w:rsid w:val="00733B66"/>
    <w:rsid w:val="00733F15"/>
    <w:rsid w:val="00733F45"/>
    <w:rsid w:val="00733F91"/>
    <w:rsid w:val="00734208"/>
    <w:rsid w:val="007342F6"/>
    <w:rsid w:val="0073441F"/>
    <w:rsid w:val="0073446B"/>
    <w:rsid w:val="007344C8"/>
    <w:rsid w:val="00734600"/>
    <w:rsid w:val="00734795"/>
    <w:rsid w:val="00734896"/>
    <w:rsid w:val="007348CB"/>
    <w:rsid w:val="007348D5"/>
    <w:rsid w:val="00734A74"/>
    <w:rsid w:val="00734A90"/>
    <w:rsid w:val="00734CE2"/>
    <w:rsid w:val="00734CFF"/>
    <w:rsid w:val="00734D4A"/>
    <w:rsid w:val="00734F55"/>
    <w:rsid w:val="00734FA6"/>
    <w:rsid w:val="0073500B"/>
    <w:rsid w:val="0073517D"/>
    <w:rsid w:val="007351C0"/>
    <w:rsid w:val="00735471"/>
    <w:rsid w:val="00735697"/>
    <w:rsid w:val="0073584D"/>
    <w:rsid w:val="00735A86"/>
    <w:rsid w:val="00735AFD"/>
    <w:rsid w:val="00735B64"/>
    <w:rsid w:val="00735CFB"/>
    <w:rsid w:val="00735DCE"/>
    <w:rsid w:val="0073642B"/>
    <w:rsid w:val="007364DC"/>
    <w:rsid w:val="0073663F"/>
    <w:rsid w:val="007367BC"/>
    <w:rsid w:val="007367DB"/>
    <w:rsid w:val="00736984"/>
    <w:rsid w:val="00736F00"/>
    <w:rsid w:val="00736FB8"/>
    <w:rsid w:val="00737173"/>
    <w:rsid w:val="0073725A"/>
    <w:rsid w:val="007372D7"/>
    <w:rsid w:val="00737346"/>
    <w:rsid w:val="0073739E"/>
    <w:rsid w:val="007375C4"/>
    <w:rsid w:val="00737611"/>
    <w:rsid w:val="007376BC"/>
    <w:rsid w:val="00737AFC"/>
    <w:rsid w:val="00737E6B"/>
    <w:rsid w:val="00737E89"/>
    <w:rsid w:val="00737E9A"/>
    <w:rsid w:val="00737F5A"/>
    <w:rsid w:val="00737F77"/>
    <w:rsid w:val="00740005"/>
    <w:rsid w:val="007403C6"/>
    <w:rsid w:val="007403CF"/>
    <w:rsid w:val="007407A1"/>
    <w:rsid w:val="007409BF"/>
    <w:rsid w:val="00740A1D"/>
    <w:rsid w:val="00740CE0"/>
    <w:rsid w:val="00740DBE"/>
    <w:rsid w:val="00740DE0"/>
    <w:rsid w:val="00740EC4"/>
    <w:rsid w:val="00740F57"/>
    <w:rsid w:val="00740F86"/>
    <w:rsid w:val="0074134B"/>
    <w:rsid w:val="00741540"/>
    <w:rsid w:val="00741616"/>
    <w:rsid w:val="0074170B"/>
    <w:rsid w:val="00741710"/>
    <w:rsid w:val="007417AD"/>
    <w:rsid w:val="007418D5"/>
    <w:rsid w:val="00741914"/>
    <w:rsid w:val="00741991"/>
    <w:rsid w:val="007419D5"/>
    <w:rsid w:val="00741A53"/>
    <w:rsid w:val="00741CA6"/>
    <w:rsid w:val="00741D1D"/>
    <w:rsid w:val="00741E4F"/>
    <w:rsid w:val="00741FC9"/>
    <w:rsid w:val="0074216D"/>
    <w:rsid w:val="0074218D"/>
    <w:rsid w:val="00742322"/>
    <w:rsid w:val="0074237C"/>
    <w:rsid w:val="0074245B"/>
    <w:rsid w:val="0074279E"/>
    <w:rsid w:val="00742952"/>
    <w:rsid w:val="0074296A"/>
    <w:rsid w:val="007429B8"/>
    <w:rsid w:val="00742A62"/>
    <w:rsid w:val="00742AEE"/>
    <w:rsid w:val="00742B19"/>
    <w:rsid w:val="00742CC8"/>
    <w:rsid w:val="00742D29"/>
    <w:rsid w:val="00742E81"/>
    <w:rsid w:val="00742F42"/>
    <w:rsid w:val="00743080"/>
    <w:rsid w:val="007432F3"/>
    <w:rsid w:val="007434C6"/>
    <w:rsid w:val="007435C4"/>
    <w:rsid w:val="0074376A"/>
    <w:rsid w:val="00743798"/>
    <w:rsid w:val="0074393B"/>
    <w:rsid w:val="00743B9F"/>
    <w:rsid w:val="00743D0F"/>
    <w:rsid w:val="00743DC3"/>
    <w:rsid w:val="00743E6A"/>
    <w:rsid w:val="00743EF5"/>
    <w:rsid w:val="00743FE1"/>
    <w:rsid w:val="0074413A"/>
    <w:rsid w:val="00744385"/>
    <w:rsid w:val="00744650"/>
    <w:rsid w:val="007448CB"/>
    <w:rsid w:val="0074492B"/>
    <w:rsid w:val="00744B8D"/>
    <w:rsid w:val="00744CA2"/>
    <w:rsid w:val="00744D34"/>
    <w:rsid w:val="00744D4A"/>
    <w:rsid w:val="00744DD7"/>
    <w:rsid w:val="00744E99"/>
    <w:rsid w:val="00744EA3"/>
    <w:rsid w:val="00744F4D"/>
    <w:rsid w:val="00744FC5"/>
    <w:rsid w:val="0074520B"/>
    <w:rsid w:val="0074527A"/>
    <w:rsid w:val="00745287"/>
    <w:rsid w:val="0074534D"/>
    <w:rsid w:val="007453AE"/>
    <w:rsid w:val="0074545F"/>
    <w:rsid w:val="007454C0"/>
    <w:rsid w:val="007455F5"/>
    <w:rsid w:val="007455F6"/>
    <w:rsid w:val="00745779"/>
    <w:rsid w:val="007458E1"/>
    <w:rsid w:val="00745966"/>
    <w:rsid w:val="00745AAD"/>
    <w:rsid w:val="00745D2F"/>
    <w:rsid w:val="00745E20"/>
    <w:rsid w:val="007460D9"/>
    <w:rsid w:val="00746151"/>
    <w:rsid w:val="0074627A"/>
    <w:rsid w:val="0074633B"/>
    <w:rsid w:val="00746575"/>
    <w:rsid w:val="007466BB"/>
    <w:rsid w:val="007466BD"/>
    <w:rsid w:val="00746710"/>
    <w:rsid w:val="007467F9"/>
    <w:rsid w:val="00746DC2"/>
    <w:rsid w:val="00746DD9"/>
    <w:rsid w:val="00746DF5"/>
    <w:rsid w:val="00746E62"/>
    <w:rsid w:val="00746F24"/>
    <w:rsid w:val="00747066"/>
    <w:rsid w:val="007470FE"/>
    <w:rsid w:val="00747345"/>
    <w:rsid w:val="00747544"/>
    <w:rsid w:val="007475F5"/>
    <w:rsid w:val="0074765D"/>
    <w:rsid w:val="00747684"/>
    <w:rsid w:val="00747B80"/>
    <w:rsid w:val="00747C9F"/>
    <w:rsid w:val="00747CC1"/>
    <w:rsid w:val="00747E57"/>
    <w:rsid w:val="00747EFE"/>
    <w:rsid w:val="00747F31"/>
    <w:rsid w:val="00747F68"/>
    <w:rsid w:val="00747FB4"/>
    <w:rsid w:val="0075002F"/>
    <w:rsid w:val="00750188"/>
    <w:rsid w:val="00750415"/>
    <w:rsid w:val="007505CC"/>
    <w:rsid w:val="007505CF"/>
    <w:rsid w:val="007506C0"/>
    <w:rsid w:val="007506CC"/>
    <w:rsid w:val="007508C3"/>
    <w:rsid w:val="0075097C"/>
    <w:rsid w:val="00750A1C"/>
    <w:rsid w:val="00750AB5"/>
    <w:rsid w:val="00750B58"/>
    <w:rsid w:val="00750B7E"/>
    <w:rsid w:val="00750BFF"/>
    <w:rsid w:val="00750D43"/>
    <w:rsid w:val="00750FBB"/>
    <w:rsid w:val="00751119"/>
    <w:rsid w:val="007511D6"/>
    <w:rsid w:val="007512F3"/>
    <w:rsid w:val="007514CA"/>
    <w:rsid w:val="007519F5"/>
    <w:rsid w:val="00751B9C"/>
    <w:rsid w:val="00751EFF"/>
    <w:rsid w:val="00752127"/>
    <w:rsid w:val="00752161"/>
    <w:rsid w:val="00752211"/>
    <w:rsid w:val="00752229"/>
    <w:rsid w:val="007522B0"/>
    <w:rsid w:val="007522C5"/>
    <w:rsid w:val="0075256D"/>
    <w:rsid w:val="007525DF"/>
    <w:rsid w:val="007527AE"/>
    <w:rsid w:val="007528A0"/>
    <w:rsid w:val="0075298A"/>
    <w:rsid w:val="007529A5"/>
    <w:rsid w:val="00752A51"/>
    <w:rsid w:val="00752C4F"/>
    <w:rsid w:val="00752E07"/>
    <w:rsid w:val="00752E5A"/>
    <w:rsid w:val="007530C2"/>
    <w:rsid w:val="007531CA"/>
    <w:rsid w:val="007531E8"/>
    <w:rsid w:val="007532A5"/>
    <w:rsid w:val="007532F6"/>
    <w:rsid w:val="00753326"/>
    <w:rsid w:val="007533BF"/>
    <w:rsid w:val="007535FD"/>
    <w:rsid w:val="007536F5"/>
    <w:rsid w:val="0075384A"/>
    <w:rsid w:val="0075393F"/>
    <w:rsid w:val="007539DB"/>
    <w:rsid w:val="00753A18"/>
    <w:rsid w:val="00753A42"/>
    <w:rsid w:val="00753A94"/>
    <w:rsid w:val="00753BA9"/>
    <w:rsid w:val="00753BC3"/>
    <w:rsid w:val="00753CC3"/>
    <w:rsid w:val="0075417F"/>
    <w:rsid w:val="0075436B"/>
    <w:rsid w:val="007544CC"/>
    <w:rsid w:val="007545AE"/>
    <w:rsid w:val="0075463D"/>
    <w:rsid w:val="00754766"/>
    <w:rsid w:val="007547B7"/>
    <w:rsid w:val="00754A6C"/>
    <w:rsid w:val="00754B95"/>
    <w:rsid w:val="00754BBE"/>
    <w:rsid w:val="00754CBB"/>
    <w:rsid w:val="00754D79"/>
    <w:rsid w:val="00754D91"/>
    <w:rsid w:val="00754DBB"/>
    <w:rsid w:val="0075506B"/>
    <w:rsid w:val="0075506E"/>
    <w:rsid w:val="0075526B"/>
    <w:rsid w:val="007552E8"/>
    <w:rsid w:val="00755430"/>
    <w:rsid w:val="00755477"/>
    <w:rsid w:val="00755670"/>
    <w:rsid w:val="0075583F"/>
    <w:rsid w:val="007558A1"/>
    <w:rsid w:val="007558D1"/>
    <w:rsid w:val="007559BD"/>
    <w:rsid w:val="00755AFC"/>
    <w:rsid w:val="00755B01"/>
    <w:rsid w:val="00755B92"/>
    <w:rsid w:val="00755BF9"/>
    <w:rsid w:val="00755C3C"/>
    <w:rsid w:val="00755CAE"/>
    <w:rsid w:val="00755D48"/>
    <w:rsid w:val="00755EDF"/>
    <w:rsid w:val="0075600A"/>
    <w:rsid w:val="007560D9"/>
    <w:rsid w:val="00756102"/>
    <w:rsid w:val="0075619E"/>
    <w:rsid w:val="00756218"/>
    <w:rsid w:val="00756494"/>
    <w:rsid w:val="0075657F"/>
    <w:rsid w:val="0075662E"/>
    <w:rsid w:val="00756722"/>
    <w:rsid w:val="007567D3"/>
    <w:rsid w:val="00756978"/>
    <w:rsid w:val="00756B6E"/>
    <w:rsid w:val="00756BAD"/>
    <w:rsid w:val="00756CF2"/>
    <w:rsid w:val="00756D20"/>
    <w:rsid w:val="00756EB3"/>
    <w:rsid w:val="0075703C"/>
    <w:rsid w:val="00757099"/>
    <w:rsid w:val="0075709F"/>
    <w:rsid w:val="007571CF"/>
    <w:rsid w:val="007573A2"/>
    <w:rsid w:val="007573C9"/>
    <w:rsid w:val="00757452"/>
    <w:rsid w:val="007575E7"/>
    <w:rsid w:val="00757688"/>
    <w:rsid w:val="00757910"/>
    <w:rsid w:val="0075796D"/>
    <w:rsid w:val="007579D9"/>
    <w:rsid w:val="00757A97"/>
    <w:rsid w:val="00757AC1"/>
    <w:rsid w:val="00757B19"/>
    <w:rsid w:val="00757C1C"/>
    <w:rsid w:val="00757DF0"/>
    <w:rsid w:val="00757E3F"/>
    <w:rsid w:val="00757E97"/>
    <w:rsid w:val="00757E9D"/>
    <w:rsid w:val="00757EEF"/>
    <w:rsid w:val="00757FA4"/>
    <w:rsid w:val="007600CC"/>
    <w:rsid w:val="0076010A"/>
    <w:rsid w:val="007601C0"/>
    <w:rsid w:val="007602E9"/>
    <w:rsid w:val="007607C4"/>
    <w:rsid w:val="00760965"/>
    <w:rsid w:val="00760AAC"/>
    <w:rsid w:val="00760AD4"/>
    <w:rsid w:val="00760B06"/>
    <w:rsid w:val="00760CE2"/>
    <w:rsid w:val="00760D6D"/>
    <w:rsid w:val="00760DB6"/>
    <w:rsid w:val="00760EB3"/>
    <w:rsid w:val="00760FEB"/>
    <w:rsid w:val="00761017"/>
    <w:rsid w:val="007610B2"/>
    <w:rsid w:val="00761133"/>
    <w:rsid w:val="00761240"/>
    <w:rsid w:val="00761284"/>
    <w:rsid w:val="007613E1"/>
    <w:rsid w:val="00761537"/>
    <w:rsid w:val="0076160C"/>
    <w:rsid w:val="0076172D"/>
    <w:rsid w:val="007617FB"/>
    <w:rsid w:val="00761CD1"/>
    <w:rsid w:val="00761CDE"/>
    <w:rsid w:val="0076200E"/>
    <w:rsid w:val="007620D8"/>
    <w:rsid w:val="007620F1"/>
    <w:rsid w:val="00762246"/>
    <w:rsid w:val="0076251F"/>
    <w:rsid w:val="00762998"/>
    <w:rsid w:val="00762A9D"/>
    <w:rsid w:val="00762B4C"/>
    <w:rsid w:val="00762BD5"/>
    <w:rsid w:val="00762C37"/>
    <w:rsid w:val="00762EC6"/>
    <w:rsid w:val="00762F03"/>
    <w:rsid w:val="00762FC9"/>
    <w:rsid w:val="00763014"/>
    <w:rsid w:val="0076317C"/>
    <w:rsid w:val="007631A2"/>
    <w:rsid w:val="007631CB"/>
    <w:rsid w:val="007631E0"/>
    <w:rsid w:val="00763272"/>
    <w:rsid w:val="00763285"/>
    <w:rsid w:val="007632E2"/>
    <w:rsid w:val="0076337F"/>
    <w:rsid w:val="007637AE"/>
    <w:rsid w:val="00763824"/>
    <w:rsid w:val="00763D0A"/>
    <w:rsid w:val="00763D4A"/>
    <w:rsid w:val="00763E69"/>
    <w:rsid w:val="00763EE4"/>
    <w:rsid w:val="007640F3"/>
    <w:rsid w:val="00764396"/>
    <w:rsid w:val="0076439F"/>
    <w:rsid w:val="00764416"/>
    <w:rsid w:val="0076443A"/>
    <w:rsid w:val="007644A7"/>
    <w:rsid w:val="0076450D"/>
    <w:rsid w:val="00764547"/>
    <w:rsid w:val="00764565"/>
    <w:rsid w:val="007645FE"/>
    <w:rsid w:val="0076466E"/>
    <w:rsid w:val="007648BA"/>
    <w:rsid w:val="0076498C"/>
    <w:rsid w:val="00764B61"/>
    <w:rsid w:val="00764D74"/>
    <w:rsid w:val="00764D92"/>
    <w:rsid w:val="00764F21"/>
    <w:rsid w:val="00764F66"/>
    <w:rsid w:val="007650E5"/>
    <w:rsid w:val="007651BD"/>
    <w:rsid w:val="007652AE"/>
    <w:rsid w:val="007653AA"/>
    <w:rsid w:val="007654B0"/>
    <w:rsid w:val="007656D0"/>
    <w:rsid w:val="0076576B"/>
    <w:rsid w:val="00765852"/>
    <w:rsid w:val="0076597D"/>
    <w:rsid w:val="00765AB1"/>
    <w:rsid w:val="00765C5F"/>
    <w:rsid w:val="00765CE4"/>
    <w:rsid w:val="00765D16"/>
    <w:rsid w:val="00765D98"/>
    <w:rsid w:val="00765DEA"/>
    <w:rsid w:val="00765EA8"/>
    <w:rsid w:val="007660F1"/>
    <w:rsid w:val="0076637B"/>
    <w:rsid w:val="0076669B"/>
    <w:rsid w:val="00766741"/>
    <w:rsid w:val="0076676C"/>
    <w:rsid w:val="00766850"/>
    <w:rsid w:val="0076686F"/>
    <w:rsid w:val="007668A9"/>
    <w:rsid w:val="00766926"/>
    <w:rsid w:val="00766A63"/>
    <w:rsid w:val="00766B1E"/>
    <w:rsid w:val="00766BD2"/>
    <w:rsid w:val="00766BEC"/>
    <w:rsid w:val="00766E1A"/>
    <w:rsid w:val="00766E2D"/>
    <w:rsid w:val="00767026"/>
    <w:rsid w:val="0076714F"/>
    <w:rsid w:val="0076735D"/>
    <w:rsid w:val="00767374"/>
    <w:rsid w:val="00767524"/>
    <w:rsid w:val="007676A3"/>
    <w:rsid w:val="00767712"/>
    <w:rsid w:val="0076771E"/>
    <w:rsid w:val="00767741"/>
    <w:rsid w:val="007678C3"/>
    <w:rsid w:val="00767901"/>
    <w:rsid w:val="00767A79"/>
    <w:rsid w:val="00767A85"/>
    <w:rsid w:val="00767AC4"/>
    <w:rsid w:val="00767CC7"/>
    <w:rsid w:val="00767CD5"/>
    <w:rsid w:val="00767D79"/>
    <w:rsid w:val="00767E22"/>
    <w:rsid w:val="00767FC6"/>
    <w:rsid w:val="007700A9"/>
    <w:rsid w:val="00770100"/>
    <w:rsid w:val="00770103"/>
    <w:rsid w:val="00770184"/>
    <w:rsid w:val="007702ED"/>
    <w:rsid w:val="00770421"/>
    <w:rsid w:val="00770432"/>
    <w:rsid w:val="0077049C"/>
    <w:rsid w:val="0077053B"/>
    <w:rsid w:val="0077054A"/>
    <w:rsid w:val="0077056A"/>
    <w:rsid w:val="007706A3"/>
    <w:rsid w:val="00770769"/>
    <w:rsid w:val="007708D1"/>
    <w:rsid w:val="00770951"/>
    <w:rsid w:val="00770B17"/>
    <w:rsid w:val="00770B87"/>
    <w:rsid w:val="00770C0D"/>
    <w:rsid w:val="00770CF0"/>
    <w:rsid w:val="00770F44"/>
    <w:rsid w:val="00770FD1"/>
    <w:rsid w:val="00770FDF"/>
    <w:rsid w:val="0077115A"/>
    <w:rsid w:val="0077128A"/>
    <w:rsid w:val="007712F1"/>
    <w:rsid w:val="00771307"/>
    <w:rsid w:val="00771308"/>
    <w:rsid w:val="007713F9"/>
    <w:rsid w:val="00771541"/>
    <w:rsid w:val="007715E7"/>
    <w:rsid w:val="0077168E"/>
    <w:rsid w:val="007716B6"/>
    <w:rsid w:val="007716D7"/>
    <w:rsid w:val="007716F8"/>
    <w:rsid w:val="00771767"/>
    <w:rsid w:val="0077179F"/>
    <w:rsid w:val="00771877"/>
    <w:rsid w:val="00771BBA"/>
    <w:rsid w:val="00771BC0"/>
    <w:rsid w:val="00771C04"/>
    <w:rsid w:val="00771D86"/>
    <w:rsid w:val="00771DED"/>
    <w:rsid w:val="00771EC6"/>
    <w:rsid w:val="007720C2"/>
    <w:rsid w:val="007720CE"/>
    <w:rsid w:val="007721E5"/>
    <w:rsid w:val="007722BB"/>
    <w:rsid w:val="007723B6"/>
    <w:rsid w:val="007725F6"/>
    <w:rsid w:val="007727B3"/>
    <w:rsid w:val="00772844"/>
    <w:rsid w:val="00772858"/>
    <w:rsid w:val="007728FE"/>
    <w:rsid w:val="007729F2"/>
    <w:rsid w:val="00772A56"/>
    <w:rsid w:val="00772ACC"/>
    <w:rsid w:val="00772DAB"/>
    <w:rsid w:val="00773036"/>
    <w:rsid w:val="007730F2"/>
    <w:rsid w:val="007730FA"/>
    <w:rsid w:val="00773259"/>
    <w:rsid w:val="007733F6"/>
    <w:rsid w:val="0077342B"/>
    <w:rsid w:val="00773581"/>
    <w:rsid w:val="0077396A"/>
    <w:rsid w:val="00773A3D"/>
    <w:rsid w:val="00773A48"/>
    <w:rsid w:val="00773B4A"/>
    <w:rsid w:val="00773B70"/>
    <w:rsid w:val="00773C35"/>
    <w:rsid w:val="00773F57"/>
    <w:rsid w:val="00774205"/>
    <w:rsid w:val="0077424C"/>
    <w:rsid w:val="007743AB"/>
    <w:rsid w:val="00774624"/>
    <w:rsid w:val="00774971"/>
    <w:rsid w:val="00774AFA"/>
    <w:rsid w:val="00774BC5"/>
    <w:rsid w:val="00774E1C"/>
    <w:rsid w:val="00774FFC"/>
    <w:rsid w:val="00775137"/>
    <w:rsid w:val="007751EF"/>
    <w:rsid w:val="00775275"/>
    <w:rsid w:val="007754CA"/>
    <w:rsid w:val="007756BE"/>
    <w:rsid w:val="007757B1"/>
    <w:rsid w:val="007758FF"/>
    <w:rsid w:val="007759D5"/>
    <w:rsid w:val="00775A01"/>
    <w:rsid w:val="00775A0A"/>
    <w:rsid w:val="00775A75"/>
    <w:rsid w:val="00775B6C"/>
    <w:rsid w:val="00775C57"/>
    <w:rsid w:val="00775CC9"/>
    <w:rsid w:val="00775D3A"/>
    <w:rsid w:val="00775D43"/>
    <w:rsid w:val="00775E80"/>
    <w:rsid w:val="00776689"/>
    <w:rsid w:val="00776993"/>
    <w:rsid w:val="00776A61"/>
    <w:rsid w:val="00776AE6"/>
    <w:rsid w:val="00776B6D"/>
    <w:rsid w:val="00776BB8"/>
    <w:rsid w:val="00776BF2"/>
    <w:rsid w:val="00776C28"/>
    <w:rsid w:val="00776C3D"/>
    <w:rsid w:val="00776CB1"/>
    <w:rsid w:val="00776D03"/>
    <w:rsid w:val="00776D6D"/>
    <w:rsid w:val="00776DCC"/>
    <w:rsid w:val="00777082"/>
    <w:rsid w:val="00777259"/>
    <w:rsid w:val="007772CF"/>
    <w:rsid w:val="00777335"/>
    <w:rsid w:val="0077733F"/>
    <w:rsid w:val="007775FC"/>
    <w:rsid w:val="007776E4"/>
    <w:rsid w:val="0077786D"/>
    <w:rsid w:val="00777987"/>
    <w:rsid w:val="007779A8"/>
    <w:rsid w:val="00777A14"/>
    <w:rsid w:val="00777BEB"/>
    <w:rsid w:val="00777C09"/>
    <w:rsid w:val="00777E81"/>
    <w:rsid w:val="00777F33"/>
    <w:rsid w:val="007800B2"/>
    <w:rsid w:val="007800B7"/>
    <w:rsid w:val="007800D5"/>
    <w:rsid w:val="00780143"/>
    <w:rsid w:val="007802F5"/>
    <w:rsid w:val="0078030C"/>
    <w:rsid w:val="00780496"/>
    <w:rsid w:val="007804AF"/>
    <w:rsid w:val="007807B7"/>
    <w:rsid w:val="0078081C"/>
    <w:rsid w:val="007809BF"/>
    <w:rsid w:val="00780B6A"/>
    <w:rsid w:val="00780BF9"/>
    <w:rsid w:val="00780C45"/>
    <w:rsid w:val="00780C7A"/>
    <w:rsid w:val="0078109E"/>
    <w:rsid w:val="007811CA"/>
    <w:rsid w:val="007812C5"/>
    <w:rsid w:val="007812D6"/>
    <w:rsid w:val="0078131D"/>
    <w:rsid w:val="00781353"/>
    <w:rsid w:val="00781354"/>
    <w:rsid w:val="007813CC"/>
    <w:rsid w:val="007814F6"/>
    <w:rsid w:val="007815B3"/>
    <w:rsid w:val="00781602"/>
    <w:rsid w:val="0078165F"/>
    <w:rsid w:val="007816AC"/>
    <w:rsid w:val="00781708"/>
    <w:rsid w:val="007818B0"/>
    <w:rsid w:val="007818C1"/>
    <w:rsid w:val="007818FF"/>
    <w:rsid w:val="007819A0"/>
    <w:rsid w:val="007819B0"/>
    <w:rsid w:val="00781B60"/>
    <w:rsid w:val="00781DC2"/>
    <w:rsid w:val="00781E0F"/>
    <w:rsid w:val="00781EB2"/>
    <w:rsid w:val="0078203E"/>
    <w:rsid w:val="007820FE"/>
    <w:rsid w:val="00782278"/>
    <w:rsid w:val="0078257D"/>
    <w:rsid w:val="00782592"/>
    <w:rsid w:val="007825A7"/>
    <w:rsid w:val="00782668"/>
    <w:rsid w:val="0078279C"/>
    <w:rsid w:val="007827BB"/>
    <w:rsid w:val="007828C1"/>
    <w:rsid w:val="007829EF"/>
    <w:rsid w:val="00782A76"/>
    <w:rsid w:val="00782AC7"/>
    <w:rsid w:val="00782D26"/>
    <w:rsid w:val="00782D4E"/>
    <w:rsid w:val="00783028"/>
    <w:rsid w:val="00783072"/>
    <w:rsid w:val="00783200"/>
    <w:rsid w:val="00783276"/>
    <w:rsid w:val="007832C9"/>
    <w:rsid w:val="0078350F"/>
    <w:rsid w:val="00783653"/>
    <w:rsid w:val="00783694"/>
    <w:rsid w:val="00783716"/>
    <w:rsid w:val="00783E20"/>
    <w:rsid w:val="00783EA8"/>
    <w:rsid w:val="00784207"/>
    <w:rsid w:val="0078434D"/>
    <w:rsid w:val="007844FE"/>
    <w:rsid w:val="00784501"/>
    <w:rsid w:val="00784513"/>
    <w:rsid w:val="0078457E"/>
    <w:rsid w:val="007845CE"/>
    <w:rsid w:val="007847CB"/>
    <w:rsid w:val="0078496C"/>
    <w:rsid w:val="00784A31"/>
    <w:rsid w:val="00784B94"/>
    <w:rsid w:val="00784FA6"/>
    <w:rsid w:val="00785144"/>
    <w:rsid w:val="00785146"/>
    <w:rsid w:val="0078514A"/>
    <w:rsid w:val="007851AC"/>
    <w:rsid w:val="007851E2"/>
    <w:rsid w:val="00785279"/>
    <w:rsid w:val="007853BE"/>
    <w:rsid w:val="00785417"/>
    <w:rsid w:val="00785591"/>
    <w:rsid w:val="0078562A"/>
    <w:rsid w:val="0078585C"/>
    <w:rsid w:val="00785905"/>
    <w:rsid w:val="00785AA4"/>
    <w:rsid w:val="00785CFE"/>
    <w:rsid w:val="00785D22"/>
    <w:rsid w:val="00785DE8"/>
    <w:rsid w:val="00785EE2"/>
    <w:rsid w:val="00785EE3"/>
    <w:rsid w:val="007860BA"/>
    <w:rsid w:val="007861A2"/>
    <w:rsid w:val="00786366"/>
    <w:rsid w:val="00786545"/>
    <w:rsid w:val="00786620"/>
    <w:rsid w:val="00786639"/>
    <w:rsid w:val="00786744"/>
    <w:rsid w:val="00786745"/>
    <w:rsid w:val="00786781"/>
    <w:rsid w:val="00786990"/>
    <w:rsid w:val="00786A11"/>
    <w:rsid w:val="00786A27"/>
    <w:rsid w:val="00786E62"/>
    <w:rsid w:val="00786EB7"/>
    <w:rsid w:val="00787045"/>
    <w:rsid w:val="00787111"/>
    <w:rsid w:val="00787166"/>
    <w:rsid w:val="00787213"/>
    <w:rsid w:val="0078722F"/>
    <w:rsid w:val="00787336"/>
    <w:rsid w:val="00787352"/>
    <w:rsid w:val="0078737E"/>
    <w:rsid w:val="00787659"/>
    <w:rsid w:val="0078776E"/>
    <w:rsid w:val="0078799D"/>
    <w:rsid w:val="00787A68"/>
    <w:rsid w:val="00787A9B"/>
    <w:rsid w:val="00787C43"/>
    <w:rsid w:val="00787C70"/>
    <w:rsid w:val="00787CFF"/>
    <w:rsid w:val="00787E80"/>
    <w:rsid w:val="00790130"/>
    <w:rsid w:val="007901E8"/>
    <w:rsid w:val="007904B1"/>
    <w:rsid w:val="00790ACE"/>
    <w:rsid w:val="00790B4D"/>
    <w:rsid w:val="00790C0D"/>
    <w:rsid w:val="00790EC3"/>
    <w:rsid w:val="00790EEB"/>
    <w:rsid w:val="00790F7C"/>
    <w:rsid w:val="00791175"/>
    <w:rsid w:val="007911A9"/>
    <w:rsid w:val="007911FF"/>
    <w:rsid w:val="0079123C"/>
    <w:rsid w:val="0079126A"/>
    <w:rsid w:val="007912BC"/>
    <w:rsid w:val="007914C3"/>
    <w:rsid w:val="00791508"/>
    <w:rsid w:val="00791818"/>
    <w:rsid w:val="00791846"/>
    <w:rsid w:val="00791A45"/>
    <w:rsid w:val="00791A48"/>
    <w:rsid w:val="00791BDF"/>
    <w:rsid w:val="00791C39"/>
    <w:rsid w:val="00791DE2"/>
    <w:rsid w:val="00791EDB"/>
    <w:rsid w:val="007920EA"/>
    <w:rsid w:val="007920F5"/>
    <w:rsid w:val="00792129"/>
    <w:rsid w:val="0079223F"/>
    <w:rsid w:val="0079237E"/>
    <w:rsid w:val="007923C9"/>
    <w:rsid w:val="00792501"/>
    <w:rsid w:val="007925EF"/>
    <w:rsid w:val="00792643"/>
    <w:rsid w:val="0079265B"/>
    <w:rsid w:val="0079270B"/>
    <w:rsid w:val="0079272A"/>
    <w:rsid w:val="007928C1"/>
    <w:rsid w:val="007929CD"/>
    <w:rsid w:val="00792C4A"/>
    <w:rsid w:val="00792C78"/>
    <w:rsid w:val="00792DBD"/>
    <w:rsid w:val="00792DFD"/>
    <w:rsid w:val="00793068"/>
    <w:rsid w:val="00793112"/>
    <w:rsid w:val="007931DB"/>
    <w:rsid w:val="00793249"/>
    <w:rsid w:val="00793279"/>
    <w:rsid w:val="007933A9"/>
    <w:rsid w:val="007934EA"/>
    <w:rsid w:val="0079352F"/>
    <w:rsid w:val="00793540"/>
    <w:rsid w:val="0079356D"/>
    <w:rsid w:val="007936B0"/>
    <w:rsid w:val="007936F9"/>
    <w:rsid w:val="00793799"/>
    <w:rsid w:val="007937C1"/>
    <w:rsid w:val="00793A8B"/>
    <w:rsid w:val="00793B39"/>
    <w:rsid w:val="00793BC4"/>
    <w:rsid w:val="00793D33"/>
    <w:rsid w:val="00793EED"/>
    <w:rsid w:val="00793F88"/>
    <w:rsid w:val="007942A3"/>
    <w:rsid w:val="007942F3"/>
    <w:rsid w:val="00794535"/>
    <w:rsid w:val="0079455B"/>
    <w:rsid w:val="0079458B"/>
    <w:rsid w:val="00794730"/>
    <w:rsid w:val="00794790"/>
    <w:rsid w:val="00794886"/>
    <w:rsid w:val="00794ACC"/>
    <w:rsid w:val="00794B0B"/>
    <w:rsid w:val="00794C19"/>
    <w:rsid w:val="00794E47"/>
    <w:rsid w:val="0079525C"/>
    <w:rsid w:val="00795518"/>
    <w:rsid w:val="007956AB"/>
    <w:rsid w:val="00795910"/>
    <w:rsid w:val="007959C7"/>
    <w:rsid w:val="00795BE6"/>
    <w:rsid w:val="00795D21"/>
    <w:rsid w:val="00795F57"/>
    <w:rsid w:val="00795FD4"/>
    <w:rsid w:val="0079628A"/>
    <w:rsid w:val="007962F4"/>
    <w:rsid w:val="00796577"/>
    <w:rsid w:val="007967E9"/>
    <w:rsid w:val="007969A7"/>
    <w:rsid w:val="00796A96"/>
    <w:rsid w:val="00796BD3"/>
    <w:rsid w:val="00796C1E"/>
    <w:rsid w:val="00796FF9"/>
    <w:rsid w:val="007970C6"/>
    <w:rsid w:val="007970DA"/>
    <w:rsid w:val="007972FF"/>
    <w:rsid w:val="00797371"/>
    <w:rsid w:val="00797437"/>
    <w:rsid w:val="0079762E"/>
    <w:rsid w:val="00797648"/>
    <w:rsid w:val="00797673"/>
    <w:rsid w:val="007977DA"/>
    <w:rsid w:val="00797972"/>
    <w:rsid w:val="00797AD0"/>
    <w:rsid w:val="00797B47"/>
    <w:rsid w:val="00797D64"/>
    <w:rsid w:val="007A03CF"/>
    <w:rsid w:val="007A0468"/>
    <w:rsid w:val="007A0572"/>
    <w:rsid w:val="007A07D8"/>
    <w:rsid w:val="007A08FE"/>
    <w:rsid w:val="007A09FF"/>
    <w:rsid w:val="007A0A2D"/>
    <w:rsid w:val="007A0A6B"/>
    <w:rsid w:val="007A121C"/>
    <w:rsid w:val="007A147E"/>
    <w:rsid w:val="007A1488"/>
    <w:rsid w:val="007A156A"/>
    <w:rsid w:val="007A15DC"/>
    <w:rsid w:val="007A1693"/>
    <w:rsid w:val="007A1829"/>
    <w:rsid w:val="007A187D"/>
    <w:rsid w:val="007A18BB"/>
    <w:rsid w:val="007A1920"/>
    <w:rsid w:val="007A1A74"/>
    <w:rsid w:val="007A1B44"/>
    <w:rsid w:val="007A1B91"/>
    <w:rsid w:val="007A1B95"/>
    <w:rsid w:val="007A1E38"/>
    <w:rsid w:val="007A1E88"/>
    <w:rsid w:val="007A1E9F"/>
    <w:rsid w:val="007A2032"/>
    <w:rsid w:val="007A2242"/>
    <w:rsid w:val="007A2271"/>
    <w:rsid w:val="007A22BE"/>
    <w:rsid w:val="007A2339"/>
    <w:rsid w:val="007A23E8"/>
    <w:rsid w:val="007A258F"/>
    <w:rsid w:val="007A26B7"/>
    <w:rsid w:val="007A2730"/>
    <w:rsid w:val="007A2801"/>
    <w:rsid w:val="007A2813"/>
    <w:rsid w:val="007A283A"/>
    <w:rsid w:val="007A28B6"/>
    <w:rsid w:val="007A293A"/>
    <w:rsid w:val="007A31F6"/>
    <w:rsid w:val="007A32D2"/>
    <w:rsid w:val="007A3329"/>
    <w:rsid w:val="007A34D3"/>
    <w:rsid w:val="007A37F5"/>
    <w:rsid w:val="007A3836"/>
    <w:rsid w:val="007A3951"/>
    <w:rsid w:val="007A399E"/>
    <w:rsid w:val="007A39B0"/>
    <w:rsid w:val="007A39F1"/>
    <w:rsid w:val="007A3A47"/>
    <w:rsid w:val="007A3B02"/>
    <w:rsid w:val="007A3CE3"/>
    <w:rsid w:val="007A3D00"/>
    <w:rsid w:val="007A4009"/>
    <w:rsid w:val="007A409F"/>
    <w:rsid w:val="007A4368"/>
    <w:rsid w:val="007A4444"/>
    <w:rsid w:val="007A446A"/>
    <w:rsid w:val="007A4674"/>
    <w:rsid w:val="007A4867"/>
    <w:rsid w:val="007A48C5"/>
    <w:rsid w:val="007A4935"/>
    <w:rsid w:val="007A4A56"/>
    <w:rsid w:val="007A4B85"/>
    <w:rsid w:val="007A4DB8"/>
    <w:rsid w:val="007A4E2B"/>
    <w:rsid w:val="007A4F05"/>
    <w:rsid w:val="007A4F30"/>
    <w:rsid w:val="007A500C"/>
    <w:rsid w:val="007A504C"/>
    <w:rsid w:val="007A50D1"/>
    <w:rsid w:val="007A535D"/>
    <w:rsid w:val="007A5445"/>
    <w:rsid w:val="007A5580"/>
    <w:rsid w:val="007A5588"/>
    <w:rsid w:val="007A5648"/>
    <w:rsid w:val="007A56C4"/>
    <w:rsid w:val="007A5896"/>
    <w:rsid w:val="007A58BB"/>
    <w:rsid w:val="007A5CC5"/>
    <w:rsid w:val="007A5D6E"/>
    <w:rsid w:val="007A5DFB"/>
    <w:rsid w:val="007A5F1E"/>
    <w:rsid w:val="007A5F79"/>
    <w:rsid w:val="007A61F2"/>
    <w:rsid w:val="007A6205"/>
    <w:rsid w:val="007A625A"/>
    <w:rsid w:val="007A625D"/>
    <w:rsid w:val="007A63B1"/>
    <w:rsid w:val="007A644D"/>
    <w:rsid w:val="007A645D"/>
    <w:rsid w:val="007A6488"/>
    <w:rsid w:val="007A663B"/>
    <w:rsid w:val="007A667E"/>
    <w:rsid w:val="007A66E4"/>
    <w:rsid w:val="007A6B5E"/>
    <w:rsid w:val="007A6E6F"/>
    <w:rsid w:val="007A6E9D"/>
    <w:rsid w:val="007A6EBD"/>
    <w:rsid w:val="007A6F2C"/>
    <w:rsid w:val="007A714E"/>
    <w:rsid w:val="007A7221"/>
    <w:rsid w:val="007A72AE"/>
    <w:rsid w:val="007A72B5"/>
    <w:rsid w:val="007A74D3"/>
    <w:rsid w:val="007A74E1"/>
    <w:rsid w:val="007A7532"/>
    <w:rsid w:val="007A76B5"/>
    <w:rsid w:val="007A7744"/>
    <w:rsid w:val="007A7836"/>
    <w:rsid w:val="007A789B"/>
    <w:rsid w:val="007A793C"/>
    <w:rsid w:val="007A7ADC"/>
    <w:rsid w:val="007A7C5F"/>
    <w:rsid w:val="007A7F31"/>
    <w:rsid w:val="007A7FBE"/>
    <w:rsid w:val="007A7FE8"/>
    <w:rsid w:val="007B03BD"/>
    <w:rsid w:val="007B047D"/>
    <w:rsid w:val="007B05D2"/>
    <w:rsid w:val="007B0621"/>
    <w:rsid w:val="007B0642"/>
    <w:rsid w:val="007B06BD"/>
    <w:rsid w:val="007B0788"/>
    <w:rsid w:val="007B08F6"/>
    <w:rsid w:val="007B09A8"/>
    <w:rsid w:val="007B0BF3"/>
    <w:rsid w:val="007B0C79"/>
    <w:rsid w:val="007B0CB0"/>
    <w:rsid w:val="007B0CB9"/>
    <w:rsid w:val="007B1201"/>
    <w:rsid w:val="007B1323"/>
    <w:rsid w:val="007B156C"/>
    <w:rsid w:val="007B1580"/>
    <w:rsid w:val="007B158F"/>
    <w:rsid w:val="007B187F"/>
    <w:rsid w:val="007B1929"/>
    <w:rsid w:val="007B1994"/>
    <w:rsid w:val="007B1B3E"/>
    <w:rsid w:val="007B1C83"/>
    <w:rsid w:val="007B1DB0"/>
    <w:rsid w:val="007B1F1C"/>
    <w:rsid w:val="007B2031"/>
    <w:rsid w:val="007B206E"/>
    <w:rsid w:val="007B20D8"/>
    <w:rsid w:val="007B228B"/>
    <w:rsid w:val="007B22DA"/>
    <w:rsid w:val="007B239D"/>
    <w:rsid w:val="007B23BC"/>
    <w:rsid w:val="007B249C"/>
    <w:rsid w:val="007B24A6"/>
    <w:rsid w:val="007B24DE"/>
    <w:rsid w:val="007B2859"/>
    <w:rsid w:val="007B29EF"/>
    <w:rsid w:val="007B2C69"/>
    <w:rsid w:val="007B2F14"/>
    <w:rsid w:val="007B3106"/>
    <w:rsid w:val="007B327D"/>
    <w:rsid w:val="007B368E"/>
    <w:rsid w:val="007B3761"/>
    <w:rsid w:val="007B3B37"/>
    <w:rsid w:val="007B3B82"/>
    <w:rsid w:val="007B3DFD"/>
    <w:rsid w:val="007B415D"/>
    <w:rsid w:val="007B429D"/>
    <w:rsid w:val="007B42C7"/>
    <w:rsid w:val="007B4376"/>
    <w:rsid w:val="007B45C0"/>
    <w:rsid w:val="007B4670"/>
    <w:rsid w:val="007B473E"/>
    <w:rsid w:val="007B4748"/>
    <w:rsid w:val="007B47D4"/>
    <w:rsid w:val="007B484B"/>
    <w:rsid w:val="007B4C0B"/>
    <w:rsid w:val="007B4C9E"/>
    <w:rsid w:val="007B4DCF"/>
    <w:rsid w:val="007B4E21"/>
    <w:rsid w:val="007B4F10"/>
    <w:rsid w:val="007B4FC1"/>
    <w:rsid w:val="007B507B"/>
    <w:rsid w:val="007B514C"/>
    <w:rsid w:val="007B5361"/>
    <w:rsid w:val="007B538D"/>
    <w:rsid w:val="007B5495"/>
    <w:rsid w:val="007B54A2"/>
    <w:rsid w:val="007B5638"/>
    <w:rsid w:val="007B565E"/>
    <w:rsid w:val="007B56A3"/>
    <w:rsid w:val="007B582A"/>
    <w:rsid w:val="007B58E9"/>
    <w:rsid w:val="007B58FF"/>
    <w:rsid w:val="007B591C"/>
    <w:rsid w:val="007B5BCA"/>
    <w:rsid w:val="007B5E2C"/>
    <w:rsid w:val="007B5E44"/>
    <w:rsid w:val="007B5E7F"/>
    <w:rsid w:val="007B5F40"/>
    <w:rsid w:val="007B5FFF"/>
    <w:rsid w:val="007B6085"/>
    <w:rsid w:val="007B6629"/>
    <w:rsid w:val="007B6644"/>
    <w:rsid w:val="007B66D4"/>
    <w:rsid w:val="007B6767"/>
    <w:rsid w:val="007B6799"/>
    <w:rsid w:val="007B688D"/>
    <w:rsid w:val="007B69F6"/>
    <w:rsid w:val="007B6A8F"/>
    <w:rsid w:val="007B6CA7"/>
    <w:rsid w:val="007B6F8B"/>
    <w:rsid w:val="007B7086"/>
    <w:rsid w:val="007B7135"/>
    <w:rsid w:val="007B73D5"/>
    <w:rsid w:val="007B7688"/>
    <w:rsid w:val="007B7976"/>
    <w:rsid w:val="007B7A31"/>
    <w:rsid w:val="007B7B65"/>
    <w:rsid w:val="007B7BF4"/>
    <w:rsid w:val="007B7C3C"/>
    <w:rsid w:val="007B7E2C"/>
    <w:rsid w:val="007B7FBA"/>
    <w:rsid w:val="007B7FC9"/>
    <w:rsid w:val="007C00BF"/>
    <w:rsid w:val="007C070F"/>
    <w:rsid w:val="007C08AC"/>
    <w:rsid w:val="007C0AE7"/>
    <w:rsid w:val="007C0C82"/>
    <w:rsid w:val="007C0C86"/>
    <w:rsid w:val="007C0D24"/>
    <w:rsid w:val="007C0D58"/>
    <w:rsid w:val="007C0E32"/>
    <w:rsid w:val="007C1004"/>
    <w:rsid w:val="007C1322"/>
    <w:rsid w:val="007C193A"/>
    <w:rsid w:val="007C1AF6"/>
    <w:rsid w:val="007C1B3D"/>
    <w:rsid w:val="007C1BF6"/>
    <w:rsid w:val="007C1C7B"/>
    <w:rsid w:val="007C1D15"/>
    <w:rsid w:val="007C1F8E"/>
    <w:rsid w:val="007C2003"/>
    <w:rsid w:val="007C2354"/>
    <w:rsid w:val="007C2790"/>
    <w:rsid w:val="007C29AB"/>
    <w:rsid w:val="007C2ADB"/>
    <w:rsid w:val="007C2B64"/>
    <w:rsid w:val="007C2DB3"/>
    <w:rsid w:val="007C2DDD"/>
    <w:rsid w:val="007C2F1E"/>
    <w:rsid w:val="007C30E4"/>
    <w:rsid w:val="007C324B"/>
    <w:rsid w:val="007C33D3"/>
    <w:rsid w:val="007C349E"/>
    <w:rsid w:val="007C3550"/>
    <w:rsid w:val="007C3581"/>
    <w:rsid w:val="007C368D"/>
    <w:rsid w:val="007C3721"/>
    <w:rsid w:val="007C39A6"/>
    <w:rsid w:val="007C39CD"/>
    <w:rsid w:val="007C3CBF"/>
    <w:rsid w:val="007C3D5D"/>
    <w:rsid w:val="007C3DAC"/>
    <w:rsid w:val="007C3FFF"/>
    <w:rsid w:val="007C4153"/>
    <w:rsid w:val="007C41A6"/>
    <w:rsid w:val="007C4271"/>
    <w:rsid w:val="007C4519"/>
    <w:rsid w:val="007C4783"/>
    <w:rsid w:val="007C47FF"/>
    <w:rsid w:val="007C4A39"/>
    <w:rsid w:val="007C4B04"/>
    <w:rsid w:val="007C4B3A"/>
    <w:rsid w:val="007C4B8A"/>
    <w:rsid w:val="007C4C3D"/>
    <w:rsid w:val="007C4CBD"/>
    <w:rsid w:val="007C4E64"/>
    <w:rsid w:val="007C4EBB"/>
    <w:rsid w:val="007C50D2"/>
    <w:rsid w:val="007C51B2"/>
    <w:rsid w:val="007C5513"/>
    <w:rsid w:val="007C5541"/>
    <w:rsid w:val="007C569A"/>
    <w:rsid w:val="007C56B1"/>
    <w:rsid w:val="007C5845"/>
    <w:rsid w:val="007C5A0A"/>
    <w:rsid w:val="007C5AB8"/>
    <w:rsid w:val="007C607D"/>
    <w:rsid w:val="007C62A8"/>
    <w:rsid w:val="007C6457"/>
    <w:rsid w:val="007C645E"/>
    <w:rsid w:val="007C64B7"/>
    <w:rsid w:val="007C674C"/>
    <w:rsid w:val="007C67DB"/>
    <w:rsid w:val="007C6AB0"/>
    <w:rsid w:val="007C6C97"/>
    <w:rsid w:val="007C6D4E"/>
    <w:rsid w:val="007C6DF3"/>
    <w:rsid w:val="007C6E37"/>
    <w:rsid w:val="007C6E39"/>
    <w:rsid w:val="007C70D9"/>
    <w:rsid w:val="007C718B"/>
    <w:rsid w:val="007C71D8"/>
    <w:rsid w:val="007C71DD"/>
    <w:rsid w:val="007C728B"/>
    <w:rsid w:val="007C7790"/>
    <w:rsid w:val="007C7904"/>
    <w:rsid w:val="007C7965"/>
    <w:rsid w:val="007C7984"/>
    <w:rsid w:val="007C7C53"/>
    <w:rsid w:val="007C7CB4"/>
    <w:rsid w:val="007C7D15"/>
    <w:rsid w:val="007C7DA8"/>
    <w:rsid w:val="007C7E00"/>
    <w:rsid w:val="007C7E66"/>
    <w:rsid w:val="007C7F07"/>
    <w:rsid w:val="007C7FA0"/>
    <w:rsid w:val="007D01DA"/>
    <w:rsid w:val="007D0220"/>
    <w:rsid w:val="007D02A9"/>
    <w:rsid w:val="007D06AB"/>
    <w:rsid w:val="007D0713"/>
    <w:rsid w:val="007D0989"/>
    <w:rsid w:val="007D0A1A"/>
    <w:rsid w:val="007D0BE6"/>
    <w:rsid w:val="007D0CC2"/>
    <w:rsid w:val="007D0D78"/>
    <w:rsid w:val="007D0D87"/>
    <w:rsid w:val="007D0FF6"/>
    <w:rsid w:val="007D1282"/>
    <w:rsid w:val="007D13C0"/>
    <w:rsid w:val="007D1686"/>
    <w:rsid w:val="007D169A"/>
    <w:rsid w:val="007D16A8"/>
    <w:rsid w:val="007D1962"/>
    <w:rsid w:val="007D1A7F"/>
    <w:rsid w:val="007D1A95"/>
    <w:rsid w:val="007D1BD1"/>
    <w:rsid w:val="007D1E0C"/>
    <w:rsid w:val="007D20A1"/>
    <w:rsid w:val="007D20B1"/>
    <w:rsid w:val="007D20C6"/>
    <w:rsid w:val="007D2140"/>
    <w:rsid w:val="007D226E"/>
    <w:rsid w:val="007D22FA"/>
    <w:rsid w:val="007D23FE"/>
    <w:rsid w:val="007D2622"/>
    <w:rsid w:val="007D2B1E"/>
    <w:rsid w:val="007D2B72"/>
    <w:rsid w:val="007D2CCF"/>
    <w:rsid w:val="007D2D2A"/>
    <w:rsid w:val="007D2D59"/>
    <w:rsid w:val="007D2EC5"/>
    <w:rsid w:val="007D2FB5"/>
    <w:rsid w:val="007D3229"/>
    <w:rsid w:val="007D32C4"/>
    <w:rsid w:val="007D33DE"/>
    <w:rsid w:val="007D3783"/>
    <w:rsid w:val="007D37E5"/>
    <w:rsid w:val="007D389C"/>
    <w:rsid w:val="007D38A7"/>
    <w:rsid w:val="007D3916"/>
    <w:rsid w:val="007D397D"/>
    <w:rsid w:val="007D39F0"/>
    <w:rsid w:val="007D3AFE"/>
    <w:rsid w:val="007D3B3F"/>
    <w:rsid w:val="007D3E49"/>
    <w:rsid w:val="007D3E60"/>
    <w:rsid w:val="007D3F76"/>
    <w:rsid w:val="007D4195"/>
    <w:rsid w:val="007D41BE"/>
    <w:rsid w:val="007D41F0"/>
    <w:rsid w:val="007D42A5"/>
    <w:rsid w:val="007D4348"/>
    <w:rsid w:val="007D4378"/>
    <w:rsid w:val="007D44A3"/>
    <w:rsid w:val="007D46C6"/>
    <w:rsid w:val="007D47AF"/>
    <w:rsid w:val="007D480E"/>
    <w:rsid w:val="007D4A6C"/>
    <w:rsid w:val="007D4F08"/>
    <w:rsid w:val="007D5717"/>
    <w:rsid w:val="007D5742"/>
    <w:rsid w:val="007D57C3"/>
    <w:rsid w:val="007D5948"/>
    <w:rsid w:val="007D5992"/>
    <w:rsid w:val="007D5A55"/>
    <w:rsid w:val="007D5B0F"/>
    <w:rsid w:val="007D5D16"/>
    <w:rsid w:val="007D5D6A"/>
    <w:rsid w:val="007D5E3F"/>
    <w:rsid w:val="007D5EFE"/>
    <w:rsid w:val="007D5F26"/>
    <w:rsid w:val="007D60F0"/>
    <w:rsid w:val="007D6177"/>
    <w:rsid w:val="007D6216"/>
    <w:rsid w:val="007D646A"/>
    <w:rsid w:val="007D6778"/>
    <w:rsid w:val="007D689A"/>
    <w:rsid w:val="007D694F"/>
    <w:rsid w:val="007D6AC4"/>
    <w:rsid w:val="007D6C8D"/>
    <w:rsid w:val="007D6EEF"/>
    <w:rsid w:val="007D7184"/>
    <w:rsid w:val="007D71E3"/>
    <w:rsid w:val="007D7238"/>
    <w:rsid w:val="007D7374"/>
    <w:rsid w:val="007D741C"/>
    <w:rsid w:val="007D755B"/>
    <w:rsid w:val="007D7747"/>
    <w:rsid w:val="007D77EA"/>
    <w:rsid w:val="007D7A45"/>
    <w:rsid w:val="007D7AEF"/>
    <w:rsid w:val="007D7AF5"/>
    <w:rsid w:val="007D7CAA"/>
    <w:rsid w:val="007E013F"/>
    <w:rsid w:val="007E036B"/>
    <w:rsid w:val="007E06E3"/>
    <w:rsid w:val="007E07C1"/>
    <w:rsid w:val="007E0C11"/>
    <w:rsid w:val="007E0CFC"/>
    <w:rsid w:val="007E0E14"/>
    <w:rsid w:val="007E0F4D"/>
    <w:rsid w:val="007E105C"/>
    <w:rsid w:val="007E11E6"/>
    <w:rsid w:val="007E121D"/>
    <w:rsid w:val="007E1390"/>
    <w:rsid w:val="007E13A6"/>
    <w:rsid w:val="007E15B2"/>
    <w:rsid w:val="007E1642"/>
    <w:rsid w:val="007E1691"/>
    <w:rsid w:val="007E194C"/>
    <w:rsid w:val="007E1B51"/>
    <w:rsid w:val="007E1BC4"/>
    <w:rsid w:val="007E1C89"/>
    <w:rsid w:val="007E1CE5"/>
    <w:rsid w:val="007E1EBF"/>
    <w:rsid w:val="007E20A0"/>
    <w:rsid w:val="007E21F4"/>
    <w:rsid w:val="007E230D"/>
    <w:rsid w:val="007E24CE"/>
    <w:rsid w:val="007E2575"/>
    <w:rsid w:val="007E262F"/>
    <w:rsid w:val="007E2B00"/>
    <w:rsid w:val="007E2B23"/>
    <w:rsid w:val="007E2C1A"/>
    <w:rsid w:val="007E2C24"/>
    <w:rsid w:val="007E2C50"/>
    <w:rsid w:val="007E2C8A"/>
    <w:rsid w:val="007E2E0A"/>
    <w:rsid w:val="007E2E52"/>
    <w:rsid w:val="007E2F98"/>
    <w:rsid w:val="007E2FF1"/>
    <w:rsid w:val="007E3023"/>
    <w:rsid w:val="007E3089"/>
    <w:rsid w:val="007E30CD"/>
    <w:rsid w:val="007E338C"/>
    <w:rsid w:val="007E33F7"/>
    <w:rsid w:val="007E343F"/>
    <w:rsid w:val="007E3539"/>
    <w:rsid w:val="007E3958"/>
    <w:rsid w:val="007E39CF"/>
    <w:rsid w:val="007E3C93"/>
    <w:rsid w:val="007E413B"/>
    <w:rsid w:val="007E417A"/>
    <w:rsid w:val="007E42F4"/>
    <w:rsid w:val="007E4574"/>
    <w:rsid w:val="007E48C1"/>
    <w:rsid w:val="007E4931"/>
    <w:rsid w:val="007E4C39"/>
    <w:rsid w:val="007E4CED"/>
    <w:rsid w:val="007E4D0B"/>
    <w:rsid w:val="007E4D8F"/>
    <w:rsid w:val="007E52E3"/>
    <w:rsid w:val="007E52F4"/>
    <w:rsid w:val="007E53CB"/>
    <w:rsid w:val="007E543F"/>
    <w:rsid w:val="007E5461"/>
    <w:rsid w:val="007E573B"/>
    <w:rsid w:val="007E5861"/>
    <w:rsid w:val="007E5886"/>
    <w:rsid w:val="007E5998"/>
    <w:rsid w:val="007E5AD0"/>
    <w:rsid w:val="007E5B3C"/>
    <w:rsid w:val="007E5C90"/>
    <w:rsid w:val="007E5CDC"/>
    <w:rsid w:val="007E5DA4"/>
    <w:rsid w:val="007E61DB"/>
    <w:rsid w:val="007E6230"/>
    <w:rsid w:val="007E6237"/>
    <w:rsid w:val="007E625E"/>
    <w:rsid w:val="007E62F9"/>
    <w:rsid w:val="007E6900"/>
    <w:rsid w:val="007E6A94"/>
    <w:rsid w:val="007E6B4B"/>
    <w:rsid w:val="007E6DEB"/>
    <w:rsid w:val="007E6FEE"/>
    <w:rsid w:val="007E703D"/>
    <w:rsid w:val="007E7155"/>
    <w:rsid w:val="007E719A"/>
    <w:rsid w:val="007E71C2"/>
    <w:rsid w:val="007E73F1"/>
    <w:rsid w:val="007E745C"/>
    <w:rsid w:val="007E74B6"/>
    <w:rsid w:val="007E7547"/>
    <w:rsid w:val="007E77E3"/>
    <w:rsid w:val="007E7A94"/>
    <w:rsid w:val="007E7D21"/>
    <w:rsid w:val="007E7D6A"/>
    <w:rsid w:val="007E7D6E"/>
    <w:rsid w:val="007E7E44"/>
    <w:rsid w:val="007E7FD1"/>
    <w:rsid w:val="007F037E"/>
    <w:rsid w:val="007F03C9"/>
    <w:rsid w:val="007F0540"/>
    <w:rsid w:val="007F064E"/>
    <w:rsid w:val="007F0740"/>
    <w:rsid w:val="007F090F"/>
    <w:rsid w:val="007F0A5F"/>
    <w:rsid w:val="007F0B2A"/>
    <w:rsid w:val="007F0B77"/>
    <w:rsid w:val="007F0E2B"/>
    <w:rsid w:val="007F0E75"/>
    <w:rsid w:val="007F0F32"/>
    <w:rsid w:val="007F0F5A"/>
    <w:rsid w:val="007F10CB"/>
    <w:rsid w:val="007F1189"/>
    <w:rsid w:val="007F11D7"/>
    <w:rsid w:val="007F1236"/>
    <w:rsid w:val="007F13F6"/>
    <w:rsid w:val="007F13FF"/>
    <w:rsid w:val="007F1430"/>
    <w:rsid w:val="007F1565"/>
    <w:rsid w:val="007F15B5"/>
    <w:rsid w:val="007F167D"/>
    <w:rsid w:val="007F17D4"/>
    <w:rsid w:val="007F182B"/>
    <w:rsid w:val="007F188A"/>
    <w:rsid w:val="007F1AAF"/>
    <w:rsid w:val="007F1B78"/>
    <w:rsid w:val="007F1BCF"/>
    <w:rsid w:val="007F1BE4"/>
    <w:rsid w:val="007F1BE6"/>
    <w:rsid w:val="007F1C63"/>
    <w:rsid w:val="007F1E0D"/>
    <w:rsid w:val="007F1E66"/>
    <w:rsid w:val="007F1EA9"/>
    <w:rsid w:val="007F203B"/>
    <w:rsid w:val="007F2361"/>
    <w:rsid w:val="007F2370"/>
    <w:rsid w:val="007F23CC"/>
    <w:rsid w:val="007F2416"/>
    <w:rsid w:val="007F24ED"/>
    <w:rsid w:val="007F2559"/>
    <w:rsid w:val="007F2689"/>
    <w:rsid w:val="007F26AC"/>
    <w:rsid w:val="007F26EB"/>
    <w:rsid w:val="007F2A58"/>
    <w:rsid w:val="007F2AC4"/>
    <w:rsid w:val="007F2EF9"/>
    <w:rsid w:val="007F2F57"/>
    <w:rsid w:val="007F30DA"/>
    <w:rsid w:val="007F30FF"/>
    <w:rsid w:val="007F317B"/>
    <w:rsid w:val="007F3559"/>
    <w:rsid w:val="007F3582"/>
    <w:rsid w:val="007F3635"/>
    <w:rsid w:val="007F3727"/>
    <w:rsid w:val="007F37D6"/>
    <w:rsid w:val="007F3807"/>
    <w:rsid w:val="007F3AA8"/>
    <w:rsid w:val="007F3C54"/>
    <w:rsid w:val="007F3C56"/>
    <w:rsid w:val="007F3EF7"/>
    <w:rsid w:val="007F4027"/>
    <w:rsid w:val="007F413F"/>
    <w:rsid w:val="007F421B"/>
    <w:rsid w:val="007F4250"/>
    <w:rsid w:val="007F42AE"/>
    <w:rsid w:val="007F4427"/>
    <w:rsid w:val="007F44BE"/>
    <w:rsid w:val="007F45DE"/>
    <w:rsid w:val="007F4735"/>
    <w:rsid w:val="007F4922"/>
    <w:rsid w:val="007F49A6"/>
    <w:rsid w:val="007F4A75"/>
    <w:rsid w:val="007F4BF4"/>
    <w:rsid w:val="007F4DA8"/>
    <w:rsid w:val="007F4F84"/>
    <w:rsid w:val="007F5114"/>
    <w:rsid w:val="007F52C3"/>
    <w:rsid w:val="007F55E4"/>
    <w:rsid w:val="007F5621"/>
    <w:rsid w:val="007F56ED"/>
    <w:rsid w:val="007F5769"/>
    <w:rsid w:val="007F5B1A"/>
    <w:rsid w:val="007F5C7B"/>
    <w:rsid w:val="007F5D3B"/>
    <w:rsid w:val="007F5D43"/>
    <w:rsid w:val="007F5E25"/>
    <w:rsid w:val="007F5F28"/>
    <w:rsid w:val="007F5F71"/>
    <w:rsid w:val="007F6218"/>
    <w:rsid w:val="007F6467"/>
    <w:rsid w:val="007F65A6"/>
    <w:rsid w:val="007F6683"/>
    <w:rsid w:val="007F66BA"/>
    <w:rsid w:val="007F66EC"/>
    <w:rsid w:val="007F6A3A"/>
    <w:rsid w:val="007F6C22"/>
    <w:rsid w:val="007F6CBD"/>
    <w:rsid w:val="007F6FC1"/>
    <w:rsid w:val="007F72CC"/>
    <w:rsid w:val="007F72EA"/>
    <w:rsid w:val="007F75E2"/>
    <w:rsid w:val="007F78EB"/>
    <w:rsid w:val="007F7A1F"/>
    <w:rsid w:val="007F7F43"/>
    <w:rsid w:val="007F7F5B"/>
    <w:rsid w:val="00800000"/>
    <w:rsid w:val="00800243"/>
    <w:rsid w:val="008002E8"/>
    <w:rsid w:val="00800329"/>
    <w:rsid w:val="0080053E"/>
    <w:rsid w:val="008005B4"/>
    <w:rsid w:val="00800668"/>
    <w:rsid w:val="008009CE"/>
    <w:rsid w:val="00800B97"/>
    <w:rsid w:val="00800BA8"/>
    <w:rsid w:val="00800C37"/>
    <w:rsid w:val="00800C42"/>
    <w:rsid w:val="00800D32"/>
    <w:rsid w:val="00800D73"/>
    <w:rsid w:val="00800DA1"/>
    <w:rsid w:val="00800DE6"/>
    <w:rsid w:val="00800F19"/>
    <w:rsid w:val="00800F72"/>
    <w:rsid w:val="00800F99"/>
    <w:rsid w:val="008011E9"/>
    <w:rsid w:val="0080160C"/>
    <w:rsid w:val="008018EC"/>
    <w:rsid w:val="00801B1B"/>
    <w:rsid w:val="00801CC4"/>
    <w:rsid w:val="00801E93"/>
    <w:rsid w:val="008020BA"/>
    <w:rsid w:val="0080214D"/>
    <w:rsid w:val="0080217C"/>
    <w:rsid w:val="00802358"/>
    <w:rsid w:val="008023DE"/>
    <w:rsid w:val="008023FF"/>
    <w:rsid w:val="008024C2"/>
    <w:rsid w:val="0080260E"/>
    <w:rsid w:val="008026C5"/>
    <w:rsid w:val="008027DC"/>
    <w:rsid w:val="008027E6"/>
    <w:rsid w:val="00802887"/>
    <w:rsid w:val="008028F4"/>
    <w:rsid w:val="00802A27"/>
    <w:rsid w:val="00802BD1"/>
    <w:rsid w:val="00802C8B"/>
    <w:rsid w:val="00802CBB"/>
    <w:rsid w:val="00802DC9"/>
    <w:rsid w:val="00803050"/>
    <w:rsid w:val="008030D3"/>
    <w:rsid w:val="008032FD"/>
    <w:rsid w:val="008033CE"/>
    <w:rsid w:val="008034DE"/>
    <w:rsid w:val="0080366B"/>
    <w:rsid w:val="008036F0"/>
    <w:rsid w:val="00803ACA"/>
    <w:rsid w:val="00803B57"/>
    <w:rsid w:val="00803DA9"/>
    <w:rsid w:val="00803E37"/>
    <w:rsid w:val="00803EF2"/>
    <w:rsid w:val="00803F01"/>
    <w:rsid w:val="0080406C"/>
    <w:rsid w:val="00804148"/>
    <w:rsid w:val="0080421D"/>
    <w:rsid w:val="0080423F"/>
    <w:rsid w:val="00804274"/>
    <w:rsid w:val="0080434A"/>
    <w:rsid w:val="00804815"/>
    <w:rsid w:val="00804B8D"/>
    <w:rsid w:val="00804C5A"/>
    <w:rsid w:val="00804C94"/>
    <w:rsid w:val="00804DB4"/>
    <w:rsid w:val="00804E7F"/>
    <w:rsid w:val="00805130"/>
    <w:rsid w:val="0080520F"/>
    <w:rsid w:val="00805221"/>
    <w:rsid w:val="0080525E"/>
    <w:rsid w:val="00805558"/>
    <w:rsid w:val="008058C3"/>
    <w:rsid w:val="0080590E"/>
    <w:rsid w:val="008059C6"/>
    <w:rsid w:val="00805B5F"/>
    <w:rsid w:val="00805C6F"/>
    <w:rsid w:val="00805D74"/>
    <w:rsid w:val="00805E18"/>
    <w:rsid w:val="0080618C"/>
    <w:rsid w:val="008061CE"/>
    <w:rsid w:val="00806315"/>
    <w:rsid w:val="008063F9"/>
    <w:rsid w:val="00806600"/>
    <w:rsid w:val="008067A8"/>
    <w:rsid w:val="0080698E"/>
    <w:rsid w:val="00806BAB"/>
    <w:rsid w:val="00806D49"/>
    <w:rsid w:val="00806F42"/>
    <w:rsid w:val="00806F5B"/>
    <w:rsid w:val="00807277"/>
    <w:rsid w:val="00807286"/>
    <w:rsid w:val="008073EB"/>
    <w:rsid w:val="008073FA"/>
    <w:rsid w:val="00807416"/>
    <w:rsid w:val="008076A3"/>
    <w:rsid w:val="00807726"/>
    <w:rsid w:val="008078BA"/>
    <w:rsid w:val="0080797D"/>
    <w:rsid w:val="00807C78"/>
    <w:rsid w:val="00807D35"/>
    <w:rsid w:val="00807D81"/>
    <w:rsid w:val="00807EFE"/>
    <w:rsid w:val="0081007D"/>
    <w:rsid w:val="00810274"/>
    <w:rsid w:val="008103AE"/>
    <w:rsid w:val="008104D3"/>
    <w:rsid w:val="0081071B"/>
    <w:rsid w:val="008107A3"/>
    <w:rsid w:val="008107D3"/>
    <w:rsid w:val="00810BCC"/>
    <w:rsid w:val="00810BE2"/>
    <w:rsid w:val="00810C0E"/>
    <w:rsid w:val="00810C55"/>
    <w:rsid w:val="00810D22"/>
    <w:rsid w:val="00810E2B"/>
    <w:rsid w:val="00810ECD"/>
    <w:rsid w:val="00810ED8"/>
    <w:rsid w:val="00810FCD"/>
    <w:rsid w:val="00811224"/>
    <w:rsid w:val="00811415"/>
    <w:rsid w:val="00811458"/>
    <w:rsid w:val="00811504"/>
    <w:rsid w:val="0081155A"/>
    <w:rsid w:val="0081156F"/>
    <w:rsid w:val="0081167E"/>
    <w:rsid w:val="008116F0"/>
    <w:rsid w:val="00811796"/>
    <w:rsid w:val="00811A82"/>
    <w:rsid w:val="00811DE2"/>
    <w:rsid w:val="008121BC"/>
    <w:rsid w:val="008124A0"/>
    <w:rsid w:val="0081269E"/>
    <w:rsid w:val="008127F0"/>
    <w:rsid w:val="00812903"/>
    <w:rsid w:val="00813074"/>
    <w:rsid w:val="008130B4"/>
    <w:rsid w:val="008132A3"/>
    <w:rsid w:val="00813564"/>
    <w:rsid w:val="0081357D"/>
    <w:rsid w:val="00813730"/>
    <w:rsid w:val="0081376C"/>
    <w:rsid w:val="00813868"/>
    <w:rsid w:val="00813AB1"/>
    <w:rsid w:val="00813AD1"/>
    <w:rsid w:val="00813B18"/>
    <w:rsid w:val="00813B50"/>
    <w:rsid w:val="00813CE0"/>
    <w:rsid w:val="00813D8D"/>
    <w:rsid w:val="00813F64"/>
    <w:rsid w:val="00813F91"/>
    <w:rsid w:val="00813FAC"/>
    <w:rsid w:val="00814028"/>
    <w:rsid w:val="008140EF"/>
    <w:rsid w:val="008147ED"/>
    <w:rsid w:val="00814856"/>
    <w:rsid w:val="00814BDD"/>
    <w:rsid w:val="0081529D"/>
    <w:rsid w:val="008152A4"/>
    <w:rsid w:val="008153C6"/>
    <w:rsid w:val="008154D1"/>
    <w:rsid w:val="0081556F"/>
    <w:rsid w:val="008156A5"/>
    <w:rsid w:val="0081574B"/>
    <w:rsid w:val="008158B6"/>
    <w:rsid w:val="008158C7"/>
    <w:rsid w:val="008158C8"/>
    <w:rsid w:val="008158FA"/>
    <w:rsid w:val="00815AD5"/>
    <w:rsid w:val="00815B2C"/>
    <w:rsid w:val="00815BE1"/>
    <w:rsid w:val="00815CFB"/>
    <w:rsid w:val="00815E54"/>
    <w:rsid w:val="00815E60"/>
    <w:rsid w:val="008160DF"/>
    <w:rsid w:val="008165B2"/>
    <w:rsid w:val="008166B7"/>
    <w:rsid w:val="008166FF"/>
    <w:rsid w:val="008167A4"/>
    <w:rsid w:val="00816916"/>
    <w:rsid w:val="00816EB4"/>
    <w:rsid w:val="00816FE8"/>
    <w:rsid w:val="008172DB"/>
    <w:rsid w:val="0081734C"/>
    <w:rsid w:val="0081737D"/>
    <w:rsid w:val="008173C8"/>
    <w:rsid w:val="00817472"/>
    <w:rsid w:val="008175DE"/>
    <w:rsid w:val="0081766B"/>
    <w:rsid w:val="008176FB"/>
    <w:rsid w:val="0081789C"/>
    <w:rsid w:val="0081793E"/>
    <w:rsid w:val="008179ED"/>
    <w:rsid w:val="00817A2E"/>
    <w:rsid w:val="00817B0A"/>
    <w:rsid w:val="00817B48"/>
    <w:rsid w:val="00817D4C"/>
    <w:rsid w:val="00817E56"/>
    <w:rsid w:val="00817E97"/>
    <w:rsid w:val="008201E4"/>
    <w:rsid w:val="00820221"/>
    <w:rsid w:val="00820335"/>
    <w:rsid w:val="0082034F"/>
    <w:rsid w:val="008206B0"/>
    <w:rsid w:val="0082070B"/>
    <w:rsid w:val="0082073A"/>
    <w:rsid w:val="00820868"/>
    <w:rsid w:val="00820967"/>
    <w:rsid w:val="0082098B"/>
    <w:rsid w:val="008209A0"/>
    <w:rsid w:val="00820A97"/>
    <w:rsid w:val="00820B39"/>
    <w:rsid w:val="00820D4C"/>
    <w:rsid w:val="00820DFF"/>
    <w:rsid w:val="00820E26"/>
    <w:rsid w:val="00820F0F"/>
    <w:rsid w:val="0082126A"/>
    <w:rsid w:val="008212CE"/>
    <w:rsid w:val="0082167F"/>
    <w:rsid w:val="00821681"/>
    <w:rsid w:val="008218AC"/>
    <w:rsid w:val="00821942"/>
    <w:rsid w:val="00821A66"/>
    <w:rsid w:val="00821D4A"/>
    <w:rsid w:val="00821E23"/>
    <w:rsid w:val="00821EDB"/>
    <w:rsid w:val="0082207B"/>
    <w:rsid w:val="00822158"/>
    <w:rsid w:val="00822183"/>
    <w:rsid w:val="00822203"/>
    <w:rsid w:val="00822255"/>
    <w:rsid w:val="00822688"/>
    <w:rsid w:val="008227AD"/>
    <w:rsid w:val="008227D4"/>
    <w:rsid w:val="0082286F"/>
    <w:rsid w:val="008229D3"/>
    <w:rsid w:val="00822CA9"/>
    <w:rsid w:val="00822D3B"/>
    <w:rsid w:val="00822EDC"/>
    <w:rsid w:val="00823151"/>
    <w:rsid w:val="008231BB"/>
    <w:rsid w:val="00823225"/>
    <w:rsid w:val="00823263"/>
    <w:rsid w:val="00823568"/>
    <w:rsid w:val="00823649"/>
    <w:rsid w:val="00823747"/>
    <w:rsid w:val="0082378C"/>
    <w:rsid w:val="008237D3"/>
    <w:rsid w:val="0082390C"/>
    <w:rsid w:val="00823914"/>
    <w:rsid w:val="00823A35"/>
    <w:rsid w:val="00823A7C"/>
    <w:rsid w:val="00823D08"/>
    <w:rsid w:val="00823D18"/>
    <w:rsid w:val="00823D98"/>
    <w:rsid w:val="00824231"/>
    <w:rsid w:val="00824428"/>
    <w:rsid w:val="008244A5"/>
    <w:rsid w:val="00824684"/>
    <w:rsid w:val="00824774"/>
    <w:rsid w:val="00824942"/>
    <w:rsid w:val="00824A2D"/>
    <w:rsid w:val="00824AAC"/>
    <w:rsid w:val="00824C45"/>
    <w:rsid w:val="00824E5E"/>
    <w:rsid w:val="00825127"/>
    <w:rsid w:val="0082519B"/>
    <w:rsid w:val="0082524F"/>
    <w:rsid w:val="0082549A"/>
    <w:rsid w:val="008254AB"/>
    <w:rsid w:val="0082550F"/>
    <w:rsid w:val="008255C1"/>
    <w:rsid w:val="008256C5"/>
    <w:rsid w:val="008258B9"/>
    <w:rsid w:val="00825A39"/>
    <w:rsid w:val="00825A6C"/>
    <w:rsid w:val="00825CC3"/>
    <w:rsid w:val="00825D06"/>
    <w:rsid w:val="00825D4F"/>
    <w:rsid w:val="00825DA3"/>
    <w:rsid w:val="00825E12"/>
    <w:rsid w:val="00825FFD"/>
    <w:rsid w:val="00826213"/>
    <w:rsid w:val="0082639E"/>
    <w:rsid w:val="008263D5"/>
    <w:rsid w:val="008267C7"/>
    <w:rsid w:val="00826892"/>
    <w:rsid w:val="00826A93"/>
    <w:rsid w:val="00826AB8"/>
    <w:rsid w:val="00826E3F"/>
    <w:rsid w:val="00826EE9"/>
    <w:rsid w:val="0082734E"/>
    <w:rsid w:val="0082738E"/>
    <w:rsid w:val="0082754F"/>
    <w:rsid w:val="00827614"/>
    <w:rsid w:val="00827EF3"/>
    <w:rsid w:val="0083002E"/>
    <w:rsid w:val="0083005E"/>
    <w:rsid w:val="0083007C"/>
    <w:rsid w:val="0083010F"/>
    <w:rsid w:val="008301EC"/>
    <w:rsid w:val="00830288"/>
    <w:rsid w:val="008303A7"/>
    <w:rsid w:val="008303DC"/>
    <w:rsid w:val="0083057E"/>
    <w:rsid w:val="00830677"/>
    <w:rsid w:val="00830792"/>
    <w:rsid w:val="00830816"/>
    <w:rsid w:val="0083092F"/>
    <w:rsid w:val="00830958"/>
    <w:rsid w:val="008309DC"/>
    <w:rsid w:val="00830AFA"/>
    <w:rsid w:val="00830F2F"/>
    <w:rsid w:val="00831168"/>
    <w:rsid w:val="0083125F"/>
    <w:rsid w:val="00831408"/>
    <w:rsid w:val="0083163F"/>
    <w:rsid w:val="00831897"/>
    <w:rsid w:val="00831A57"/>
    <w:rsid w:val="00831B72"/>
    <w:rsid w:val="00831C65"/>
    <w:rsid w:val="00831F2F"/>
    <w:rsid w:val="0083241A"/>
    <w:rsid w:val="00832658"/>
    <w:rsid w:val="008327B8"/>
    <w:rsid w:val="00832B86"/>
    <w:rsid w:val="00832CA4"/>
    <w:rsid w:val="00832DE0"/>
    <w:rsid w:val="00832E39"/>
    <w:rsid w:val="00832F99"/>
    <w:rsid w:val="00832F9E"/>
    <w:rsid w:val="00833181"/>
    <w:rsid w:val="008331BC"/>
    <w:rsid w:val="0083320D"/>
    <w:rsid w:val="008333DB"/>
    <w:rsid w:val="0083347D"/>
    <w:rsid w:val="0083351F"/>
    <w:rsid w:val="008335B6"/>
    <w:rsid w:val="008335F6"/>
    <w:rsid w:val="00833624"/>
    <w:rsid w:val="0083370E"/>
    <w:rsid w:val="0083373B"/>
    <w:rsid w:val="00833AC0"/>
    <w:rsid w:val="00833B4E"/>
    <w:rsid w:val="00833E0D"/>
    <w:rsid w:val="00833EF2"/>
    <w:rsid w:val="008340D4"/>
    <w:rsid w:val="00834137"/>
    <w:rsid w:val="0083416F"/>
    <w:rsid w:val="008342B9"/>
    <w:rsid w:val="008342D2"/>
    <w:rsid w:val="008344B8"/>
    <w:rsid w:val="00834551"/>
    <w:rsid w:val="0083459A"/>
    <w:rsid w:val="008345A6"/>
    <w:rsid w:val="008345F3"/>
    <w:rsid w:val="00834832"/>
    <w:rsid w:val="008348B5"/>
    <w:rsid w:val="008349F6"/>
    <w:rsid w:val="00834BA6"/>
    <w:rsid w:val="00834BA7"/>
    <w:rsid w:val="00834D1E"/>
    <w:rsid w:val="00834E5A"/>
    <w:rsid w:val="00834EB3"/>
    <w:rsid w:val="008350EF"/>
    <w:rsid w:val="008350F9"/>
    <w:rsid w:val="00835104"/>
    <w:rsid w:val="008352BB"/>
    <w:rsid w:val="008352F8"/>
    <w:rsid w:val="00835392"/>
    <w:rsid w:val="0083539D"/>
    <w:rsid w:val="008353DC"/>
    <w:rsid w:val="00835417"/>
    <w:rsid w:val="0083543B"/>
    <w:rsid w:val="0083566E"/>
    <w:rsid w:val="0083577F"/>
    <w:rsid w:val="0083579D"/>
    <w:rsid w:val="00835963"/>
    <w:rsid w:val="00835B4F"/>
    <w:rsid w:val="00835B71"/>
    <w:rsid w:val="00835C2D"/>
    <w:rsid w:val="008360B6"/>
    <w:rsid w:val="00836127"/>
    <w:rsid w:val="0083617E"/>
    <w:rsid w:val="008361C9"/>
    <w:rsid w:val="0083627B"/>
    <w:rsid w:val="008364A2"/>
    <w:rsid w:val="00836524"/>
    <w:rsid w:val="008365AE"/>
    <w:rsid w:val="008365DD"/>
    <w:rsid w:val="00836836"/>
    <w:rsid w:val="008368D9"/>
    <w:rsid w:val="00836925"/>
    <w:rsid w:val="00836A07"/>
    <w:rsid w:val="00836BF1"/>
    <w:rsid w:val="00836C0A"/>
    <w:rsid w:val="00836D64"/>
    <w:rsid w:val="00836F61"/>
    <w:rsid w:val="00836FBA"/>
    <w:rsid w:val="00837032"/>
    <w:rsid w:val="008370B7"/>
    <w:rsid w:val="008370CA"/>
    <w:rsid w:val="008371DA"/>
    <w:rsid w:val="00837290"/>
    <w:rsid w:val="008373C5"/>
    <w:rsid w:val="0083762C"/>
    <w:rsid w:val="00837867"/>
    <w:rsid w:val="00837878"/>
    <w:rsid w:val="0083790E"/>
    <w:rsid w:val="00837B5A"/>
    <w:rsid w:val="00840185"/>
    <w:rsid w:val="0084037C"/>
    <w:rsid w:val="00840480"/>
    <w:rsid w:val="00840571"/>
    <w:rsid w:val="008405F7"/>
    <w:rsid w:val="00840675"/>
    <w:rsid w:val="00840744"/>
    <w:rsid w:val="0084077D"/>
    <w:rsid w:val="0084084F"/>
    <w:rsid w:val="00840953"/>
    <w:rsid w:val="00840BF7"/>
    <w:rsid w:val="00840C7D"/>
    <w:rsid w:val="00840D5E"/>
    <w:rsid w:val="00840E09"/>
    <w:rsid w:val="00840E33"/>
    <w:rsid w:val="00841064"/>
    <w:rsid w:val="0084109F"/>
    <w:rsid w:val="008410BC"/>
    <w:rsid w:val="00841333"/>
    <w:rsid w:val="00841536"/>
    <w:rsid w:val="0084178B"/>
    <w:rsid w:val="008418DE"/>
    <w:rsid w:val="00841996"/>
    <w:rsid w:val="008419CF"/>
    <w:rsid w:val="00841A1D"/>
    <w:rsid w:val="00841C41"/>
    <w:rsid w:val="00841C6A"/>
    <w:rsid w:val="00841CBD"/>
    <w:rsid w:val="00841D2F"/>
    <w:rsid w:val="00841F02"/>
    <w:rsid w:val="00841F45"/>
    <w:rsid w:val="00842111"/>
    <w:rsid w:val="00842186"/>
    <w:rsid w:val="00842337"/>
    <w:rsid w:val="00842565"/>
    <w:rsid w:val="008426BC"/>
    <w:rsid w:val="00842918"/>
    <w:rsid w:val="00842A11"/>
    <w:rsid w:val="00842B5C"/>
    <w:rsid w:val="00842C33"/>
    <w:rsid w:val="00842C3E"/>
    <w:rsid w:val="00842D6C"/>
    <w:rsid w:val="00843276"/>
    <w:rsid w:val="00843355"/>
    <w:rsid w:val="00843510"/>
    <w:rsid w:val="008435E2"/>
    <w:rsid w:val="008436E1"/>
    <w:rsid w:val="00843700"/>
    <w:rsid w:val="0084374C"/>
    <w:rsid w:val="008437EE"/>
    <w:rsid w:val="00843851"/>
    <w:rsid w:val="008438CC"/>
    <w:rsid w:val="0084397B"/>
    <w:rsid w:val="00843AD6"/>
    <w:rsid w:val="00843B68"/>
    <w:rsid w:val="00843C13"/>
    <w:rsid w:val="00843E24"/>
    <w:rsid w:val="008440EB"/>
    <w:rsid w:val="008441E2"/>
    <w:rsid w:val="0084426D"/>
    <w:rsid w:val="008443C8"/>
    <w:rsid w:val="008444F6"/>
    <w:rsid w:val="0084450D"/>
    <w:rsid w:val="008447FF"/>
    <w:rsid w:val="00844C69"/>
    <w:rsid w:val="00844CA8"/>
    <w:rsid w:val="0084503D"/>
    <w:rsid w:val="00845065"/>
    <w:rsid w:val="0084519A"/>
    <w:rsid w:val="008451B2"/>
    <w:rsid w:val="00845459"/>
    <w:rsid w:val="008455B2"/>
    <w:rsid w:val="0084582A"/>
    <w:rsid w:val="00845994"/>
    <w:rsid w:val="008459F6"/>
    <w:rsid w:val="00845C80"/>
    <w:rsid w:val="00845CA6"/>
    <w:rsid w:val="00845CD7"/>
    <w:rsid w:val="00845F5D"/>
    <w:rsid w:val="0084621B"/>
    <w:rsid w:val="00846425"/>
    <w:rsid w:val="008466E7"/>
    <w:rsid w:val="008468BE"/>
    <w:rsid w:val="0084690B"/>
    <w:rsid w:val="00846A80"/>
    <w:rsid w:val="00846B26"/>
    <w:rsid w:val="00846B51"/>
    <w:rsid w:val="00846C0E"/>
    <w:rsid w:val="00846CE7"/>
    <w:rsid w:val="00846DFB"/>
    <w:rsid w:val="00846F63"/>
    <w:rsid w:val="00846F70"/>
    <w:rsid w:val="00847104"/>
    <w:rsid w:val="008472D4"/>
    <w:rsid w:val="00847315"/>
    <w:rsid w:val="0084731E"/>
    <w:rsid w:val="00847480"/>
    <w:rsid w:val="00847523"/>
    <w:rsid w:val="00847570"/>
    <w:rsid w:val="008475EE"/>
    <w:rsid w:val="00847B0C"/>
    <w:rsid w:val="00847BEF"/>
    <w:rsid w:val="00847CA4"/>
    <w:rsid w:val="00847CA5"/>
    <w:rsid w:val="00847CE6"/>
    <w:rsid w:val="00847F4C"/>
    <w:rsid w:val="00847FB4"/>
    <w:rsid w:val="00850001"/>
    <w:rsid w:val="00850163"/>
    <w:rsid w:val="00850181"/>
    <w:rsid w:val="0085029E"/>
    <w:rsid w:val="008503ED"/>
    <w:rsid w:val="0085042A"/>
    <w:rsid w:val="0085042B"/>
    <w:rsid w:val="008504A3"/>
    <w:rsid w:val="0085054A"/>
    <w:rsid w:val="008505D9"/>
    <w:rsid w:val="008506D7"/>
    <w:rsid w:val="0085074F"/>
    <w:rsid w:val="00850892"/>
    <w:rsid w:val="00850B78"/>
    <w:rsid w:val="00850CFD"/>
    <w:rsid w:val="0085114B"/>
    <w:rsid w:val="00851224"/>
    <w:rsid w:val="0085149A"/>
    <w:rsid w:val="008514CA"/>
    <w:rsid w:val="0085159C"/>
    <w:rsid w:val="008515CE"/>
    <w:rsid w:val="008516E7"/>
    <w:rsid w:val="008516F7"/>
    <w:rsid w:val="0085189B"/>
    <w:rsid w:val="008518CB"/>
    <w:rsid w:val="008519EF"/>
    <w:rsid w:val="00851A32"/>
    <w:rsid w:val="00851C88"/>
    <w:rsid w:val="00851CEF"/>
    <w:rsid w:val="00851DB5"/>
    <w:rsid w:val="00851F06"/>
    <w:rsid w:val="008520B0"/>
    <w:rsid w:val="0085227E"/>
    <w:rsid w:val="00852439"/>
    <w:rsid w:val="00852691"/>
    <w:rsid w:val="00852939"/>
    <w:rsid w:val="00852AF7"/>
    <w:rsid w:val="00852B42"/>
    <w:rsid w:val="00852C2A"/>
    <w:rsid w:val="00852CCC"/>
    <w:rsid w:val="00852D61"/>
    <w:rsid w:val="00852F5E"/>
    <w:rsid w:val="008530BE"/>
    <w:rsid w:val="00853101"/>
    <w:rsid w:val="0085314E"/>
    <w:rsid w:val="0085325D"/>
    <w:rsid w:val="00853391"/>
    <w:rsid w:val="008536A9"/>
    <w:rsid w:val="008536BD"/>
    <w:rsid w:val="008536D1"/>
    <w:rsid w:val="0085379C"/>
    <w:rsid w:val="00853880"/>
    <w:rsid w:val="008538BB"/>
    <w:rsid w:val="0085395B"/>
    <w:rsid w:val="0085398B"/>
    <w:rsid w:val="0085399A"/>
    <w:rsid w:val="00853CC2"/>
    <w:rsid w:val="00853EA1"/>
    <w:rsid w:val="0085405F"/>
    <w:rsid w:val="00854201"/>
    <w:rsid w:val="0085420B"/>
    <w:rsid w:val="0085425D"/>
    <w:rsid w:val="00854308"/>
    <w:rsid w:val="0085438B"/>
    <w:rsid w:val="00854412"/>
    <w:rsid w:val="0085441F"/>
    <w:rsid w:val="00854509"/>
    <w:rsid w:val="0085454E"/>
    <w:rsid w:val="008545B9"/>
    <w:rsid w:val="00854606"/>
    <w:rsid w:val="008546D4"/>
    <w:rsid w:val="008546DD"/>
    <w:rsid w:val="00854719"/>
    <w:rsid w:val="00854928"/>
    <w:rsid w:val="00854972"/>
    <w:rsid w:val="00854C4F"/>
    <w:rsid w:val="00854C9E"/>
    <w:rsid w:val="00854D31"/>
    <w:rsid w:val="00854DA0"/>
    <w:rsid w:val="00854F3E"/>
    <w:rsid w:val="00854F4E"/>
    <w:rsid w:val="00854F73"/>
    <w:rsid w:val="0085506D"/>
    <w:rsid w:val="008552FC"/>
    <w:rsid w:val="00855327"/>
    <w:rsid w:val="0085532B"/>
    <w:rsid w:val="008553E5"/>
    <w:rsid w:val="00855460"/>
    <w:rsid w:val="0085555D"/>
    <w:rsid w:val="0085557D"/>
    <w:rsid w:val="00855674"/>
    <w:rsid w:val="008557DA"/>
    <w:rsid w:val="0085584F"/>
    <w:rsid w:val="00855AA3"/>
    <w:rsid w:val="00855C86"/>
    <w:rsid w:val="00855DEF"/>
    <w:rsid w:val="00855E08"/>
    <w:rsid w:val="00856010"/>
    <w:rsid w:val="00856107"/>
    <w:rsid w:val="0085626B"/>
    <w:rsid w:val="0085627C"/>
    <w:rsid w:val="008563CD"/>
    <w:rsid w:val="00856409"/>
    <w:rsid w:val="00856561"/>
    <w:rsid w:val="008566EE"/>
    <w:rsid w:val="008569D1"/>
    <w:rsid w:val="008569FF"/>
    <w:rsid w:val="00856A14"/>
    <w:rsid w:val="00856A21"/>
    <w:rsid w:val="00856ACE"/>
    <w:rsid w:val="00856BF9"/>
    <w:rsid w:val="00856CF7"/>
    <w:rsid w:val="00856E73"/>
    <w:rsid w:val="00856FBE"/>
    <w:rsid w:val="00856FE5"/>
    <w:rsid w:val="008570D9"/>
    <w:rsid w:val="0085722F"/>
    <w:rsid w:val="0085724A"/>
    <w:rsid w:val="00857334"/>
    <w:rsid w:val="008575F8"/>
    <w:rsid w:val="008577C7"/>
    <w:rsid w:val="00857955"/>
    <w:rsid w:val="00857B00"/>
    <w:rsid w:val="00857B34"/>
    <w:rsid w:val="00857C83"/>
    <w:rsid w:val="00860028"/>
    <w:rsid w:val="0086044D"/>
    <w:rsid w:val="00860477"/>
    <w:rsid w:val="008606D6"/>
    <w:rsid w:val="008606D9"/>
    <w:rsid w:val="00860A1C"/>
    <w:rsid w:val="00860AB1"/>
    <w:rsid w:val="00860B64"/>
    <w:rsid w:val="00860B8F"/>
    <w:rsid w:val="00860CA8"/>
    <w:rsid w:val="00860CAF"/>
    <w:rsid w:val="00860CB8"/>
    <w:rsid w:val="00860D9E"/>
    <w:rsid w:val="00861120"/>
    <w:rsid w:val="00861166"/>
    <w:rsid w:val="0086125A"/>
    <w:rsid w:val="008612F0"/>
    <w:rsid w:val="00861643"/>
    <w:rsid w:val="00861742"/>
    <w:rsid w:val="00861F46"/>
    <w:rsid w:val="008620F8"/>
    <w:rsid w:val="0086216C"/>
    <w:rsid w:val="00862335"/>
    <w:rsid w:val="0086237D"/>
    <w:rsid w:val="00862393"/>
    <w:rsid w:val="0086245A"/>
    <w:rsid w:val="0086261B"/>
    <w:rsid w:val="00862784"/>
    <w:rsid w:val="00862A98"/>
    <w:rsid w:val="00862C10"/>
    <w:rsid w:val="00862CB1"/>
    <w:rsid w:val="00862D05"/>
    <w:rsid w:val="00862D4E"/>
    <w:rsid w:val="00862D56"/>
    <w:rsid w:val="00862DBD"/>
    <w:rsid w:val="00862E69"/>
    <w:rsid w:val="00862F6C"/>
    <w:rsid w:val="00863122"/>
    <w:rsid w:val="0086325F"/>
    <w:rsid w:val="008634AB"/>
    <w:rsid w:val="008635CF"/>
    <w:rsid w:val="0086373C"/>
    <w:rsid w:val="008637BE"/>
    <w:rsid w:val="00863979"/>
    <w:rsid w:val="00863A93"/>
    <w:rsid w:val="00863B6B"/>
    <w:rsid w:val="00863C44"/>
    <w:rsid w:val="00863D32"/>
    <w:rsid w:val="00863D6E"/>
    <w:rsid w:val="00863E92"/>
    <w:rsid w:val="00863EC4"/>
    <w:rsid w:val="00863F48"/>
    <w:rsid w:val="00863F86"/>
    <w:rsid w:val="00863FF5"/>
    <w:rsid w:val="008640CB"/>
    <w:rsid w:val="00864261"/>
    <w:rsid w:val="00864313"/>
    <w:rsid w:val="0086475D"/>
    <w:rsid w:val="00864817"/>
    <w:rsid w:val="00864A8C"/>
    <w:rsid w:val="00864AE9"/>
    <w:rsid w:val="00864BFE"/>
    <w:rsid w:val="00864D19"/>
    <w:rsid w:val="00864E92"/>
    <w:rsid w:val="008651B6"/>
    <w:rsid w:val="0086527B"/>
    <w:rsid w:val="00865302"/>
    <w:rsid w:val="008653DB"/>
    <w:rsid w:val="0086545A"/>
    <w:rsid w:val="00865546"/>
    <w:rsid w:val="008655AE"/>
    <w:rsid w:val="00865619"/>
    <w:rsid w:val="00865763"/>
    <w:rsid w:val="00865887"/>
    <w:rsid w:val="008659FB"/>
    <w:rsid w:val="00865A5C"/>
    <w:rsid w:val="00865BF2"/>
    <w:rsid w:val="00865DDE"/>
    <w:rsid w:val="00865FE7"/>
    <w:rsid w:val="008662CC"/>
    <w:rsid w:val="008662D7"/>
    <w:rsid w:val="00866368"/>
    <w:rsid w:val="00866410"/>
    <w:rsid w:val="0086659B"/>
    <w:rsid w:val="0086669A"/>
    <w:rsid w:val="008666A0"/>
    <w:rsid w:val="008667F1"/>
    <w:rsid w:val="008668C0"/>
    <w:rsid w:val="00866914"/>
    <w:rsid w:val="00866A71"/>
    <w:rsid w:val="00866AF4"/>
    <w:rsid w:val="00866BC2"/>
    <w:rsid w:val="00866D56"/>
    <w:rsid w:val="00866DE5"/>
    <w:rsid w:val="00866F6D"/>
    <w:rsid w:val="0086723A"/>
    <w:rsid w:val="0086738D"/>
    <w:rsid w:val="00867443"/>
    <w:rsid w:val="00867525"/>
    <w:rsid w:val="00867646"/>
    <w:rsid w:val="008676B3"/>
    <w:rsid w:val="008676E5"/>
    <w:rsid w:val="0086782C"/>
    <w:rsid w:val="00867861"/>
    <w:rsid w:val="00867ACA"/>
    <w:rsid w:val="00867B2B"/>
    <w:rsid w:val="00867F65"/>
    <w:rsid w:val="008701BA"/>
    <w:rsid w:val="008701C4"/>
    <w:rsid w:val="0087052A"/>
    <w:rsid w:val="0087076F"/>
    <w:rsid w:val="0087094C"/>
    <w:rsid w:val="00870DA5"/>
    <w:rsid w:val="00870DFF"/>
    <w:rsid w:val="00870F34"/>
    <w:rsid w:val="00870FF5"/>
    <w:rsid w:val="008710DB"/>
    <w:rsid w:val="008712CA"/>
    <w:rsid w:val="00871590"/>
    <w:rsid w:val="008715C7"/>
    <w:rsid w:val="00871826"/>
    <w:rsid w:val="008718C3"/>
    <w:rsid w:val="00871C47"/>
    <w:rsid w:val="00871C8D"/>
    <w:rsid w:val="00871E03"/>
    <w:rsid w:val="00871E2B"/>
    <w:rsid w:val="0087227F"/>
    <w:rsid w:val="008722E3"/>
    <w:rsid w:val="00872482"/>
    <w:rsid w:val="0087257A"/>
    <w:rsid w:val="0087268B"/>
    <w:rsid w:val="00872777"/>
    <w:rsid w:val="00872787"/>
    <w:rsid w:val="008729D5"/>
    <w:rsid w:val="00872AB1"/>
    <w:rsid w:val="00872ACA"/>
    <w:rsid w:val="00872ACB"/>
    <w:rsid w:val="00872B44"/>
    <w:rsid w:val="00872BB4"/>
    <w:rsid w:val="00872D45"/>
    <w:rsid w:val="0087321A"/>
    <w:rsid w:val="008732F5"/>
    <w:rsid w:val="00873462"/>
    <w:rsid w:val="008734F8"/>
    <w:rsid w:val="008735EB"/>
    <w:rsid w:val="0087360E"/>
    <w:rsid w:val="0087377A"/>
    <w:rsid w:val="00873826"/>
    <w:rsid w:val="008738DA"/>
    <w:rsid w:val="00873979"/>
    <w:rsid w:val="00873B4A"/>
    <w:rsid w:val="00873B77"/>
    <w:rsid w:val="00873B86"/>
    <w:rsid w:val="00873CE3"/>
    <w:rsid w:val="00873CEA"/>
    <w:rsid w:val="00873FAA"/>
    <w:rsid w:val="00873FCB"/>
    <w:rsid w:val="008743E6"/>
    <w:rsid w:val="0087447A"/>
    <w:rsid w:val="008744D7"/>
    <w:rsid w:val="008748B0"/>
    <w:rsid w:val="008748B6"/>
    <w:rsid w:val="008748DC"/>
    <w:rsid w:val="0087493D"/>
    <w:rsid w:val="00874DE3"/>
    <w:rsid w:val="00874E0D"/>
    <w:rsid w:val="00874EDB"/>
    <w:rsid w:val="00874EE9"/>
    <w:rsid w:val="00874EEE"/>
    <w:rsid w:val="00875061"/>
    <w:rsid w:val="008750E8"/>
    <w:rsid w:val="0087523E"/>
    <w:rsid w:val="008754A7"/>
    <w:rsid w:val="008754ED"/>
    <w:rsid w:val="00875534"/>
    <w:rsid w:val="0087569E"/>
    <w:rsid w:val="008756A1"/>
    <w:rsid w:val="00875785"/>
    <w:rsid w:val="0087591A"/>
    <w:rsid w:val="0087591C"/>
    <w:rsid w:val="00875990"/>
    <w:rsid w:val="00875AD0"/>
    <w:rsid w:val="00875B46"/>
    <w:rsid w:val="00875BE2"/>
    <w:rsid w:val="00876045"/>
    <w:rsid w:val="0087610B"/>
    <w:rsid w:val="00876118"/>
    <w:rsid w:val="0087618F"/>
    <w:rsid w:val="0087625A"/>
    <w:rsid w:val="00876383"/>
    <w:rsid w:val="00876492"/>
    <w:rsid w:val="00876503"/>
    <w:rsid w:val="008765A8"/>
    <w:rsid w:val="008766AA"/>
    <w:rsid w:val="008766FE"/>
    <w:rsid w:val="00876754"/>
    <w:rsid w:val="00876911"/>
    <w:rsid w:val="008769AF"/>
    <w:rsid w:val="008769B6"/>
    <w:rsid w:val="008769E7"/>
    <w:rsid w:val="00876B18"/>
    <w:rsid w:val="00876F63"/>
    <w:rsid w:val="00877015"/>
    <w:rsid w:val="0087705A"/>
    <w:rsid w:val="00877184"/>
    <w:rsid w:val="008771F7"/>
    <w:rsid w:val="0087725C"/>
    <w:rsid w:val="008773A1"/>
    <w:rsid w:val="0087747A"/>
    <w:rsid w:val="008774CE"/>
    <w:rsid w:val="00877816"/>
    <w:rsid w:val="0087782F"/>
    <w:rsid w:val="00877E59"/>
    <w:rsid w:val="00877F50"/>
    <w:rsid w:val="00877FCD"/>
    <w:rsid w:val="0088003B"/>
    <w:rsid w:val="0088007C"/>
    <w:rsid w:val="00880390"/>
    <w:rsid w:val="008803E0"/>
    <w:rsid w:val="00880458"/>
    <w:rsid w:val="00880485"/>
    <w:rsid w:val="00880566"/>
    <w:rsid w:val="0088058A"/>
    <w:rsid w:val="008805A4"/>
    <w:rsid w:val="008806FF"/>
    <w:rsid w:val="0088075C"/>
    <w:rsid w:val="00880805"/>
    <w:rsid w:val="008808E4"/>
    <w:rsid w:val="00880926"/>
    <w:rsid w:val="00880A74"/>
    <w:rsid w:val="00880C33"/>
    <w:rsid w:val="00880D63"/>
    <w:rsid w:val="00880DCD"/>
    <w:rsid w:val="00880E01"/>
    <w:rsid w:val="00880ED5"/>
    <w:rsid w:val="0088112A"/>
    <w:rsid w:val="008811A9"/>
    <w:rsid w:val="0088130A"/>
    <w:rsid w:val="00881370"/>
    <w:rsid w:val="008813DF"/>
    <w:rsid w:val="008815A4"/>
    <w:rsid w:val="008817FA"/>
    <w:rsid w:val="00881A0C"/>
    <w:rsid w:val="00881DD5"/>
    <w:rsid w:val="00881E13"/>
    <w:rsid w:val="00881EC1"/>
    <w:rsid w:val="00881F0A"/>
    <w:rsid w:val="008820ED"/>
    <w:rsid w:val="008821E5"/>
    <w:rsid w:val="008822C0"/>
    <w:rsid w:val="00882371"/>
    <w:rsid w:val="00882695"/>
    <w:rsid w:val="00882697"/>
    <w:rsid w:val="00882A23"/>
    <w:rsid w:val="00882BF4"/>
    <w:rsid w:val="00882C37"/>
    <w:rsid w:val="00882C44"/>
    <w:rsid w:val="00882C4F"/>
    <w:rsid w:val="00882E09"/>
    <w:rsid w:val="00882E2D"/>
    <w:rsid w:val="00882ED7"/>
    <w:rsid w:val="00882F93"/>
    <w:rsid w:val="00882FBF"/>
    <w:rsid w:val="00882FCE"/>
    <w:rsid w:val="008830B0"/>
    <w:rsid w:val="008830D1"/>
    <w:rsid w:val="00883205"/>
    <w:rsid w:val="00883225"/>
    <w:rsid w:val="008832D2"/>
    <w:rsid w:val="008833AC"/>
    <w:rsid w:val="00883448"/>
    <w:rsid w:val="008834FE"/>
    <w:rsid w:val="00883507"/>
    <w:rsid w:val="00883606"/>
    <w:rsid w:val="008838BC"/>
    <w:rsid w:val="00883C58"/>
    <w:rsid w:val="00883CF0"/>
    <w:rsid w:val="00884137"/>
    <w:rsid w:val="0088413B"/>
    <w:rsid w:val="0088416C"/>
    <w:rsid w:val="00884288"/>
    <w:rsid w:val="00884323"/>
    <w:rsid w:val="008843A2"/>
    <w:rsid w:val="008843AD"/>
    <w:rsid w:val="008843F7"/>
    <w:rsid w:val="0088441D"/>
    <w:rsid w:val="00884510"/>
    <w:rsid w:val="00884536"/>
    <w:rsid w:val="00884759"/>
    <w:rsid w:val="00884800"/>
    <w:rsid w:val="008848C3"/>
    <w:rsid w:val="00884941"/>
    <w:rsid w:val="00884955"/>
    <w:rsid w:val="00884B72"/>
    <w:rsid w:val="00884EC9"/>
    <w:rsid w:val="00884F40"/>
    <w:rsid w:val="00885182"/>
    <w:rsid w:val="008851D2"/>
    <w:rsid w:val="00885234"/>
    <w:rsid w:val="0088526D"/>
    <w:rsid w:val="008852C5"/>
    <w:rsid w:val="008852F6"/>
    <w:rsid w:val="008853EF"/>
    <w:rsid w:val="00885462"/>
    <w:rsid w:val="008854D6"/>
    <w:rsid w:val="00885759"/>
    <w:rsid w:val="008857E7"/>
    <w:rsid w:val="008859E6"/>
    <w:rsid w:val="00885A76"/>
    <w:rsid w:val="00885B96"/>
    <w:rsid w:val="00885D2C"/>
    <w:rsid w:val="00885D55"/>
    <w:rsid w:val="008861A8"/>
    <w:rsid w:val="0088623F"/>
    <w:rsid w:val="00886302"/>
    <w:rsid w:val="00886530"/>
    <w:rsid w:val="00886734"/>
    <w:rsid w:val="00886A29"/>
    <w:rsid w:val="00887112"/>
    <w:rsid w:val="00887339"/>
    <w:rsid w:val="008873A4"/>
    <w:rsid w:val="0088754B"/>
    <w:rsid w:val="00887597"/>
    <w:rsid w:val="0088766A"/>
    <w:rsid w:val="0088769C"/>
    <w:rsid w:val="00887829"/>
    <w:rsid w:val="00887CC9"/>
    <w:rsid w:val="00887D35"/>
    <w:rsid w:val="00887D68"/>
    <w:rsid w:val="00887FB3"/>
    <w:rsid w:val="008900A2"/>
    <w:rsid w:val="008900CB"/>
    <w:rsid w:val="00890525"/>
    <w:rsid w:val="008907CB"/>
    <w:rsid w:val="00890D7D"/>
    <w:rsid w:val="00890DE1"/>
    <w:rsid w:val="00890F2E"/>
    <w:rsid w:val="008910AC"/>
    <w:rsid w:val="0089112E"/>
    <w:rsid w:val="008911D2"/>
    <w:rsid w:val="0089132F"/>
    <w:rsid w:val="00891503"/>
    <w:rsid w:val="00891529"/>
    <w:rsid w:val="008916D9"/>
    <w:rsid w:val="008919EE"/>
    <w:rsid w:val="00891A74"/>
    <w:rsid w:val="00891F81"/>
    <w:rsid w:val="00891FDC"/>
    <w:rsid w:val="00892227"/>
    <w:rsid w:val="00892242"/>
    <w:rsid w:val="00892259"/>
    <w:rsid w:val="0089246E"/>
    <w:rsid w:val="00892DF8"/>
    <w:rsid w:val="00892FA0"/>
    <w:rsid w:val="008930DE"/>
    <w:rsid w:val="00893315"/>
    <w:rsid w:val="008933B6"/>
    <w:rsid w:val="00893423"/>
    <w:rsid w:val="00893600"/>
    <w:rsid w:val="00893734"/>
    <w:rsid w:val="008938B9"/>
    <w:rsid w:val="00893A06"/>
    <w:rsid w:val="00893A5E"/>
    <w:rsid w:val="00893A74"/>
    <w:rsid w:val="00893A79"/>
    <w:rsid w:val="00893AF7"/>
    <w:rsid w:val="00893C93"/>
    <w:rsid w:val="00893CD8"/>
    <w:rsid w:val="00893D04"/>
    <w:rsid w:val="00893EE1"/>
    <w:rsid w:val="00893F91"/>
    <w:rsid w:val="0089408F"/>
    <w:rsid w:val="008941C7"/>
    <w:rsid w:val="008941CE"/>
    <w:rsid w:val="008941E6"/>
    <w:rsid w:val="00894233"/>
    <w:rsid w:val="0089432F"/>
    <w:rsid w:val="008943A0"/>
    <w:rsid w:val="008943E0"/>
    <w:rsid w:val="00894488"/>
    <w:rsid w:val="008944CE"/>
    <w:rsid w:val="00894607"/>
    <w:rsid w:val="00894661"/>
    <w:rsid w:val="0089467A"/>
    <w:rsid w:val="0089479D"/>
    <w:rsid w:val="008947CD"/>
    <w:rsid w:val="00894839"/>
    <w:rsid w:val="00894899"/>
    <w:rsid w:val="008948B0"/>
    <w:rsid w:val="00894A2E"/>
    <w:rsid w:val="00894B6A"/>
    <w:rsid w:val="00894B99"/>
    <w:rsid w:val="00894C07"/>
    <w:rsid w:val="00894D5B"/>
    <w:rsid w:val="00894DCD"/>
    <w:rsid w:val="00895182"/>
    <w:rsid w:val="008953BE"/>
    <w:rsid w:val="00895488"/>
    <w:rsid w:val="008956BA"/>
    <w:rsid w:val="008957B4"/>
    <w:rsid w:val="00895DB3"/>
    <w:rsid w:val="00895DE5"/>
    <w:rsid w:val="00896023"/>
    <w:rsid w:val="0089622E"/>
    <w:rsid w:val="00896255"/>
    <w:rsid w:val="0089626D"/>
    <w:rsid w:val="008962FB"/>
    <w:rsid w:val="0089636D"/>
    <w:rsid w:val="008964BA"/>
    <w:rsid w:val="008965BF"/>
    <w:rsid w:val="0089672C"/>
    <w:rsid w:val="00896748"/>
    <w:rsid w:val="0089682A"/>
    <w:rsid w:val="00896853"/>
    <w:rsid w:val="00896884"/>
    <w:rsid w:val="008968B5"/>
    <w:rsid w:val="0089695D"/>
    <w:rsid w:val="00896CE3"/>
    <w:rsid w:val="00896D7E"/>
    <w:rsid w:val="00896E08"/>
    <w:rsid w:val="00896EC4"/>
    <w:rsid w:val="00896FE8"/>
    <w:rsid w:val="00897136"/>
    <w:rsid w:val="00897233"/>
    <w:rsid w:val="0089740E"/>
    <w:rsid w:val="0089747F"/>
    <w:rsid w:val="00897523"/>
    <w:rsid w:val="008976DA"/>
    <w:rsid w:val="008977DD"/>
    <w:rsid w:val="00897808"/>
    <w:rsid w:val="008979C0"/>
    <w:rsid w:val="008979D5"/>
    <w:rsid w:val="008979E3"/>
    <w:rsid w:val="00897B44"/>
    <w:rsid w:val="00897C5C"/>
    <w:rsid w:val="00897CA4"/>
    <w:rsid w:val="00897D30"/>
    <w:rsid w:val="00897DAE"/>
    <w:rsid w:val="00897DCE"/>
    <w:rsid w:val="00897EE7"/>
    <w:rsid w:val="008A002C"/>
    <w:rsid w:val="008A0078"/>
    <w:rsid w:val="008A015B"/>
    <w:rsid w:val="008A0231"/>
    <w:rsid w:val="008A0286"/>
    <w:rsid w:val="008A03AA"/>
    <w:rsid w:val="008A0400"/>
    <w:rsid w:val="008A044A"/>
    <w:rsid w:val="008A0468"/>
    <w:rsid w:val="008A07D7"/>
    <w:rsid w:val="008A07FF"/>
    <w:rsid w:val="008A08FC"/>
    <w:rsid w:val="008A0E50"/>
    <w:rsid w:val="008A0E76"/>
    <w:rsid w:val="008A10F3"/>
    <w:rsid w:val="008A1162"/>
    <w:rsid w:val="008A11DB"/>
    <w:rsid w:val="008A1231"/>
    <w:rsid w:val="008A125A"/>
    <w:rsid w:val="008A1286"/>
    <w:rsid w:val="008A1499"/>
    <w:rsid w:val="008A16CE"/>
    <w:rsid w:val="008A1887"/>
    <w:rsid w:val="008A18B9"/>
    <w:rsid w:val="008A1972"/>
    <w:rsid w:val="008A1A7B"/>
    <w:rsid w:val="008A1B87"/>
    <w:rsid w:val="008A1D81"/>
    <w:rsid w:val="008A1DA1"/>
    <w:rsid w:val="008A1FDD"/>
    <w:rsid w:val="008A2112"/>
    <w:rsid w:val="008A214B"/>
    <w:rsid w:val="008A21AE"/>
    <w:rsid w:val="008A2242"/>
    <w:rsid w:val="008A23A8"/>
    <w:rsid w:val="008A2444"/>
    <w:rsid w:val="008A277F"/>
    <w:rsid w:val="008A27AB"/>
    <w:rsid w:val="008A289A"/>
    <w:rsid w:val="008A28D6"/>
    <w:rsid w:val="008A2956"/>
    <w:rsid w:val="008A2967"/>
    <w:rsid w:val="008A2AC6"/>
    <w:rsid w:val="008A2CD7"/>
    <w:rsid w:val="008A2CEA"/>
    <w:rsid w:val="008A2E69"/>
    <w:rsid w:val="008A3198"/>
    <w:rsid w:val="008A31C8"/>
    <w:rsid w:val="008A3276"/>
    <w:rsid w:val="008A32B6"/>
    <w:rsid w:val="008A32DF"/>
    <w:rsid w:val="008A3486"/>
    <w:rsid w:val="008A37C3"/>
    <w:rsid w:val="008A389F"/>
    <w:rsid w:val="008A38E8"/>
    <w:rsid w:val="008A3A21"/>
    <w:rsid w:val="008A3AB6"/>
    <w:rsid w:val="008A3B8B"/>
    <w:rsid w:val="008A3BF5"/>
    <w:rsid w:val="008A3D7C"/>
    <w:rsid w:val="008A3DC1"/>
    <w:rsid w:val="008A4050"/>
    <w:rsid w:val="008A4057"/>
    <w:rsid w:val="008A4502"/>
    <w:rsid w:val="008A45E7"/>
    <w:rsid w:val="008A4902"/>
    <w:rsid w:val="008A4953"/>
    <w:rsid w:val="008A49D3"/>
    <w:rsid w:val="008A4B53"/>
    <w:rsid w:val="008A4B88"/>
    <w:rsid w:val="008A4EBA"/>
    <w:rsid w:val="008A4EC5"/>
    <w:rsid w:val="008A4ECF"/>
    <w:rsid w:val="008A4EE9"/>
    <w:rsid w:val="008A4F6F"/>
    <w:rsid w:val="008A4F7D"/>
    <w:rsid w:val="008A4FF1"/>
    <w:rsid w:val="008A505F"/>
    <w:rsid w:val="008A50F5"/>
    <w:rsid w:val="008A5149"/>
    <w:rsid w:val="008A51D8"/>
    <w:rsid w:val="008A51EB"/>
    <w:rsid w:val="008A53F1"/>
    <w:rsid w:val="008A54D2"/>
    <w:rsid w:val="008A551D"/>
    <w:rsid w:val="008A5540"/>
    <w:rsid w:val="008A57E9"/>
    <w:rsid w:val="008A5BC0"/>
    <w:rsid w:val="008A5E6F"/>
    <w:rsid w:val="008A5F71"/>
    <w:rsid w:val="008A60FA"/>
    <w:rsid w:val="008A63B7"/>
    <w:rsid w:val="008A63DD"/>
    <w:rsid w:val="008A663B"/>
    <w:rsid w:val="008A6655"/>
    <w:rsid w:val="008A67CF"/>
    <w:rsid w:val="008A68D8"/>
    <w:rsid w:val="008A6D83"/>
    <w:rsid w:val="008A6EA8"/>
    <w:rsid w:val="008A6F92"/>
    <w:rsid w:val="008A6FD3"/>
    <w:rsid w:val="008A7079"/>
    <w:rsid w:val="008A7219"/>
    <w:rsid w:val="008A7269"/>
    <w:rsid w:val="008A72E5"/>
    <w:rsid w:val="008A72E7"/>
    <w:rsid w:val="008A73B1"/>
    <w:rsid w:val="008A73C2"/>
    <w:rsid w:val="008A765D"/>
    <w:rsid w:val="008A77FC"/>
    <w:rsid w:val="008A7A95"/>
    <w:rsid w:val="008A7AB6"/>
    <w:rsid w:val="008A7BE1"/>
    <w:rsid w:val="008A7D52"/>
    <w:rsid w:val="008A7FE6"/>
    <w:rsid w:val="008B002A"/>
    <w:rsid w:val="008B01AC"/>
    <w:rsid w:val="008B02A3"/>
    <w:rsid w:val="008B03B0"/>
    <w:rsid w:val="008B0463"/>
    <w:rsid w:val="008B0564"/>
    <w:rsid w:val="008B06FD"/>
    <w:rsid w:val="008B0900"/>
    <w:rsid w:val="008B0956"/>
    <w:rsid w:val="008B09C0"/>
    <w:rsid w:val="008B0AA9"/>
    <w:rsid w:val="008B0AB1"/>
    <w:rsid w:val="008B0B24"/>
    <w:rsid w:val="008B0B85"/>
    <w:rsid w:val="008B0BF3"/>
    <w:rsid w:val="008B0C2C"/>
    <w:rsid w:val="008B0DF5"/>
    <w:rsid w:val="008B0E7D"/>
    <w:rsid w:val="008B1199"/>
    <w:rsid w:val="008B11DB"/>
    <w:rsid w:val="008B133C"/>
    <w:rsid w:val="008B139E"/>
    <w:rsid w:val="008B14FE"/>
    <w:rsid w:val="008B15E9"/>
    <w:rsid w:val="008B1603"/>
    <w:rsid w:val="008B17D6"/>
    <w:rsid w:val="008B1833"/>
    <w:rsid w:val="008B1C22"/>
    <w:rsid w:val="008B1CB1"/>
    <w:rsid w:val="008B21F9"/>
    <w:rsid w:val="008B22BC"/>
    <w:rsid w:val="008B2319"/>
    <w:rsid w:val="008B23B6"/>
    <w:rsid w:val="008B29A8"/>
    <w:rsid w:val="008B29CB"/>
    <w:rsid w:val="008B2A83"/>
    <w:rsid w:val="008B2B3A"/>
    <w:rsid w:val="008B2D31"/>
    <w:rsid w:val="008B2DF1"/>
    <w:rsid w:val="008B2EE8"/>
    <w:rsid w:val="008B2F8F"/>
    <w:rsid w:val="008B30DD"/>
    <w:rsid w:val="008B311B"/>
    <w:rsid w:val="008B31E5"/>
    <w:rsid w:val="008B320F"/>
    <w:rsid w:val="008B32F5"/>
    <w:rsid w:val="008B338F"/>
    <w:rsid w:val="008B33CB"/>
    <w:rsid w:val="008B33CC"/>
    <w:rsid w:val="008B34F6"/>
    <w:rsid w:val="008B3711"/>
    <w:rsid w:val="008B388E"/>
    <w:rsid w:val="008B3A09"/>
    <w:rsid w:val="008B3A32"/>
    <w:rsid w:val="008B3ABC"/>
    <w:rsid w:val="008B3C67"/>
    <w:rsid w:val="008B3DED"/>
    <w:rsid w:val="008B3EFF"/>
    <w:rsid w:val="008B3F4D"/>
    <w:rsid w:val="008B3F6D"/>
    <w:rsid w:val="008B407D"/>
    <w:rsid w:val="008B40E5"/>
    <w:rsid w:val="008B4188"/>
    <w:rsid w:val="008B4301"/>
    <w:rsid w:val="008B43AB"/>
    <w:rsid w:val="008B444A"/>
    <w:rsid w:val="008B44AC"/>
    <w:rsid w:val="008B44FE"/>
    <w:rsid w:val="008B455E"/>
    <w:rsid w:val="008B46EA"/>
    <w:rsid w:val="008B46F4"/>
    <w:rsid w:val="008B4850"/>
    <w:rsid w:val="008B4977"/>
    <w:rsid w:val="008B4A27"/>
    <w:rsid w:val="008B4A28"/>
    <w:rsid w:val="008B4BF9"/>
    <w:rsid w:val="008B4E99"/>
    <w:rsid w:val="008B4F85"/>
    <w:rsid w:val="008B5064"/>
    <w:rsid w:val="008B5165"/>
    <w:rsid w:val="008B535B"/>
    <w:rsid w:val="008B539A"/>
    <w:rsid w:val="008B54DA"/>
    <w:rsid w:val="008B556D"/>
    <w:rsid w:val="008B5945"/>
    <w:rsid w:val="008B5A99"/>
    <w:rsid w:val="008B6032"/>
    <w:rsid w:val="008B62A9"/>
    <w:rsid w:val="008B62E9"/>
    <w:rsid w:val="008B6326"/>
    <w:rsid w:val="008B6376"/>
    <w:rsid w:val="008B649F"/>
    <w:rsid w:val="008B665C"/>
    <w:rsid w:val="008B6740"/>
    <w:rsid w:val="008B680D"/>
    <w:rsid w:val="008B6AEF"/>
    <w:rsid w:val="008B6B3F"/>
    <w:rsid w:val="008B6F4F"/>
    <w:rsid w:val="008B6FE0"/>
    <w:rsid w:val="008B700E"/>
    <w:rsid w:val="008B70DE"/>
    <w:rsid w:val="008B70E6"/>
    <w:rsid w:val="008B70FE"/>
    <w:rsid w:val="008B72DB"/>
    <w:rsid w:val="008B73DB"/>
    <w:rsid w:val="008B7592"/>
    <w:rsid w:val="008B75A1"/>
    <w:rsid w:val="008B7645"/>
    <w:rsid w:val="008B76F4"/>
    <w:rsid w:val="008B77C1"/>
    <w:rsid w:val="008B7834"/>
    <w:rsid w:val="008B789A"/>
    <w:rsid w:val="008B7925"/>
    <w:rsid w:val="008B7AE5"/>
    <w:rsid w:val="008B7AFC"/>
    <w:rsid w:val="008B7C12"/>
    <w:rsid w:val="008B7C2E"/>
    <w:rsid w:val="008B7CCD"/>
    <w:rsid w:val="008B7CE5"/>
    <w:rsid w:val="008B7DD1"/>
    <w:rsid w:val="008B7F38"/>
    <w:rsid w:val="008B7F4C"/>
    <w:rsid w:val="008C03A5"/>
    <w:rsid w:val="008C0BD5"/>
    <w:rsid w:val="008C0E4A"/>
    <w:rsid w:val="008C0EC8"/>
    <w:rsid w:val="008C1232"/>
    <w:rsid w:val="008C133D"/>
    <w:rsid w:val="008C1344"/>
    <w:rsid w:val="008C136D"/>
    <w:rsid w:val="008C1486"/>
    <w:rsid w:val="008C15B3"/>
    <w:rsid w:val="008C15DA"/>
    <w:rsid w:val="008C163D"/>
    <w:rsid w:val="008C1711"/>
    <w:rsid w:val="008C1749"/>
    <w:rsid w:val="008C18E7"/>
    <w:rsid w:val="008C19D6"/>
    <w:rsid w:val="008C19F9"/>
    <w:rsid w:val="008C1A53"/>
    <w:rsid w:val="008C1A69"/>
    <w:rsid w:val="008C1AAD"/>
    <w:rsid w:val="008C1B20"/>
    <w:rsid w:val="008C1E76"/>
    <w:rsid w:val="008C20A0"/>
    <w:rsid w:val="008C2372"/>
    <w:rsid w:val="008C2394"/>
    <w:rsid w:val="008C23A6"/>
    <w:rsid w:val="008C24F7"/>
    <w:rsid w:val="008C2519"/>
    <w:rsid w:val="008C261B"/>
    <w:rsid w:val="008C2750"/>
    <w:rsid w:val="008C27E0"/>
    <w:rsid w:val="008C2829"/>
    <w:rsid w:val="008C2953"/>
    <w:rsid w:val="008C29BA"/>
    <w:rsid w:val="008C2B65"/>
    <w:rsid w:val="008C2BD5"/>
    <w:rsid w:val="008C2EE3"/>
    <w:rsid w:val="008C312E"/>
    <w:rsid w:val="008C321D"/>
    <w:rsid w:val="008C3320"/>
    <w:rsid w:val="008C35A1"/>
    <w:rsid w:val="008C36E9"/>
    <w:rsid w:val="008C3765"/>
    <w:rsid w:val="008C38E3"/>
    <w:rsid w:val="008C4014"/>
    <w:rsid w:val="008C40BC"/>
    <w:rsid w:val="008C4270"/>
    <w:rsid w:val="008C42AC"/>
    <w:rsid w:val="008C435C"/>
    <w:rsid w:val="008C44B3"/>
    <w:rsid w:val="008C4518"/>
    <w:rsid w:val="008C460B"/>
    <w:rsid w:val="008C4704"/>
    <w:rsid w:val="008C47B0"/>
    <w:rsid w:val="008C47BA"/>
    <w:rsid w:val="008C4DB7"/>
    <w:rsid w:val="008C4DCA"/>
    <w:rsid w:val="008C50DB"/>
    <w:rsid w:val="008C516E"/>
    <w:rsid w:val="008C57BE"/>
    <w:rsid w:val="008C57DA"/>
    <w:rsid w:val="008C589E"/>
    <w:rsid w:val="008C58D2"/>
    <w:rsid w:val="008C5B2D"/>
    <w:rsid w:val="008C5B4E"/>
    <w:rsid w:val="008C5D77"/>
    <w:rsid w:val="008C5F33"/>
    <w:rsid w:val="008C5F81"/>
    <w:rsid w:val="008C6377"/>
    <w:rsid w:val="008C642B"/>
    <w:rsid w:val="008C65F1"/>
    <w:rsid w:val="008C669D"/>
    <w:rsid w:val="008C66B4"/>
    <w:rsid w:val="008C673C"/>
    <w:rsid w:val="008C67EC"/>
    <w:rsid w:val="008C6942"/>
    <w:rsid w:val="008C6A6D"/>
    <w:rsid w:val="008C6C23"/>
    <w:rsid w:val="008C6D30"/>
    <w:rsid w:val="008C6D56"/>
    <w:rsid w:val="008C6F57"/>
    <w:rsid w:val="008C70B3"/>
    <w:rsid w:val="008C712D"/>
    <w:rsid w:val="008C7594"/>
    <w:rsid w:val="008C76CC"/>
    <w:rsid w:val="008C7864"/>
    <w:rsid w:val="008C7880"/>
    <w:rsid w:val="008C78B8"/>
    <w:rsid w:val="008C792F"/>
    <w:rsid w:val="008C796C"/>
    <w:rsid w:val="008C7AF6"/>
    <w:rsid w:val="008C7C06"/>
    <w:rsid w:val="008C7D0F"/>
    <w:rsid w:val="008C7D8D"/>
    <w:rsid w:val="008C7DBC"/>
    <w:rsid w:val="008D0207"/>
    <w:rsid w:val="008D053E"/>
    <w:rsid w:val="008D0670"/>
    <w:rsid w:val="008D075B"/>
    <w:rsid w:val="008D07EE"/>
    <w:rsid w:val="008D0898"/>
    <w:rsid w:val="008D08B6"/>
    <w:rsid w:val="008D09B0"/>
    <w:rsid w:val="008D0C41"/>
    <w:rsid w:val="008D0CBC"/>
    <w:rsid w:val="008D0DDD"/>
    <w:rsid w:val="008D1005"/>
    <w:rsid w:val="008D1018"/>
    <w:rsid w:val="008D12B2"/>
    <w:rsid w:val="008D1421"/>
    <w:rsid w:val="008D14CB"/>
    <w:rsid w:val="008D14EB"/>
    <w:rsid w:val="008D16F1"/>
    <w:rsid w:val="008D174F"/>
    <w:rsid w:val="008D1781"/>
    <w:rsid w:val="008D17C3"/>
    <w:rsid w:val="008D1851"/>
    <w:rsid w:val="008D1A24"/>
    <w:rsid w:val="008D1B18"/>
    <w:rsid w:val="008D1E6A"/>
    <w:rsid w:val="008D1EC2"/>
    <w:rsid w:val="008D1F7A"/>
    <w:rsid w:val="008D1FE1"/>
    <w:rsid w:val="008D217C"/>
    <w:rsid w:val="008D2300"/>
    <w:rsid w:val="008D230F"/>
    <w:rsid w:val="008D2389"/>
    <w:rsid w:val="008D24DD"/>
    <w:rsid w:val="008D25C9"/>
    <w:rsid w:val="008D2907"/>
    <w:rsid w:val="008D29FA"/>
    <w:rsid w:val="008D2A5F"/>
    <w:rsid w:val="008D2C87"/>
    <w:rsid w:val="008D2F5F"/>
    <w:rsid w:val="008D2FD6"/>
    <w:rsid w:val="008D324B"/>
    <w:rsid w:val="008D33C4"/>
    <w:rsid w:val="008D3478"/>
    <w:rsid w:val="008D3730"/>
    <w:rsid w:val="008D3975"/>
    <w:rsid w:val="008D3A49"/>
    <w:rsid w:val="008D3B2C"/>
    <w:rsid w:val="008D3E43"/>
    <w:rsid w:val="008D3F95"/>
    <w:rsid w:val="008D408A"/>
    <w:rsid w:val="008D40C6"/>
    <w:rsid w:val="008D41DB"/>
    <w:rsid w:val="008D448D"/>
    <w:rsid w:val="008D464E"/>
    <w:rsid w:val="008D47D9"/>
    <w:rsid w:val="008D483A"/>
    <w:rsid w:val="008D4919"/>
    <w:rsid w:val="008D49E2"/>
    <w:rsid w:val="008D49F5"/>
    <w:rsid w:val="008D4A78"/>
    <w:rsid w:val="008D4B45"/>
    <w:rsid w:val="008D4CE2"/>
    <w:rsid w:val="008D4D26"/>
    <w:rsid w:val="008D4DF1"/>
    <w:rsid w:val="008D50B5"/>
    <w:rsid w:val="008D5117"/>
    <w:rsid w:val="008D522C"/>
    <w:rsid w:val="008D523D"/>
    <w:rsid w:val="008D53AA"/>
    <w:rsid w:val="008D53CD"/>
    <w:rsid w:val="008D55B1"/>
    <w:rsid w:val="008D5769"/>
    <w:rsid w:val="008D5817"/>
    <w:rsid w:val="008D59AC"/>
    <w:rsid w:val="008D5B14"/>
    <w:rsid w:val="008D5C03"/>
    <w:rsid w:val="008D5C89"/>
    <w:rsid w:val="008D5D43"/>
    <w:rsid w:val="008D5ED1"/>
    <w:rsid w:val="008D5F7D"/>
    <w:rsid w:val="008D607A"/>
    <w:rsid w:val="008D61EB"/>
    <w:rsid w:val="008D65F8"/>
    <w:rsid w:val="008D682D"/>
    <w:rsid w:val="008D6894"/>
    <w:rsid w:val="008D6A63"/>
    <w:rsid w:val="008D6FCE"/>
    <w:rsid w:val="008D7116"/>
    <w:rsid w:val="008D71B2"/>
    <w:rsid w:val="008D723B"/>
    <w:rsid w:val="008D7258"/>
    <w:rsid w:val="008D7268"/>
    <w:rsid w:val="008D7309"/>
    <w:rsid w:val="008D7334"/>
    <w:rsid w:val="008D737E"/>
    <w:rsid w:val="008D746D"/>
    <w:rsid w:val="008D7481"/>
    <w:rsid w:val="008D76AB"/>
    <w:rsid w:val="008D78E3"/>
    <w:rsid w:val="008D7937"/>
    <w:rsid w:val="008D7938"/>
    <w:rsid w:val="008D798A"/>
    <w:rsid w:val="008D7A81"/>
    <w:rsid w:val="008D7AC9"/>
    <w:rsid w:val="008D7BC2"/>
    <w:rsid w:val="008E01C2"/>
    <w:rsid w:val="008E0288"/>
    <w:rsid w:val="008E04A0"/>
    <w:rsid w:val="008E0524"/>
    <w:rsid w:val="008E0605"/>
    <w:rsid w:val="008E0694"/>
    <w:rsid w:val="008E06BD"/>
    <w:rsid w:val="008E06ED"/>
    <w:rsid w:val="008E07C2"/>
    <w:rsid w:val="008E07E6"/>
    <w:rsid w:val="008E0830"/>
    <w:rsid w:val="008E08C5"/>
    <w:rsid w:val="008E0A15"/>
    <w:rsid w:val="008E0AC9"/>
    <w:rsid w:val="008E0B68"/>
    <w:rsid w:val="008E0DA1"/>
    <w:rsid w:val="008E10B8"/>
    <w:rsid w:val="008E10BB"/>
    <w:rsid w:val="008E12C6"/>
    <w:rsid w:val="008E12F5"/>
    <w:rsid w:val="008E1463"/>
    <w:rsid w:val="008E159D"/>
    <w:rsid w:val="008E1607"/>
    <w:rsid w:val="008E1708"/>
    <w:rsid w:val="008E17FE"/>
    <w:rsid w:val="008E18F0"/>
    <w:rsid w:val="008E1AF8"/>
    <w:rsid w:val="008E1CC8"/>
    <w:rsid w:val="008E1D07"/>
    <w:rsid w:val="008E1EA4"/>
    <w:rsid w:val="008E1F3A"/>
    <w:rsid w:val="008E2093"/>
    <w:rsid w:val="008E2179"/>
    <w:rsid w:val="008E2343"/>
    <w:rsid w:val="008E245A"/>
    <w:rsid w:val="008E247B"/>
    <w:rsid w:val="008E24BB"/>
    <w:rsid w:val="008E2515"/>
    <w:rsid w:val="008E26EF"/>
    <w:rsid w:val="008E2705"/>
    <w:rsid w:val="008E27B9"/>
    <w:rsid w:val="008E27C9"/>
    <w:rsid w:val="008E28C6"/>
    <w:rsid w:val="008E2A4D"/>
    <w:rsid w:val="008E2ABD"/>
    <w:rsid w:val="008E2BD3"/>
    <w:rsid w:val="008E2D75"/>
    <w:rsid w:val="008E2E4F"/>
    <w:rsid w:val="008E2ED5"/>
    <w:rsid w:val="008E2ED7"/>
    <w:rsid w:val="008E30DC"/>
    <w:rsid w:val="008E3128"/>
    <w:rsid w:val="008E3187"/>
    <w:rsid w:val="008E31CC"/>
    <w:rsid w:val="008E325F"/>
    <w:rsid w:val="008E32B2"/>
    <w:rsid w:val="008E32BB"/>
    <w:rsid w:val="008E35FC"/>
    <w:rsid w:val="008E3623"/>
    <w:rsid w:val="008E36BD"/>
    <w:rsid w:val="008E36CA"/>
    <w:rsid w:val="008E3835"/>
    <w:rsid w:val="008E3924"/>
    <w:rsid w:val="008E3B07"/>
    <w:rsid w:val="008E3B36"/>
    <w:rsid w:val="008E3B6A"/>
    <w:rsid w:val="008E3C1B"/>
    <w:rsid w:val="008E3C9E"/>
    <w:rsid w:val="008E3F5F"/>
    <w:rsid w:val="008E40E5"/>
    <w:rsid w:val="008E41F0"/>
    <w:rsid w:val="008E4484"/>
    <w:rsid w:val="008E450C"/>
    <w:rsid w:val="008E4581"/>
    <w:rsid w:val="008E45E9"/>
    <w:rsid w:val="008E4796"/>
    <w:rsid w:val="008E490F"/>
    <w:rsid w:val="008E4ACB"/>
    <w:rsid w:val="008E4D4F"/>
    <w:rsid w:val="008E4DD5"/>
    <w:rsid w:val="008E4F6C"/>
    <w:rsid w:val="008E5334"/>
    <w:rsid w:val="008E5335"/>
    <w:rsid w:val="008E54D6"/>
    <w:rsid w:val="008E584F"/>
    <w:rsid w:val="008E5874"/>
    <w:rsid w:val="008E5AFB"/>
    <w:rsid w:val="008E5C73"/>
    <w:rsid w:val="008E5C9E"/>
    <w:rsid w:val="008E5CA9"/>
    <w:rsid w:val="008E5F27"/>
    <w:rsid w:val="008E6082"/>
    <w:rsid w:val="008E6163"/>
    <w:rsid w:val="008E6284"/>
    <w:rsid w:val="008E62EC"/>
    <w:rsid w:val="008E6327"/>
    <w:rsid w:val="008E64B0"/>
    <w:rsid w:val="008E6797"/>
    <w:rsid w:val="008E67BF"/>
    <w:rsid w:val="008E6853"/>
    <w:rsid w:val="008E693D"/>
    <w:rsid w:val="008E6A94"/>
    <w:rsid w:val="008E6C20"/>
    <w:rsid w:val="008E6D8C"/>
    <w:rsid w:val="008E6DD6"/>
    <w:rsid w:val="008E6F4B"/>
    <w:rsid w:val="008E70E7"/>
    <w:rsid w:val="008E71A0"/>
    <w:rsid w:val="008E7202"/>
    <w:rsid w:val="008E7299"/>
    <w:rsid w:val="008E72CF"/>
    <w:rsid w:val="008E74D0"/>
    <w:rsid w:val="008E7565"/>
    <w:rsid w:val="008E7611"/>
    <w:rsid w:val="008E770E"/>
    <w:rsid w:val="008E772F"/>
    <w:rsid w:val="008E78D6"/>
    <w:rsid w:val="008E79CC"/>
    <w:rsid w:val="008E7E05"/>
    <w:rsid w:val="008E7EEB"/>
    <w:rsid w:val="008E7F13"/>
    <w:rsid w:val="008F00A0"/>
    <w:rsid w:val="008F01A7"/>
    <w:rsid w:val="008F035E"/>
    <w:rsid w:val="008F041F"/>
    <w:rsid w:val="008F069F"/>
    <w:rsid w:val="008F06F7"/>
    <w:rsid w:val="008F0869"/>
    <w:rsid w:val="008F0887"/>
    <w:rsid w:val="008F0B33"/>
    <w:rsid w:val="008F0F4A"/>
    <w:rsid w:val="008F0F6E"/>
    <w:rsid w:val="008F0F74"/>
    <w:rsid w:val="008F1031"/>
    <w:rsid w:val="008F118F"/>
    <w:rsid w:val="008F141C"/>
    <w:rsid w:val="008F14D9"/>
    <w:rsid w:val="008F17A6"/>
    <w:rsid w:val="008F17C0"/>
    <w:rsid w:val="008F189F"/>
    <w:rsid w:val="008F191A"/>
    <w:rsid w:val="008F1A55"/>
    <w:rsid w:val="008F1AC6"/>
    <w:rsid w:val="008F1BAC"/>
    <w:rsid w:val="008F1BE8"/>
    <w:rsid w:val="008F1EAA"/>
    <w:rsid w:val="008F1FC1"/>
    <w:rsid w:val="008F1FFB"/>
    <w:rsid w:val="008F20C5"/>
    <w:rsid w:val="008F20C6"/>
    <w:rsid w:val="008F213B"/>
    <w:rsid w:val="008F230B"/>
    <w:rsid w:val="008F24C2"/>
    <w:rsid w:val="008F2500"/>
    <w:rsid w:val="008F269F"/>
    <w:rsid w:val="008F27A0"/>
    <w:rsid w:val="008F288A"/>
    <w:rsid w:val="008F2892"/>
    <w:rsid w:val="008F29F4"/>
    <w:rsid w:val="008F2E37"/>
    <w:rsid w:val="008F2FF2"/>
    <w:rsid w:val="008F31D2"/>
    <w:rsid w:val="008F32F8"/>
    <w:rsid w:val="008F33A2"/>
    <w:rsid w:val="008F36C2"/>
    <w:rsid w:val="008F39DF"/>
    <w:rsid w:val="008F3B83"/>
    <w:rsid w:val="008F3B95"/>
    <w:rsid w:val="008F3F71"/>
    <w:rsid w:val="008F3FF6"/>
    <w:rsid w:val="008F4007"/>
    <w:rsid w:val="008F428E"/>
    <w:rsid w:val="008F4338"/>
    <w:rsid w:val="008F451F"/>
    <w:rsid w:val="008F4568"/>
    <w:rsid w:val="008F4862"/>
    <w:rsid w:val="008F4999"/>
    <w:rsid w:val="008F4D88"/>
    <w:rsid w:val="008F4F33"/>
    <w:rsid w:val="008F5085"/>
    <w:rsid w:val="008F5356"/>
    <w:rsid w:val="008F5487"/>
    <w:rsid w:val="008F54C8"/>
    <w:rsid w:val="008F55DA"/>
    <w:rsid w:val="008F5619"/>
    <w:rsid w:val="008F59F7"/>
    <w:rsid w:val="008F5A7D"/>
    <w:rsid w:val="008F5A86"/>
    <w:rsid w:val="008F5A8D"/>
    <w:rsid w:val="008F5BBE"/>
    <w:rsid w:val="008F5DDF"/>
    <w:rsid w:val="008F5E35"/>
    <w:rsid w:val="008F5F36"/>
    <w:rsid w:val="008F5F4C"/>
    <w:rsid w:val="008F5FFD"/>
    <w:rsid w:val="008F639B"/>
    <w:rsid w:val="008F639E"/>
    <w:rsid w:val="008F647F"/>
    <w:rsid w:val="008F6664"/>
    <w:rsid w:val="008F66B5"/>
    <w:rsid w:val="008F6AFE"/>
    <w:rsid w:val="008F6B75"/>
    <w:rsid w:val="008F6CAF"/>
    <w:rsid w:val="008F6CD6"/>
    <w:rsid w:val="008F6D18"/>
    <w:rsid w:val="008F6D78"/>
    <w:rsid w:val="008F6E4A"/>
    <w:rsid w:val="008F6F38"/>
    <w:rsid w:val="008F7035"/>
    <w:rsid w:val="008F70AE"/>
    <w:rsid w:val="008F714D"/>
    <w:rsid w:val="008F7213"/>
    <w:rsid w:val="008F723E"/>
    <w:rsid w:val="008F73BB"/>
    <w:rsid w:val="008F74B0"/>
    <w:rsid w:val="008F74F7"/>
    <w:rsid w:val="008F7569"/>
    <w:rsid w:val="008F7573"/>
    <w:rsid w:val="008F75F6"/>
    <w:rsid w:val="008F76E5"/>
    <w:rsid w:val="008F783A"/>
    <w:rsid w:val="008F7873"/>
    <w:rsid w:val="008F7D05"/>
    <w:rsid w:val="008F7FA1"/>
    <w:rsid w:val="00900001"/>
    <w:rsid w:val="0090012D"/>
    <w:rsid w:val="009002D7"/>
    <w:rsid w:val="009004D3"/>
    <w:rsid w:val="00900754"/>
    <w:rsid w:val="009008FE"/>
    <w:rsid w:val="009009B2"/>
    <w:rsid w:val="00900A68"/>
    <w:rsid w:val="00900BC0"/>
    <w:rsid w:val="00900C71"/>
    <w:rsid w:val="00900E8E"/>
    <w:rsid w:val="00900E94"/>
    <w:rsid w:val="00900F82"/>
    <w:rsid w:val="0090109E"/>
    <w:rsid w:val="0090118A"/>
    <w:rsid w:val="009015E1"/>
    <w:rsid w:val="009016A4"/>
    <w:rsid w:val="009017AB"/>
    <w:rsid w:val="00901AE0"/>
    <w:rsid w:val="00901B86"/>
    <w:rsid w:val="00901C81"/>
    <w:rsid w:val="00901CE7"/>
    <w:rsid w:val="00901CEB"/>
    <w:rsid w:val="00901DC2"/>
    <w:rsid w:val="00901E28"/>
    <w:rsid w:val="00901E70"/>
    <w:rsid w:val="009021F9"/>
    <w:rsid w:val="00902363"/>
    <w:rsid w:val="009023F4"/>
    <w:rsid w:val="00902581"/>
    <w:rsid w:val="00902682"/>
    <w:rsid w:val="009026A0"/>
    <w:rsid w:val="009026D2"/>
    <w:rsid w:val="009027F9"/>
    <w:rsid w:val="00902846"/>
    <w:rsid w:val="00902A55"/>
    <w:rsid w:val="00902B91"/>
    <w:rsid w:val="00902C03"/>
    <w:rsid w:val="00902D01"/>
    <w:rsid w:val="00902DDD"/>
    <w:rsid w:val="00902E25"/>
    <w:rsid w:val="00902E3E"/>
    <w:rsid w:val="00902ED1"/>
    <w:rsid w:val="00903048"/>
    <w:rsid w:val="0090308F"/>
    <w:rsid w:val="00903117"/>
    <w:rsid w:val="009031EE"/>
    <w:rsid w:val="009033B0"/>
    <w:rsid w:val="0090348D"/>
    <w:rsid w:val="009034C7"/>
    <w:rsid w:val="00903583"/>
    <w:rsid w:val="0090360A"/>
    <w:rsid w:val="009038B5"/>
    <w:rsid w:val="00903963"/>
    <w:rsid w:val="00903A4F"/>
    <w:rsid w:val="00903CBE"/>
    <w:rsid w:val="00903E2E"/>
    <w:rsid w:val="009042FB"/>
    <w:rsid w:val="0090443E"/>
    <w:rsid w:val="0090457D"/>
    <w:rsid w:val="009046B2"/>
    <w:rsid w:val="00904845"/>
    <w:rsid w:val="00904C85"/>
    <w:rsid w:val="00904F18"/>
    <w:rsid w:val="00904F87"/>
    <w:rsid w:val="0090518F"/>
    <w:rsid w:val="0090525A"/>
    <w:rsid w:val="0090525B"/>
    <w:rsid w:val="00905382"/>
    <w:rsid w:val="00905607"/>
    <w:rsid w:val="00905A8C"/>
    <w:rsid w:val="00905DB9"/>
    <w:rsid w:val="00905DDA"/>
    <w:rsid w:val="009060B1"/>
    <w:rsid w:val="009060CE"/>
    <w:rsid w:val="009061A9"/>
    <w:rsid w:val="00906221"/>
    <w:rsid w:val="00906319"/>
    <w:rsid w:val="0090632E"/>
    <w:rsid w:val="009063BA"/>
    <w:rsid w:val="009063DC"/>
    <w:rsid w:val="009063E5"/>
    <w:rsid w:val="009065B7"/>
    <w:rsid w:val="009067A2"/>
    <w:rsid w:val="00906910"/>
    <w:rsid w:val="0090697D"/>
    <w:rsid w:val="00906C8D"/>
    <w:rsid w:val="00906CD9"/>
    <w:rsid w:val="00906EA4"/>
    <w:rsid w:val="009070C0"/>
    <w:rsid w:val="009070F3"/>
    <w:rsid w:val="009071B3"/>
    <w:rsid w:val="00907232"/>
    <w:rsid w:val="00907319"/>
    <w:rsid w:val="00907430"/>
    <w:rsid w:val="0090755C"/>
    <w:rsid w:val="00907601"/>
    <w:rsid w:val="0090769C"/>
    <w:rsid w:val="009076DE"/>
    <w:rsid w:val="0090776E"/>
    <w:rsid w:val="00907C60"/>
    <w:rsid w:val="00907CC6"/>
    <w:rsid w:val="00907D7B"/>
    <w:rsid w:val="00907F16"/>
    <w:rsid w:val="009100FA"/>
    <w:rsid w:val="009102FA"/>
    <w:rsid w:val="00910355"/>
    <w:rsid w:val="009104B5"/>
    <w:rsid w:val="00910772"/>
    <w:rsid w:val="0091079F"/>
    <w:rsid w:val="00910998"/>
    <w:rsid w:val="009109E0"/>
    <w:rsid w:val="00910B61"/>
    <w:rsid w:val="00910C02"/>
    <w:rsid w:val="00910E54"/>
    <w:rsid w:val="00910F34"/>
    <w:rsid w:val="0091122F"/>
    <w:rsid w:val="00911481"/>
    <w:rsid w:val="009115C2"/>
    <w:rsid w:val="0091166D"/>
    <w:rsid w:val="00911C3E"/>
    <w:rsid w:val="00911CDD"/>
    <w:rsid w:val="00911D0F"/>
    <w:rsid w:val="00911E76"/>
    <w:rsid w:val="00911EA4"/>
    <w:rsid w:val="00911F28"/>
    <w:rsid w:val="00911F31"/>
    <w:rsid w:val="009121A7"/>
    <w:rsid w:val="00912304"/>
    <w:rsid w:val="0091234A"/>
    <w:rsid w:val="009123C5"/>
    <w:rsid w:val="009123DB"/>
    <w:rsid w:val="009125FC"/>
    <w:rsid w:val="0091265C"/>
    <w:rsid w:val="00912761"/>
    <w:rsid w:val="00912904"/>
    <w:rsid w:val="009129CC"/>
    <w:rsid w:val="00912A45"/>
    <w:rsid w:val="00912ADB"/>
    <w:rsid w:val="00912B96"/>
    <w:rsid w:val="00912D73"/>
    <w:rsid w:val="00912E09"/>
    <w:rsid w:val="00912EA2"/>
    <w:rsid w:val="00912EF6"/>
    <w:rsid w:val="00912F0A"/>
    <w:rsid w:val="00912F5E"/>
    <w:rsid w:val="00912FF9"/>
    <w:rsid w:val="00913018"/>
    <w:rsid w:val="0091313A"/>
    <w:rsid w:val="00913169"/>
    <w:rsid w:val="00913329"/>
    <w:rsid w:val="009137A6"/>
    <w:rsid w:val="009138B8"/>
    <w:rsid w:val="00913951"/>
    <w:rsid w:val="00913AA9"/>
    <w:rsid w:val="00913ACB"/>
    <w:rsid w:val="00913B46"/>
    <w:rsid w:val="00913E77"/>
    <w:rsid w:val="00914149"/>
    <w:rsid w:val="009143FD"/>
    <w:rsid w:val="0091457A"/>
    <w:rsid w:val="009146BE"/>
    <w:rsid w:val="009146F8"/>
    <w:rsid w:val="00914803"/>
    <w:rsid w:val="00914948"/>
    <w:rsid w:val="00914AF7"/>
    <w:rsid w:val="00914B8E"/>
    <w:rsid w:val="00914C1D"/>
    <w:rsid w:val="00914C1F"/>
    <w:rsid w:val="00914C20"/>
    <w:rsid w:val="00914D8C"/>
    <w:rsid w:val="00915030"/>
    <w:rsid w:val="00915065"/>
    <w:rsid w:val="009152F8"/>
    <w:rsid w:val="00915317"/>
    <w:rsid w:val="00915715"/>
    <w:rsid w:val="00915A49"/>
    <w:rsid w:val="00915CA7"/>
    <w:rsid w:val="00915D68"/>
    <w:rsid w:val="0091609E"/>
    <w:rsid w:val="009160D5"/>
    <w:rsid w:val="009161DC"/>
    <w:rsid w:val="009162D7"/>
    <w:rsid w:val="009163AE"/>
    <w:rsid w:val="00916406"/>
    <w:rsid w:val="0091647B"/>
    <w:rsid w:val="009165A7"/>
    <w:rsid w:val="0091674F"/>
    <w:rsid w:val="009169F0"/>
    <w:rsid w:val="00916AD4"/>
    <w:rsid w:val="00916BBC"/>
    <w:rsid w:val="00916D0C"/>
    <w:rsid w:val="00916D4D"/>
    <w:rsid w:val="00916DBC"/>
    <w:rsid w:val="00916E26"/>
    <w:rsid w:val="00916F40"/>
    <w:rsid w:val="00916F69"/>
    <w:rsid w:val="00916F75"/>
    <w:rsid w:val="009170CB"/>
    <w:rsid w:val="00917196"/>
    <w:rsid w:val="009171B4"/>
    <w:rsid w:val="00917226"/>
    <w:rsid w:val="0091744E"/>
    <w:rsid w:val="00917618"/>
    <w:rsid w:val="009178A9"/>
    <w:rsid w:val="00917916"/>
    <w:rsid w:val="00917A65"/>
    <w:rsid w:val="00917ED1"/>
    <w:rsid w:val="00917F1D"/>
    <w:rsid w:val="00917F7E"/>
    <w:rsid w:val="0092040C"/>
    <w:rsid w:val="0092045C"/>
    <w:rsid w:val="009204DD"/>
    <w:rsid w:val="00920784"/>
    <w:rsid w:val="009208BB"/>
    <w:rsid w:val="00920955"/>
    <w:rsid w:val="00920A94"/>
    <w:rsid w:val="00920BA4"/>
    <w:rsid w:val="00920C04"/>
    <w:rsid w:val="00920CE2"/>
    <w:rsid w:val="00920F3B"/>
    <w:rsid w:val="00920F6E"/>
    <w:rsid w:val="00920F6F"/>
    <w:rsid w:val="00920F8F"/>
    <w:rsid w:val="00920FEF"/>
    <w:rsid w:val="00921241"/>
    <w:rsid w:val="00921247"/>
    <w:rsid w:val="0092126C"/>
    <w:rsid w:val="00921440"/>
    <w:rsid w:val="0092152C"/>
    <w:rsid w:val="0092168E"/>
    <w:rsid w:val="00921B3D"/>
    <w:rsid w:val="00921B9E"/>
    <w:rsid w:val="00921BDD"/>
    <w:rsid w:val="00921E6E"/>
    <w:rsid w:val="00922009"/>
    <w:rsid w:val="0092203E"/>
    <w:rsid w:val="0092207B"/>
    <w:rsid w:val="009221F8"/>
    <w:rsid w:val="0092224A"/>
    <w:rsid w:val="00922351"/>
    <w:rsid w:val="00922840"/>
    <w:rsid w:val="00922985"/>
    <w:rsid w:val="009229BA"/>
    <w:rsid w:val="00922CA9"/>
    <w:rsid w:val="00922E1D"/>
    <w:rsid w:val="00923038"/>
    <w:rsid w:val="009232A0"/>
    <w:rsid w:val="009232D0"/>
    <w:rsid w:val="009235A8"/>
    <w:rsid w:val="009235C0"/>
    <w:rsid w:val="009236D6"/>
    <w:rsid w:val="0092393B"/>
    <w:rsid w:val="009239D4"/>
    <w:rsid w:val="00923AB5"/>
    <w:rsid w:val="00923B32"/>
    <w:rsid w:val="00923BC8"/>
    <w:rsid w:val="00923C74"/>
    <w:rsid w:val="00923CDF"/>
    <w:rsid w:val="00923E9B"/>
    <w:rsid w:val="00923FE2"/>
    <w:rsid w:val="00923FF5"/>
    <w:rsid w:val="0092407C"/>
    <w:rsid w:val="0092408E"/>
    <w:rsid w:val="009240F0"/>
    <w:rsid w:val="009242D7"/>
    <w:rsid w:val="009242FE"/>
    <w:rsid w:val="00924306"/>
    <w:rsid w:val="009245C6"/>
    <w:rsid w:val="009246F6"/>
    <w:rsid w:val="00924898"/>
    <w:rsid w:val="00924907"/>
    <w:rsid w:val="00924B49"/>
    <w:rsid w:val="00924BDE"/>
    <w:rsid w:val="00924CCA"/>
    <w:rsid w:val="00924D69"/>
    <w:rsid w:val="00924DE7"/>
    <w:rsid w:val="00924EB3"/>
    <w:rsid w:val="00924EFB"/>
    <w:rsid w:val="00925038"/>
    <w:rsid w:val="009250D6"/>
    <w:rsid w:val="00925216"/>
    <w:rsid w:val="00925656"/>
    <w:rsid w:val="00925C9F"/>
    <w:rsid w:val="00925CC7"/>
    <w:rsid w:val="00925D1C"/>
    <w:rsid w:val="00925D60"/>
    <w:rsid w:val="00925D99"/>
    <w:rsid w:val="00925DEE"/>
    <w:rsid w:val="00925E92"/>
    <w:rsid w:val="00925EEB"/>
    <w:rsid w:val="00925F39"/>
    <w:rsid w:val="00925FD0"/>
    <w:rsid w:val="0092617A"/>
    <w:rsid w:val="0092627D"/>
    <w:rsid w:val="0092628D"/>
    <w:rsid w:val="009263D3"/>
    <w:rsid w:val="00926497"/>
    <w:rsid w:val="009264A6"/>
    <w:rsid w:val="009264DE"/>
    <w:rsid w:val="00926611"/>
    <w:rsid w:val="009268BD"/>
    <w:rsid w:val="00926D47"/>
    <w:rsid w:val="00926D9E"/>
    <w:rsid w:val="00926DEE"/>
    <w:rsid w:val="009270A6"/>
    <w:rsid w:val="00927105"/>
    <w:rsid w:val="00927181"/>
    <w:rsid w:val="00927288"/>
    <w:rsid w:val="0092730D"/>
    <w:rsid w:val="0092746D"/>
    <w:rsid w:val="009275CF"/>
    <w:rsid w:val="009277F0"/>
    <w:rsid w:val="00927B5A"/>
    <w:rsid w:val="00927C03"/>
    <w:rsid w:val="00927E8C"/>
    <w:rsid w:val="00927EBC"/>
    <w:rsid w:val="00927F04"/>
    <w:rsid w:val="00927F3C"/>
    <w:rsid w:val="009300AA"/>
    <w:rsid w:val="009300F7"/>
    <w:rsid w:val="0093030A"/>
    <w:rsid w:val="00930610"/>
    <w:rsid w:val="009306E3"/>
    <w:rsid w:val="0093085C"/>
    <w:rsid w:val="00930875"/>
    <w:rsid w:val="009309B6"/>
    <w:rsid w:val="00931255"/>
    <w:rsid w:val="009312E8"/>
    <w:rsid w:val="009313E0"/>
    <w:rsid w:val="00931497"/>
    <w:rsid w:val="00931537"/>
    <w:rsid w:val="009315F0"/>
    <w:rsid w:val="00931783"/>
    <w:rsid w:val="009317E5"/>
    <w:rsid w:val="009318AF"/>
    <w:rsid w:val="009319C6"/>
    <w:rsid w:val="00931BB5"/>
    <w:rsid w:val="00931C47"/>
    <w:rsid w:val="00931C70"/>
    <w:rsid w:val="009320F5"/>
    <w:rsid w:val="009322EA"/>
    <w:rsid w:val="009324F5"/>
    <w:rsid w:val="009326F2"/>
    <w:rsid w:val="0093279F"/>
    <w:rsid w:val="009327AE"/>
    <w:rsid w:val="009327C2"/>
    <w:rsid w:val="0093281E"/>
    <w:rsid w:val="00932972"/>
    <w:rsid w:val="00932A22"/>
    <w:rsid w:val="00932BD0"/>
    <w:rsid w:val="00932C46"/>
    <w:rsid w:val="00932C5F"/>
    <w:rsid w:val="00932E27"/>
    <w:rsid w:val="00932E5C"/>
    <w:rsid w:val="00932EC0"/>
    <w:rsid w:val="0093304A"/>
    <w:rsid w:val="00933214"/>
    <w:rsid w:val="009332E3"/>
    <w:rsid w:val="00933465"/>
    <w:rsid w:val="00933518"/>
    <w:rsid w:val="0093362D"/>
    <w:rsid w:val="00933828"/>
    <w:rsid w:val="009339A6"/>
    <w:rsid w:val="00933B4B"/>
    <w:rsid w:val="00933C33"/>
    <w:rsid w:val="00933D15"/>
    <w:rsid w:val="00933D37"/>
    <w:rsid w:val="009341BC"/>
    <w:rsid w:val="0093425D"/>
    <w:rsid w:val="00934270"/>
    <w:rsid w:val="00934420"/>
    <w:rsid w:val="0093445D"/>
    <w:rsid w:val="00934467"/>
    <w:rsid w:val="009344DD"/>
    <w:rsid w:val="009345DC"/>
    <w:rsid w:val="00934646"/>
    <w:rsid w:val="00934689"/>
    <w:rsid w:val="009346A3"/>
    <w:rsid w:val="0093492D"/>
    <w:rsid w:val="00934970"/>
    <w:rsid w:val="00934AA0"/>
    <w:rsid w:val="00934C59"/>
    <w:rsid w:val="00934C8C"/>
    <w:rsid w:val="00934F43"/>
    <w:rsid w:val="0093510D"/>
    <w:rsid w:val="00935196"/>
    <w:rsid w:val="00935706"/>
    <w:rsid w:val="00935910"/>
    <w:rsid w:val="00935A7F"/>
    <w:rsid w:val="00935B07"/>
    <w:rsid w:val="00935B46"/>
    <w:rsid w:val="00935B7B"/>
    <w:rsid w:val="00935E28"/>
    <w:rsid w:val="00935F3A"/>
    <w:rsid w:val="0093619E"/>
    <w:rsid w:val="00936217"/>
    <w:rsid w:val="0093626D"/>
    <w:rsid w:val="00936319"/>
    <w:rsid w:val="00936356"/>
    <w:rsid w:val="0093682D"/>
    <w:rsid w:val="009369CD"/>
    <w:rsid w:val="00936A52"/>
    <w:rsid w:val="00936C00"/>
    <w:rsid w:val="00936C46"/>
    <w:rsid w:val="00936CE8"/>
    <w:rsid w:val="00936E31"/>
    <w:rsid w:val="00936E4F"/>
    <w:rsid w:val="00936F0D"/>
    <w:rsid w:val="0093701F"/>
    <w:rsid w:val="0093704A"/>
    <w:rsid w:val="009370C0"/>
    <w:rsid w:val="009370D6"/>
    <w:rsid w:val="0093722E"/>
    <w:rsid w:val="009374ED"/>
    <w:rsid w:val="00937720"/>
    <w:rsid w:val="0093784B"/>
    <w:rsid w:val="00937853"/>
    <w:rsid w:val="009378CE"/>
    <w:rsid w:val="00937AE7"/>
    <w:rsid w:val="00937B45"/>
    <w:rsid w:val="00937DD0"/>
    <w:rsid w:val="00937E51"/>
    <w:rsid w:val="00937E91"/>
    <w:rsid w:val="00937EDE"/>
    <w:rsid w:val="00937EFE"/>
    <w:rsid w:val="00937F07"/>
    <w:rsid w:val="00937F53"/>
    <w:rsid w:val="00937F7E"/>
    <w:rsid w:val="009400F0"/>
    <w:rsid w:val="009403C0"/>
    <w:rsid w:val="009403C9"/>
    <w:rsid w:val="00940477"/>
    <w:rsid w:val="009405DC"/>
    <w:rsid w:val="0094061E"/>
    <w:rsid w:val="009409E5"/>
    <w:rsid w:val="00940A64"/>
    <w:rsid w:val="00940B52"/>
    <w:rsid w:val="00940B91"/>
    <w:rsid w:val="00940BE6"/>
    <w:rsid w:val="00940BFF"/>
    <w:rsid w:val="00940D10"/>
    <w:rsid w:val="00940DAF"/>
    <w:rsid w:val="00940F5F"/>
    <w:rsid w:val="00941125"/>
    <w:rsid w:val="00941135"/>
    <w:rsid w:val="00941189"/>
    <w:rsid w:val="00941359"/>
    <w:rsid w:val="00941542"/>
    <w:rsid w:val="009416E0"/>
    <w:rsid w:val="00941789"/>
    <w:rsid w:val="00941BCF"/>
    <w:rsid w:val="00941C4C"/>
    <w:rsid w:val="00941D6B"/>
    <w:rsid w:val="00941DBA"/>
    <w:rsid w:val="00941DD3"/>
    <w:rsid w:val="00941FB9"/>
    <w:rsid w:val="009425CC"/>
    <w:rsid w:val="009426C3"/>
    <w:rsid w:val="009427C5"/>
    <w:rsid w:val="0094282B"/>
    <w:rsid w:val="00942847"/>
    <w:rsid w:val="0094289A"/>
    <w:rsid w:val="009429C1"/>
    <w:rsid w:val="00942A63"/>
    <w:rsid w:val="00942B04"/>
    <w:rsid w:val="00942EB7"/>
    <w:rsid w:val="00942EBE"/>
    <w:rsid w:val="00943284"/>
    <w:rsid w:val="00943495"/>
    <w:rsid w:val="009434B3"/>
    <w:rsid w:val="00943623"/>
    <w:rsid w:val="00943691"/>
    <w:rsid w:val="0094373E"/>
    <w:rsid w:val="009439C8"/>
    <w:rsid w:val="00943A61"/>
    <w:rsid w:val="00943CEA"/>
    <w:rsid w:val="00943D16"/>
    <w:rsid w:val="00943F46"/>
    <w:rsid w:val="009441D9"/>
    <w:rsid w:val="00944248"/>
    <w:rsid w:val="0094432F"/>
    <w:rsid w:val="00944349"/>
    <w:rsid w:val="00944414"/>
    <w:rsid w:val="009450FD"/>
    <w:rsid w:val="00945281"/>
    <w:rsid w:val="009453B8"/>
    <w:rsid w:val="00945744"/>
    <w:rsid w:val="00945825"/>
    <w:rsid w:val="00945853"/>
    <w:rsid w:val="009458FF"/>
    <w:rsid w:val="00945A08"/>
    <w:rsid w:val="00945A7F"/>
    <w:rsid w:val="00945E5E"/>
    <w:rsid w:val="00946320"/>
    <w:rsid w:val="00946338"/>
    <w:rsid w:val="009464DB"/>
    <w:rsid w:val="00946515"/>
    <w:rsid w:val="009467C2"/>
    <w:rsid w:val="00946988"/>
    <w:rsid w:val="009469F7"/>
    <w:rsid w:val="00946A83"/>
    <w:rsid w:val="00946A8E"/>
    <w:rsid w:val="00946AA7"/>
    <w:rsid w:val="00946ABE"/>
    <w:rsid w:val="00946B74"/>
    <w:rsid w:val="00946CCD"/>
    <w:rsid w:val="00946EE0"/>
    <w:rsid w:val="0094713B"/>
    <w:rsid w:val="009471FD"/>
    <w:rsid w:val="0094730E"/>
    <w:rsid w:val="009473B9"/>
    <w:rsid w:val="009475A5"/>
    <w:rsid w:val="00947797"/>
    <w:rsid w:val="009477F9"/>
    <w:rsid w:val="0094789E"/>
    <w:rsid w:val="00947936"/>
    <w:rsid w:val="0094797B"/>
    <w:rsid w:val="00947AB5"/>
    <w:rsid w:val="00947AE6"/>
    <w:rsid w:val="00947AFA"/>
    <w:rsid w:val="00947B62"/>
    <w:rsid w:val="00947D8A"/>
    <w:rsid w:val="00947E05"/>
    <w:rsid w:val="00947F40"/>
    <w:rsid w:val="00947F79"/>
    <w:rsid w:val="00950047"/>
    <w:rsid w:val="0095037B"/>
    <w:rsid w:val="009503DF"/>
    <w:rsid w:val="00950726"/>
    <w:rsid w:val="0095094B"/>
    <w:rsid w:val="0095096C"/>
    <w:rsid w:val="00950B98"/>
    <w:rsid w:val="00950C23"/>
    <w:rsid w:val="00950C3E"/>
    <w:rsid w:val="00950C71"/>
    <w:rsid w:val="00950D14"/>
    <w:rsid w:val="00950D47"/>
    <w:rsid w:val="00950FD7"/>
    <w:rsid w:val="009511D2"/>
    <w:rsid w:val="00951355"/>
    <w:rsid w:val="009513FF"/>
    <w:rsid w:val="009515D8"/>
    <w:rsid w:val="009516C9"/>
    <w:rsid w:val="0095183A"/>
    <w:rsid w:val="0095184C"/>
    <w:rsid w:val="009518AA"/>
    <w:rsid w:val="00951CBF"/>
    <w:rsid w:val="00951D10"/>
    <w:rsid w:val="00951F30"/>
    <w:rsid w:val="0095201D"/>
    <w:rsid w:val="00952304"/>
    <w:rsid w:val="009525A6"/>
    <w:rsid w:val="00952706"/>
    <w:rsid w:val="00952843"/>
    <w:rsid w:val="009528CE"/>
    <w:rsid w:val="00952939"/>
    <w:rsid w:val="00952C5E"/>
    <w:rsid w:val="00952D0B"/>
    <w:rsid w:val="00952D69"/>
    <w:rsid w:val="0095307F"/>
    <w:rsid w:val="0095342D"/>
    <w:rsid w:val="009535CD"/>
    <w:rsid w:val="00953776"/>
    <w:rsid w:val="009538E5"/>
    <w:rsid w:val="009538F8"/>
    <w:rsid w:val="0095398F"/>
    <w:rsid w:val="00953B39"/>
    <w:rsid w:val="00953B8C"/>
    <w:rsid w:val="00953D1A"/>
    <w:rsid w:val="00953ED5"/>
    <w:rsid w:val="00953EFC"/>
    <w:rsid w:val="00953FAD"/>
    <w:rsid w:val="00954043"/>
    <w:rsid w:val="009541B7"/>
    <w:rsid w:val="009541E6"/>
    <w:rsid w:val="00954436"/>
    <w:rsid w:val="0095444F"/>
    <w:rsid w:val="009544E2"/>
    <w:rsid w:val="00954670"/>
    <w:rsid w:val="00954829"/>
    <w:rsid w:val="009548AF"/>
    <w:rsid w:val="00954923"/>
    <w:rsid w:val="00954AD3"/>
    <w:rsid w:val="00954B66"/>
    <w:rsid w:val="009553CB"/>
    <w:rsid w:val="00955400"/>
    <w:rsid w:val="00955569"/>
    <w:rsid w:val="009556A4"/>
    <w:rsid w:val="00955782"/>
    <w:rsid w:val="0095580D"/>
    <w:rsid w:val="009558C8"/>
    <w:rsid w:val="00955AE3"/>
    <w:rsid w:val="00955AE8"/>
    <w:rsid w:val="00955DAC"/>
    <w:rsid w:val="009561F8"/>
    <w:rsid w:val="0095629D"/>
    <w:rsid w:val="00956603"/>
    <w:rsid w:val="00956918"/>
    <w:rsid w:val="009569A7"/>
    <w:rsid w:val="00956F7E"/>
    <w:rsid w:val="00956FAD"/>
    <w:rsid w:val="0095706C"/>
    <w:rsid w:val="00957247"/>
    <w:rsid w:val="0095729F"/>
    <w:rsid w:val="009572AD"/>
    <w:rsid w:val="0095744E"/>
    <w:rsid w:val="00957460"/>
    <w:rsid w:val="00957462"/>
    <w:rsid w:val="009575A1"/>
    <w:rsid w:val="009575EA"/>
    <w:rsid w:val="00957703"/>
    <w:rsid w:val="009578EE"/>
    <w:rsid w:val="00957BD1"/>
    <w:rsid w:val="00957D4E"/>
    <w:rsid w:val="00957E3C"/>
    <w:rsid w:val="00957F74"/>
    <w:rsid w:val="00960112"/>
    <w:rsid w:val="00960279"/>
    <w:rsid w:val="00960410"/>
    <w:rsid w:val="009606FC"/>
    <w:rsid w:val="00960792"/>
    <w:rsid w:val="00960813"/>
    <w:rsid w:val="0096089D"/>
    <w:rsid w:val="00960941"/>
    <w:rsid w:val="0096099D"/>
    <w:rsid w:val="00960A87"/>
    <w:rsid w:val="00960BD6"/>
    <w:rsid w:val="00960C15"/>
    <w:rsid w:val="00960C5A"/>
    <w:rsid w:val="00960C7B"/>
    <w:rsid w:val="00960F86"/>
    <w:rsid w:val="00960FF6"/>
    <w:rsid w:val="0096125F"/>
    <w:rsid w:val="0096128D"/>
    <w:rsid w:val="00961290"/>
    <w:rsid w:val="009612EF"/>
    <w:rsid w:val="00961411"/>
    <w:rsid w:val="00961641"/>
    <w:rsid w:val="00961783"/>
    <w:rsid w:val="009617FB"/>
    <w:rsid w:val="009617FE"/>
    <w:rsid w:val="00961834"/>
    <w:rsid w:val="00961847"/>
    <w:rsid w:val="00961DCC"/>
    <w:rsid w:val="00961E51"/>
    <w:rsid w:val="00961F7A"/>
    <w:rsid w:val="009621F3"/>
    <w:rsid w:val="009622AF"/>
    <w:rsid w:val="0096231C"/>
    <w:rsid w:val="0096253E"/>
    <w:rsid w:val="009626B9"/>
    <w:rsid w:val="009627F2"/>
    <w:rsid w:val="00962987"/>
    <w:rsid w:val="0096299E"/>
    <w:rsid w:val="00962AC7"/>
    <w:rsid w:val="00962BBD"/>
    <w:rsid w:val="00962BDB"/>
    <w:rsid w:val="00962C97"/>
    <w:rsid w:val="00962D6E"/>
    <w:rsid w:val="00962DEB"/>
    <w:rsid w:val="00962EE8"/>
    <w:rsid w:val="00962FC7"/>
    <w:rsid w:val="0096306E"/>
    <w:rsid w:val="00963218"/>
    <w:rsid w:val="00963247"/>
    <w:rsid w:val="0096325B"/>
    <w:rsid w:val="00963613"/>
    <w:rsid w:val="009636A4"/>
    <w:rsid w:val="00963725"/>
    <w:rsid w:val="0096379F"/>
    <w:rsid w:val="009637C0"/>
    <w:rsid w:val="009637FE"/>
    <w:rsid w:val="009638D1"/>
    <w:rsid w:val="00963A77"/>
    <w:rsid w:val="00963AC0"/>
    <w:rsid w:val="00963B64"/>
    <w:rsid w:val="00963B9D"/>
    <w:rsid w:val="00963C84"/>
    <w:rsid w:val="00963D0C"/>
    <w:rsid w:val="00963D1A"/>
    <w:rsid w:val="00963F5C"/>
    <w:rsid w:val="00964481"/>
    <w:rsid w:val="009644A7"/>
    <w:rsid w:val="009644C3"/>
    <w:rsid w:val="00964582"/>
    <w:rsid w:val="00964611"/>
    <w:rsid w:val="0096483F"/>
    <w:rsid w:val="00964A63"/>
    <w:rsid w:val="00964C3D"/>
    <w:rsid w:val="00964CA9"/>
    <w:rsid w:val="00964CF2"/>
    <w:rsid w:val="00964D1F"/>
    <w:rsid w:val="009651BF"/>
    <w:rsid w:val="00965453"/>
    <w:rsid w:val="0096545D"/>
    <w:rsid w:val="009654AC"/>
    <w:rsid w:val="0096552C"/>
    <w:rsid w:val="00965786"/>
    <w:rsid w:val="0096596C"/>
    <w:rsid w:val="00965A6C"/>
    <w:rsid w:val="00965EE3"/>
    <w:rsid w:val="00965FA4"/>
    <w:rsid w:val="009660BB"/>
    <w:rsid w:val="009663D8"/>
    <w:rsid w:val="0096663E"/>
    <w:rsid w:val="00966679"/>
    <w:rsid w:val="009666B6"/>
    <w:rsid w:val="0096679C"/>
    <w:rsid w:val="00966889"/>
    <w:rsid w:val="00966951"/>
    <w:rsid w:val="00966962"/>
    <w:rsid w:val="00966A0B"/>
    <w:rsid w:val="00966BC4"/>
    <w:rsid w:val="00966C67"/>
    <w:rsid w:val="00966D40"/>
    <w:rsid w:val="00966DB3"/>
    <w:rsid w:val="009670F6"/>
    <w:rsid w:val="009671C1"/>
    <w:rsid w:val="009673F1"/>
    <w:rsid w:val="009673FA"/>
    <w:rsid w:val="00967440"/>
    <w:rsid w:val="00967462"/>
    <w:rsid w:val="009675C9"/>
    <w:rsid w:val="00967655"/>
    <w:rsid w:val="00967702"/>
    <w:rsid w:val="0096770A"/>
    <w:rsid w:val="0096771C"/>
    <w:rsid w:val="009678F9"/>
    <w:rsid w:val="00967A36"/>
    <w:rsid w:val="00967B8E"/>
    <w:rsid w:val="00967CF5"/>
    <w:rsid w:val="00967EAB"/>
    <w:rsid w:val="009700D5"/>
    <w:rsid w:val="0097015F"/>
    <w:rsid w:val="009705CF"/>
    <w:rsid w:val="009708A4"/>
    <w:rsid w:val="009708F8"/>
    <w:rsid w:val="0097096E"/>
    <w:rsid w:val="00970B1E"/>
    <w:rsid w:val="00970BFF"/>
    <w:rsid w:val="00970CA6"/>
    <w:rsid w:val="00970CC8"/>
    <w:rsid w:val="00970DBE"/>
    <w:rsid w:val="00970E8E"/>
    <w:rsid w:val="00970F21"/>
    <w:rsid w:val="00970FF5"/>
    <w:rsid w:val="009711B5"/>
    <w:rsid w:val="0097126F"/>
    <w:rsid w:val="00971483"/>
    <w:rsid w:val="009714B2"/>
    <w:rsid w:val="00971650"/>
    <w:rsid w:val="00971703"/>
    <w:rsid w:val="00971872"/>
    <w:rsid w:val="00971C6A"/>
    <w:rsid w:val="00971CB2"/>
    <w:rsid w:val="00971D2B"/>
    <w:rsid w:val="00971FAD"/>
    <w:rsid w:val="0097202D"/>
    <w:rsid w:val="00972138"/>
    <w:rsid w:val="009722F9"/>
    <w:rsid w:val="00972386"/>
    <w:rsid w:val="00972611"/>
    <w:rsid w:val="00972632"/>
    <w:rsid w:val="00972673"/>
    <w:rsid w:val="009726BC"/>
    <w:rsid w:val="0097282F"/>
    <w:rsid w:val="0097283E"/>
    <w:rsid w:val="009729A4"/>
    <w:rsid w:val="009729AB"/>
    <w:rsid w:val="00972BA3"/>
    <w:rsid w:val="00973047"/>
    <w:rsid w:val="00973081"/>
    <w:rsid w:val="0097308B"/>
    <w:rsid w:val="0097335F"/>
    <w:rsid w:val="00973443"/>
    <w:rsid w:val="0097352F"/>
    <w:rsid w:val="0097354B"/>
    <w:rsid w:val="0097357C"/>
    <w:rsid w:val="009737A8"/>
    <w:rsid w:val="009738A0"/>
    <w:rsid w:val="00973A2D"/>
    <w:rsid w:val="00973BDA"/>
    <w:rsid w:val="00973ED1"/>
    <w:rsid w:val="00973FF4"/>
    <w:rsid w:val="009742EC"/>
    <w:rsid w:val="0097431A"/>
    <w:rsid w:val="00974494"/>
    <w:rsid w:val="00974553"/>
    <w:rsid w:val="00974692"/>
    <w:rsid w:val="00974929"/>
    <w:rsid w:val="00974AC6"/>
    <w:rsid w:val="00974BF2"/>
    <w:rsid w:val="00974D40"/>
    <w:rsid w:val="00974E45"/>
    <w:rsid w:val="00974E59"/>
    <w:rsid w:val="00974E71"/>
    <w:rsid w:val="0097512D"/>
    <w:rsid w:val="00975160"/>
    <w:rsid w:val="009751E2"/>
    <w:rsid w:val="00975261"/>
    <w:rsid w:val="009752AB"/>
    <w:rsid w:val="00975603"/>
    <w:rsid w:val="00975681"/>
    <w:rsid w:val="00975838"/>
    <w:rsid w:val="00975870"/>
    <w:rsid w:val="0097589B"/>
    <w:rsid w:val="00975A1E"/>
    <w:rsid w:val="00975B61"/>
    <w:rsid w:val="00975BC3"/>
    <w:rsid w:val="00975CB9"/>
    <w:rsid w:val="00975FBF"/>
    <w:rsid w:val="00976262"/>
    <w:rsid w:val="00976324"/>
    <w:rsid w:val="009764C1"/>
    <w:rsid w:val="00976727"/>
    <w:rsid w:val="0097672F"/>
    <w:rsid w:val="0097676C"/>
    <w:rsid w:val="009767BF"/>
    <w:rsid w:val="0097688B"/>
    <w:rsid w:val="009768B2"/>
    <w:rsid w:val="009768D8"/>
    <w:rsid w:val="00976904"/>
    <w:rsid w:val="00976972"/>
    <w:rsid w:val="00976A35"/>
    <w:rsid w:val="00976B5B"/>
    <w:rsid w:val="00976DB3"/>
    <w:rsid w:val="00976E17"/>
    <w:rsid w:val="00976FF5"/>
    <w:rsid w:val="009772EC"/>
    <w:rsid w:val="009773F5"/>
    <w:rsid w:val="0097744F"/>
    <w:rsid w:val="009775C6"/>
    <w:rsid w:val="0097766E"/>
    <w:rsid w:val="00977677"/>
    <w:rsid w:val="00977818"/>
    <w:rsid w:val="0097786C"/>
    <w:rsid w:val="00977943"/>
    <w:rsid w:val="009779ED"/>
    <w:rsid w:val="00977AB3"/>
    <w:rsid w:val="00977B23"/>
    <w:rsid w:val="00977CA7"/>
    <w:rsid w:val="00977EC9"/>
    <w:rsid w:val="0098030B"/>
    <w:rsid w:val="009803AC"/>
    <w:rsid w:val="009806A8"/>
    <w:rsid w:val="009806FE"/>
    <w:rsid w:val="009807A3"/>
    <w:rsid w:val="009809B7"/>
    <w:rsid w:val="009809CB"/>
    <w:rsid w:val="00980AE1"/>
    <w:rsid w:val="00980B7A"/>
    <w:rsid w:val="00980B7E"/>
    <w:rsid w:val="00980BE0"/>
    <w:rsid w:val="00980BED"/>
    <w:rsid w:val="00980D2F"/>
    <w:rsid w:val="00980EA3"/>
    <w:rsid w:val="00980F89"/>
    <w:rsid w:val="00980FB1"/>
    <w:rsid w:val="00980FF7"/>
    <w:rsid w:val="00981028"/>
    <w:rsid w:val="00981149"/>
    <w:rsid w:val="0098120B"/>
    <w:rsid w:val="0098134A"/>
    <w:rsid w:val="009813CD"/>
    <w:rsid w:val="0098154C"/>
    <w:rsid w:val="009816F4"/>
    <w:rsid w:val="0098174A"/>
    <w:rsid w:val="009817A2"/>
    <w:rsid w:val="009818CA"/>
    <w:rsid w:val="009819B0"/>
    <w:rsid w:val="00981A23"/>
    <w:rsid w:val="00981B32"/>
    <w:rsid w:val="00981C75"/>
    <w:rsid w:val="00981EFD"/>
    <w:rsid w:val="00981F18"/>
    <w:rsid w:val="00981FD0"/>
    <w:rsid w:val="00982064"/>
    <w:rsid w:val="0098210F"/>
    <w:rsid w:val="00982158"/>
    <w:rsid w:val="0098216F"/>
    <w:rsid w:val="00982193"/>
    <w:rsid w:val="00982233"/>
    <w:rsid w:val="00982671"/>
    <w:rsid w:val="0098274C"/>
    <w:rsid w:val="00982836"/>
    <w:rsid w:val="0098291E"/>
    <w:rsid w:val="009829C2"/>
    <w:rsid w:val="00982A62"/>
    <w:rsid w:val="00982B26"/>
    <w:rsid w:val="00982B54"/>
    <w:rsid w:val="00982B60"/>
    <w:rsid w:val="00982B83"/>
    <w:rsid w:val="00982DA8"/>
    <w:rsid w:val="0098304E"/>
    <w:rsid w:val="00983061"/>
    <w:rsid w:val="009830CC"/>
    <w:rsid w:val="0098329F"/>
    <w:rsid w:val="00983359"/>
    <w:rsid w:val="0098369F"/>
    <w:rsid w:val="009836AE"/>
    <w:rsid w:val="0098379F"/>
    <w:rsid w:val="009837A9"/>
    <w:rsid w:val="00983837"/>
    <w:rsid w:val="009838C9"/>
    <w:rsid w:val="0098391F"/>
    <w:rsid w:val="00983B16"/>
    <w:rsid w:val="00983B2F"/>
    <w:rsid w:val="00983BEB"/>
    <w:rsid w:val="00983DFA"/>
    <w:rsid w:val="00984054"/>
    <w:rsid w:val="00984164"/>
    <w:rsid w:val="009841E2"/>
    <w:rsid w:val="00984204"/>
    <w:rsid w:val="009842C5"/>
    <w:rsid w:val="009842D8"/>
    <w:rsid w:val="009843AD"/>
    <w:rsid w:val="0098476B"/>
    <w:rsid w:val="009847E1"/>
    <w:rsid w:val="00984848"/>
    <w:rsid w:val="00984897"/>
    <w:rsid w:val="00984BE6"/>
    <w:rsid w:val="00984BF4"/>
    <w:rsid w:val="00984CAC"/>
    <w:rsid w:val="00984D68"/>
    <w:rsid w:val="00984DA0"/>
    <w:rsid w:val="00984E7E"/>
    <w:rsid w:val="00984F2A"/>
    <w:rsid w:val="00984F58"/>
    <w:rsid w:val="00984F73"/>
    <w:rsid w:val="00984F7A"/>
    <w:rsid w:val="0098557D"/>
    <w:rsid w:val="009855B0"/>
    <w:rsid w:val="00985830"/>
    <w:rsid w:val="0098590B"/>
    <w:rsid w:val="009859B5"/>
    <w:rsid w:val="00985BA6"/>
    <w:rsid w:val="00985BD4"/>
    <w:rsid w:val="00985DCB"/>
    <w:rsid w:val="00985F7E"/>
    <w:rsid w:val="00985F91"/>
    <w:rsid w:val="00985FA0"/>
    <w:rsid w:val="009860A0"/>
    <w:rsid w:val="009860C0"/>
    <w:rsid w:val="00986435"/>
    <w:rsid w:val="00986449"/>
    <w:rsid w:val="009864B9"/>
    <w:rsid w:val="00986583"/>
    <w:rsid w:val="009865BE"/>
    <w:rsid w:val="0098670F"/>
    <w:rsid w:val="0098691C"/>
    <w:rsid w:val="00986B95"/>
    <w:rsid w:val="00986BDD"/>
    <w:rsid w:val="00986BF7"/>
    <w:rsid w:val="00986D86"/>
    <w:rsid w:val="00986E49"/>
    <w:rsid w:val="00986EAB"/>
    <w:rsid w:val="00986F00"/>
    <w:rsid w:val="00986FD3"/>
    <w:rsid w:val="00986FF0"/>
    <w:rsid w:val="00987017"/>
    <w:rsid w:val="00987140"/>
    <w:rsid w:val="0098737F"/>
    <w:rsid w:val="0098741C"/>
    <w:rsid w:val="00987424"/>
    <w:rsid w:val="009875D4"/>
    <w:rsid w:val="009878F2"/>
    <w:rsid w:val="0098792E"/>
    <w:rsid w:val="00987AD4"/>
    <w:rsid w:val="00987DE6"/>
    <w:rsid w:val="00987F45"/>
    <w:rsid w:val="00987F46"/>
    <w:rsid w:val="00987F5B"/>
    <w:rsid w:val="00987F8A"/>
    <w:rsid w:val="0099009E"/>
    <w:rsid w:val="0099037E"/>
    <w:rsid w:val="0099039C"/>
    <w:rsid w:val="00990422"/>
    <w:rsid w:val="009904A2"/>
    <w:rsid w:val="009904F0"/>
    <w:rsid w:val="0099053A"/>
    <w:rsid w:val="00990628"/>
    <w:rsid w:val="0099062A"/>
    <w:rsid w:val="00990870"/>
    <w:rsid w:val="0099088D"/>
    <w:rsid w:val="00990A33"/>
    <w:rsid w:val="00990A51"/>
    <w:rsid w:val="00990CBE"/>
    <w:rsid w:val="00990D59"/>
    <w:rsid w:val="00990DDF"/>
    <w:rsid w:val="00990F58"/>
    <w:rsid w:val="00990F60"/>
    <w:rsid w:val="00990F88"/>
    <w:rsid w:val="0099100E"/>
    <w:rsid w:val="0099110C"/>
    <w:rsid w:val="0099113E"/>
    <w:rsid w:val="0099118F"/>
    <w:rsid w:val="009912CC"/>
    <w:rsid w:val="009916BA"/>
    <w:rsid w:val="00991707"/>
    <w:rsid w:val="009917BF"/>
    <w:rsid w:val="0099194A"/>
    <w:rsid w:val="00991A12"/>
    <w:rsid w:val="00991A49"/>
    <w:rsid w:val="00991B23"/>
    <w:rsid w:val="00991C59"/>
    <w:rsid w:val="00992073"/>
    <w:rsid w:val="00992078"/>
    <w:rsid w:val="00992116"/>
    <w:rsid w:val="009922A6"/>
    <w:rsid w:val="00992340"/>
    <w:rsid w:val="00992461"/>
    <w:rsid w:val="00992537"/>
    <w:rsid w:val="00992718"/>
    <w:rsid w:val="009928D4"/>
    <w:rsid w:val="00992DA2"/>
    <w:rsid w:val="00992DD2"/>
    <w:rsid w:val="0099397D"/>
    <w:rsid w:val="00993B80"/>
    <w:rsid w:val="00993BF3"/>
    <w:rsid w:val="00993C18"/>
    <w:rsid w:val="00993EFB"/>
    <w:rsid w:val="00994006"/>
    <w:rsid w:val="009944E3"/>
    <w:rsid w:val="00994561"/>
    <w:rsid w:val="0099462A"/>
    <w:rsid w:val="009946AE"/>
    <w:rsid w:val="00994A91"/>
    <w:rsid w:val="00994B85"/>
    <w:rsid w:val="00994C3D"/>
    <w:rsid w:val="00994D72"/>
    <w:rsid w:val="00994DD3"/>
    <w:rsid w:val="00994E85"/>
    <w:rsid w:val="0099512D"/>
    <w:rsid w:val="00995260"/>
    <w:rsid w:val="0099526A"/>
    <w:rsid w:val="009952BE"/>
    <w:rsid w:val="00995366"/>
    <w:rsid w:val="009953DA"/>
    <w:rsid w:val="00995500"/>
    <w:rsid w:val="0099566D"/>
    <w:rsid w:val="00995773"/>
    <w:rsid w:val="009957ED"/>
    <w:rsid w:val="0099588D"/>
    <w:rsid w:val="0099596F"/>
    <w:rsid w:val="00995A6F"/>
    <w:rsid w:val="00995A89"/>
    <w:rsid w:val="00995BFA"/>
    <w:rsid w:val="00995CA2"/>
    <w:rsid w:val="00995F0B"/>
    <w:rsid w:val="0099638E"/>
    <w:rsid w:val="0099651E"/>
    <w:rsid w:val="0099679D"/>
    <w:rsid w:val="009967C8"/>
    <w:rsid w:val="009967D8"/>
    <w:rsid w:val="0099688F"/>
    <w:rsid w:val="00996A6B"/>
    <w:rsid w:val="00996B2E"/>
    <w:rsid w:val="00996C1D"/>
    <w:rsid w:val="00996E8C"/>
    <w:rsid w:val="00996FCE"/>
    <w:rsid w:val="0099712B"/>
    <w:rsid w:val="00997511"/>
    <w:rsid w:val="009978CB"/>
    <w:rsid w:val="00997BA1"/>
    <w:rsid w:val="00997CFA"/>
    <w:rsid w:val="00997D35"/>
    <w:rsid w:val="00997DEB"/>
    <w:rsid w:val="00997F56"/>
    <w:rsid w:val="009A0073"/>
    <w:rsid w:val="009A027C"/>
    <w:rsid w:val="009A02D0"/>
    <w:rsid w:val="009A038F"/>
    <w:rsid w:val="009A04D5"/>
    <w:rsid w:val="009A04FF"/>
    <w:rsid w:val="009A0567"/>
    <w:rsid w:val="009A0628"/>
    <w:rsid w:val="009A0651"/>
    <w:rsid w:val="009A0664"/>
    <w:rsid w:val="009A06C2"/>
    <w:rsid w:val="009A0796"/>
    <w:rsid w:val="009A07EE"/>
    <w:rsid w:val="009A0834"/>
    <w:rsid w:val="009A085F"/>
    <w:rsid w:val="009A0863"/>
    <w:rsid w:val="009A095C"/>
    <w:rsid w:val="009A0999"/>
    <w:rsid w:val="009A09D6"/>
    <w:rsid w:val="009A0B24"/>
    <w:rsid w:val="009A0B47"/>
    <w:rsid w:val="009A0BF6"/>
    <w:rsid w:val="009A0C2A"/>
    <w:rsid w:val="009A0E5E"/>
    <w:rsid w:val="009A1010"/>
    <w:rsid w:val="009A1050"/>
    <w:rsid w:val="009A10E7"/>
    <w:rsid w:val="009A11BD"/>
    <w:rsid w:val="009A12EB"/>
    <w:rsid w:val="009A1346"/>
    <w:rsid w:val="009A13F1"/>
    <w:rsid w:val="009A13F8"/>
    <w:rsid w:val="009A1494"/>
    <w:rsid w:val="009A1518"/>
    <w:rsid w:val="009A1729"/>
    <w:rsid w:val="009A173A"/>
    <w:rsid w:val="009A1874"/>
    <w:rsid w:val="009A1901"/>
    <w:rsid w:val="009A1CD0"/>
    <w:rsid w:val="009A1FC3"/>
    <w:rsid w:val="009A2022"/>
    <w:rsid w:val="009A215B"/>
    <w:rsid w:val="009A21B5"/>
    <w:rsid w:val="009A21FB"/>
    <w:rsid w:val="009A23D6"/>
    <w:rsid w:val="009A240C"/>
    <w:rsid w:val="009A2475"/>
    <w:rsid w:val="009A25E2"/>
    <w:rsid w:val="009A2C4A"/>
    <w:rsid w:val="009A2D6D"/>
    <w:rsid w:val="009A2E14"/>
    <w:rsid w:val="009A2E7F"/>
    <w:rsid w:val="009A3030"/>
    <w:rsid w:val="009A32E1"/>
    <w:rsid w:val="009A3306"/>
    <w:rsid w:val="009A33EA"/>
    <w:rsid w:val="009A3508"/>
    <w:rsid w:val="009A397E"/>
    <w:rsid w:val="009A3CAE"/>
    <w:rsid w:val="009A3CC9"/>
    <w:rsid w:val="009A3D65"/>
    <w:rsid w:val="009A3DBA"/>
    <w:rsid w:val="009A3EA9"/>
    <w:rsid w:val="009A3F23"/>
    <w:rsid w:val="009A3F82"/>
    <w:rsid w:val="009A3F87"/>
    <w:rsid w:val="009A3FF5"/>
    <w:rsid w:val="009A4061"/>
    <w:rsid w:val="009A40EB"/>
    <w:rsid w:val="009A4102"/>
    <w:rsid w:val="009A4279"/>
    <w:rsid w:val="009A432D"/>
    <w:rsid w:val="009A4382"/>
    <w:rsid w:val="009A43BF"/>
    <w:rsid w:val="009A446F"/>
    <w:rsid w:val="009A45E3"/>
    <w:rsid w:val="009A4621"/>
    <w:rsid w:val="009A488C"/>
    <w:rsid w:val="009A48D9"/>
    <w:rsid w:val="009A49C0"/>
    <w:rsid w:val="009A4AAB"/>
    <w:rsid w:val="009A4B40"/>
    <w:rsid w:val="009A4CED"/>
    <w:rsid w:val="009A4DCD"/>
    <w:rsid w:val="009A4DE9"/>
    <w:rsid w:val="009A4F41"/>
    <w:rsid w:val="009A515C"/>
    <w:rsid w:val="009A5166"/>
    <w:rsid w:val="009A519A"/>
    <w:rsid w:val="009A524C"/>
    <w:rsid w:val="009A529B"/>
    <w:rsid w:val="009A52FA"/>
    <w:rsid w:val="009A5454"/>
    <w:rsid w:val="009A545D"/>
    <w:rsid w:val="009A54FC"/>
    <w:rsid w:val="009A5829"/>
    <w:rsid w:val="009A5867"/>
    <w:rsid w:val="009A5DD8"/>
    <w:rsid w:val="009A5F39"/>
    <w:rsid w:val="009A601C"/>
    <w:rsid w:val="009A61BD"/>
    <w:rsid w:val="009A662E"/>
    <w:rsid w:val="009A677C"/>
    <w:rsid w:val="009A6818"/>
    <w:rsid w:val="009A69C4"/>
    <w:rsid w:val="009A6A56"/>
    <w:rsid w:val="009A6B0C"/>
    <w:rsid w:val="009A6E03"/>
    <w:rsid w:val="009A6EBF"/>
    <w:rsid w:val="009A7053"/>
    <w:rsid w:val="009A70E1"/>
    <w:rsid w:val="009A71AE"/>
    <w:rsid w:val="009A73ED"/>
    <w:rsid w:val="009A7488"/>
    <w:rsid w:val="009A74D0"/>
    <w:rsid w:val="009A752D"/>
    <w:rsid w:val="009A75EC"/>
    <w:rsid w:val="009A76B8"/>
    <w:rsid w:val="009A76C1"/>
    <w:rsid w:val="009A7773"/>
    <w:rsid w:val="009A786D"/>
    <w:rsid w:val="009A78CD"/>
    <w:rsid w:val="009A7931"/>
    <w:rsid w:val="009A7A79"/>
    <w:rsid w:val="009A7D94"/>
    <w:rsid w:val="009B02AD"/>
    <w:rsid w:val="009B0403"/>
    <w:rsid w:val="009B053A"/>
    <w:rsid w:val="009B0651"/>
    <w:rsid w:val="009B0689"/>
    <w:rsid w:val="009B0855"/>
    <w:rsid w:val="009B0EE7"/>
    <w:rsid w:val="009B1368"/>
    <w:rsid w:val="009B1387"/>
    <w:rsid w:val="009B13D3"/>
    <w:rsid w:val="009B14E1"/>
    <w:rsid w:val="009B154D"/>
    <w:rsid w:val="009B1598"/>
    <w:rsid w:val="009B175E"/>
    <w:rsid w:val="009B17C1"/>
    <w:rsid w:val="009B19A8"/>
    <w:rsid w:val="009B1AAE"/>
    <w:rsid w:val="009B1CC7"/>
    <w:rsid w:val="009B1D5D"/>
    <w:rsid w:val="009B1D6C"/>
    <w:rsid w:val="009B2090"/>
    <w:rsid w:val="009B24C1"/>
    <w:rsid w:val="009B24D8"/>
    <w:rsid w:val="009B24FA"/>
    <w:rsid w:val="009B2658"/>
    <w:rsid w:val="009B269C"/>
    <w:rsid w:val="009B280C"/>
    <w:rsid w:val="009B2825"/>
    <w:rsid w:val="009B2899"/>
    <w:rsid w:val="009B28E5"/>
    <w:rsid w:val="009B297E"/>
    <w:rsid w:val="009B2996"/>
    <w:rsid w:val="009B2AC9"/>
    <w:rsid w:val="009B2AF4"/>
    <w:rsid w:val="009B2E50"/>
    <w:rsid w:val="009B2F60"/>
    <w:rsid w:val="009B3038"/>
    <w:rsid w:val="009B319D"/>
    <w:rsid w:val="009B3484"/>
    <w:rsid w:val="009B3505"/>
    <w:rsid w:val="009B38A8"/>
    <w:rsid w:val="009B39B0"/>
    <w:rsid w:val="009B3B58"/>
    <w:rsid w:val="009B3B80"/>
    <w:rsid w:val="009B3C55"/>
    <w:rsid w:val="009B3C67"/>
    <w:rsid w:val="009B3CF9"/>
    <w:rsid w:val="009B3DA8"/>
    <w:rsid w:val="009B3DBF"/>
    <w:rsid w:val="009B3E74"/>
    <w:rsid w:val="009B3EC8"/>
    <w:rsid w:val="009B3F25"/>
    <w:rsid w:val="009B41AC"/>
    <w:rsid w:val="009B43A0"/>
    <w:rsid w:val="009B4410"/>
    <w:rsid w:val="009B44A3"/>
    <w:rsid w:val="009B44AD"/>
    <w:rsid w:val="009B459A"/>
    <w:rsid w:val="009B45A1"/>
    <w:rsid w:val="009B4662"/>
    <w:rsid w:val="009B4723"/>
    <w:rsid w:val="009B4B17"/>
    <w:rsid w:val="009B4B7C"/>
    <w:rsid w:val="009B4E18"/>
    <w:rsid w:val="009B4E60"/>
    <w:rsid w:val="009B4EBC"/>
    <w:rsid w:val="009B4F01"/>
    <w:rsid w:val="009B51DB"/>
    <w:rsid w:val="009B572B"/>
    <w:rsid w:val="009B5882"/>
    <w:rsid w:val="009B5A30"/>
    <w:rsid w:val="009B5A51"/>
    <w:rsid w:val="009B5A62"/>
    <w:rsid w:val="009B5B53"/>
    <w:rsid w:val="009B5B58"/>
    <w:rsid w:val="009B5C73"/>
    <w:rsid w:val="009B5D4C"/>
    <w:rsid w:val="009B5E7D"/>
    <w:rsid w:val="009B5FC6"/>
    <w:rsid w:val="009B5FF1"/>
    <w:rsid w:val="009B60CF"/>
    <w:rsid w:val="009B60FD"/>
    <w:rsid w:val="009B62FD"/>
    <w:rsid w:val="009B6371"/>
    <w:rsid w:val="009B6458"/>
    <w:rsid w:val="009B646E"/>
    <w:rsid w:val="009B64D0"/>
    <w:rsid w:val="009B6A73"/>
    <w:rsid w:val="009B6C36"/>
    <w:rsid w:val="009B6CFC"/>
    <w:rsid w:val="009B6D5A"/>
    <w:rsid w:val="009B6DCD"/>
    <w:rsid w:val="009B711F"/>
    <w:rsid w:val="009B75BE"/>
    <w:rsid w:val="009B77E8"/>
    <w:rsid w:val="009B77EE"/>
    <w:rsid w:val="009B7883"/>
    <w:rsid w:val="009B78C9"/>
    <w:rsid w:val="009B7945"/>
    <w:rsid w:val="009B7A2D"/>
    <w:rsid w:val="009B7CE6"/>
    <w:rsid w:val="009B7CF1"/>
    <w:rsid w:val="009B7D5A"/>
    <w:rsid w:val="009B7EF0"/>
    <w:rsid w:val="009C01A5"/>
    <w:rsid w:val="009C01CE"/>
    <w:rsid w:val="009C0325"/>
    <w:rsid w:val="009C0336"/>
    <w:rsid w:val="009C034F"/>
    <w:rsid w:val="009C048C"/>
    <w:rsid w:val="009C055C"/>
    <w:rsid w:val="009C057F"/>
    <w:rsid w:val="009C0866"/>
    <w:rsid w:val="009C0984"/>
    <w:rsid w:val="009C0B3B"/>
    <w:rsid w:val="009C0CC2"/>
    <w:rsid w:val="009C0D51"/>
    <w:rsid w:val="009C0FAE"/>
    <w:rsid w:val="009C0FC9"/>
    <w:rsid w:val="009C10DB"/>
    <w:rsid w:val="009C13B2"/>
    <w:rsid w:val="009C1416"/>
    <w:rsid w:val="009C147D"/>
    <w:rsid w:val="009C15B9"/>
    <w:rsid w:val="009C167D"/>
    <w:rsid w:val="009C16DA"/>
    <w:rsid w:val="009C16EE"/>
    <w:rsid w:val="009C1754"/>
    <w:rsid w:val="009C177D"/>
    <w:rsid w:val="009C17A0"/>
    <w:rsid w:val="009C18B9"/>
    <w:rsid w:val="009C1983"/>
    <w:rsid w:val="009C1C13"/>
    <w:rsid w:val="009C1EB7"/>
    <w:rsid w:val="009C2037"/>
    <w:rsid w:val="009C22AD"/>
    <w:rsid w:val="009C22F2"/>
    <w:rsid w:val="009C249A"/>
    <w:rsid w:val="009C26AD"/>
    <w:rsid w:val="009C2761"/>
    <w:rsid w:val="009C278B"/>
    <w:rsid w:val="009C27EE"/>
    <w:rsid w:val="009C283B"/>
    <w:rsid w:val="009C2E83"/>
    <w:rsid w:val="009C2FF9"/>
    <w:rsid w:val="009C31D7"/>
    <w:rsid w:val="009C33A6"/>
    <w:rsid w:val="009C34C1"/>
    <w:rsid w:val="009C3583"/>
    <w:rsid w:val="009C35EF"/>
    <w:rsid w:val="009C3624"/>
    <w:rsid w:val="009C39CF"/>
    <w:rsid w:val="009C3AA4"/>
    <w:rsid w:val="009C3BBB"/>
    <w:rsid w:val="009C3D27"/>
    <w:rsid w:val="009C3F31"/>
    <w:rsid w:val="009C40B8"/>
    <w:rsid w:val="009C41A6"/>
    <w:rsid w:val="009C41EE"/>
    <w:rsid w:val="009C43A0"/>
    <w:rsid w:val="009C43A1"/>
    <w:rsid w:val="009C4465"/>
    <w:rsid w:val="009C461C"/>
    <w:rsid w:val="009C46BB"/>
    <w:rsid w:val="009C4723"/>
    <w:rsid w:val="009C47AF"/>
    <w:rsid w:val="009C483B"/>
    <w:rsid w:val="009C4AF9"/>
    <w:rsid w:val="009C4B25"/>
    <w:rsid w:val="009C4DD0"/>
    <w:rsid w:val="009C4F51"/>
    <w:rsid w:val="009C500A"/>
    <w:rsid w:val="009C506A"/>
    <w:rsid w:val="009C51BB"/>
    <w:rsid w:val="009C55CE"/>
    <w:rsid w:val="009C5839"/>
    <w:rsid w:val="009C5A21"/>
    <w:rsid w:val="009C5B2A"/>
    <w:rsid w:val="009C5D89"/>
    <w:rsid w:val="009C5DF6"/>
    <w:rsid w:val="009C5E13"/>
    <w:rsid w:val="009C5ECD"/>
    <w:rsid w:val="009C5ED0"/>
    <w:rsid w:val="009C606C"/>
    <w:rsid w:val="009C6139"/>
    <w:rsid w:val="009C6199"/>
    <w:rsid w:val="009C6222"/>
    <w:rsid w:val="009C64F0"/>
    <w:rsid w:val="009C6511"/>
    <w:rsid w:val="009C6546"/>
    <w:rsid w:val="009C658E"/>
    <w:rsid w:val="009C65DD"/>
    <w:rsid w:val="009C6888"/>
    <w:rsid w:val="009C68CB"/>
    <w:rsid w:val="009C6B16"/>
    <w:rsid w:val="009C6DA2"/>
    <w:rsid w:val="009C6F55"/>
    <w:rsid w:val="009C6F69"/>
    <w:rsid w:val="009C7074"/>
    <w:rsid w:val="009C7205"/>
    <w:rsid w:val="009C730C"/>
    <w:rsid w:val="009C7444"/>
    <w:rsid w:val="009C75EE"/>
    <w:rsid w:val="009C77D5"/>
    <w:rsid w:val="009C7910"/>
    <w:rsid w:val="009C7A26"/>
    <w:rsid w:val="009C7A49"/>
    <w:rsid w:val="009C7AF2"/>
    <w:rsid w:val="009C7B64"/>
    <w:rsid w:val="009C7E93"/>
    <w:rsid w:val="009C7FB1"/>
    <w:rsid w:val="009C7FB3"/>
    <w:rsid w:val="009C7FCD"/>
    <w:rsid w:val="009D0199"/>
    <w:rsid w:val="009D0358"/>
    <w:rsid w:val="009D05E3"/>
    <w:rsid w:val="009D0853"/>
    <w:rsid w:val="009D08B0"/>
    <w:rsid w:val="009D0A6D"/>
    <w:rsid w:val="009D0A71"/>
    <w:rsid w:val="009D0CEB"/>
    <w:rsid w:val="009D0D1F"/>
    <w:rsid w:val="009D0D28"/>
    <w:rsid w:val="009D0D99"/>
    <w:rsid w:val="009D1040"/>
    <w:rsid w:val="009D1283"/>
    <w:rsid w:val="009D15C3"/>
    <w:rsid w:val="009D1630"/>
    <w:rsid w:val="009D186F"/>
    <w:rsid w:val="009D189F"/>
    <w:rsid w:val="009D1A8D"/>
    <w:rsid w:val="009D1BC7"/>
    <w:rsid w:val="009D1D44"/>
    <w:rsid w:val="009D1E8D"/>
    <w:rsid w:val="009D1F9C"/>
    <w:rsid w:val="009D215C"/>
    <w:rsid w:val="009D226E"/>
    <w:rsid w:val="009D2292"/>
    <w:rsid w:val="009D24B0"/>
    <w:rsid w:val="009D2539"/>
    <w:rsid w:val="009D273A"/>
    <w:rsid w:val="009D277E"/>
    <w:rsid w:val="009D28E0"/>
    <w:rsid w:val="009D29ED"/>
    <w:rsid w:val="009D2B1E"/>
    <w:rsid w:val="009D2D13"/>
    <w:rsid w:val="009D2D40"/>
    <w:rsid w:val="009D2DF9"/>
    <w:rsid w:val="009D2E28"/>
    <w:rsid w:val="009D2E64"/>
    <w:rsid w:val="009D30E7"/>
    <w:rsid w:val="009D32DB"/>
    <w:rsid w:val="009D3417"/>
    <w:rsid w:val="009D3583"/>
    <w:rsid w:val="009D3610"/>
    <w:rsid w:val="009D375B"/>
    <w:rsid w:val="009D390A"/>
    <w:rsid w:val="009D3B61"/>
    <w:rsid w:val="009D3E53"/>
    <w:rsid w:val="009D4095"/>
    <w:rsid w:val="009D41BD"/>
    <w:rsid w:val="009D43B2"/>
    <w:rsid w:val="009D4537"/>
    <w:rsid w:val="009D4628"/>
    <w:rsid w:val="009D4B0D"/>
    <w:rsid w:val="009D4C60"/>
    <w:rsid w:val="009D4C90"/>
    <w:rsid w:val="009D4DEE"/>
    <w:rsid w:val="009D4E4D"/>
    <w:rsid w:val="009D50AA"/>
    <w:rsid w:val="009D5160"/>
    <w:rsid w:val="009D51D1"/>
    <w:rsid w:val="009D559C"/>
    <w:rsid w:val="009D55FA"/>
    <w:rsid w:val="009D587F"/>
    <w:rsid w:val="009D59AC"/>
    <w:rsid w:val="009D5A7B"/>
    <w:rsid w:val="009D5B21"/>
    <w:rsid w:val="009D5C5D"/>
    <w:rsid w:val="009D5CB7"/>
    <w:rsid w:val="009D5D8B"/>
    <w:rsid w:val="009D5FCD"/>
    <w:rsid w:val="009D60FF"/>
    <w:rsid w:val="009D62B0"/>
    <w:rsid w:val="009D62BB"/>
    <w:rsid w:val="009D63F6"/>
    <w:rsid w:val="009D647B"/>
    <w:rsid w:val="009D6518"/>
    <w:rsid w:val="009D6725"/>
    <w:rsid w:val="009D6B3F"/>
    <w:rsid w:val="009D6B8B"/>
    <w:rsid w:val="009D6C81"/>
    <w:rsid w:val="009D6D9D"/>
    <w:rsid w:val="009D6E4C"/>
    <w:rsid w:val="009D7015"/>
    <w:rsid w:val="009D729B"/>
    <w:rsid w:val="009D7428"/>
    <w:rsid w:val="009D74D5"/>
    <w:rsid w:val="009D7507"/>
    <w:rsid w:val="009D7992"/>
    <w:rsid w:val="009D79E5"/>
    <w:rsid w:val="009D7B4B"/>
    <w:rsid w:val="009D7CB5"/>
    <w:rsid w:val="009D7EE8"/>
    <w:rsid w:val="009E01F2"/>
    <w:rsid w:val="009E0213"/>
    <w:rsid w:val="009E0214"/>
    <w:rsid w:val="009E0479"/>
    <w:rsid w:val="009E0689"/>
    <w:rsid w:val="009E0705"/>
    <w:rsid w:val="009E08BF"/>
    <w:rsid w:val="009E0916"/>
    <w:rsid w:val="009E09EA"/>
    <w:rsid w:val="009E0B58"/>
    <w:rsid w:val="009E0BBF"/>
    <w:rsid w:val="009E0D27"/>
    <w:rsid w:val="009E0E38"/>
    <w:rsid w:val="009E0FE6"/>
    <w:rsid w:val="009E1017"/>
    <w:rsid w:val="009E102A"/>
    <w:rsid w:val="009E1172"/>
    <w:rsid w:val="009E1267"/>
    <w:rsid w:val="009E13BB"/>
    <w:rsid w:val="009E160F"/>
    <w:rsid w:val="009E1738"/>
    <w:rsid w:val="009E174D"/>
    <w:rsid w:val="009E1760"/>
    <w:rsid w:val="009E184D"/>
    <w:rsid w:val="009E19EC"/>
    <w:rsid w:val="009E19FA"/>
    <w:rsid w:val="009E1A07"/>
    <w:rsid w:val="009E1CBA"/>
    <w:rsid w:val="009E1D31"/>
    <w:rsid w:val="009E1F6E"/>
    <w:rsid w:val="009E2045"/>
    <w:rsid w:val="009E2098"/>
    <w:rsid w:val="009E229B"/>
    <w:rsid w:val="009E2482"/>
    <w:rsid w:val="009E2671"/>
    <w:rsid w:val="009E2674"/>
    <w:rsid w:val="009E27B6"/>
    <w:rsid w:val="009E27FE"/>
    <w:rsid w:val="009E28D5"/>
    <w:rsid w:val="009E2941"/>
    <w:rsid w:val="009E2997"/>
    <w:rsid w:val="009E29D3"/>
    <w:rsid w:val="009E2A13"/>
    <w:rsid w:val="009E2C18"/>
    <w:rsid w:val="009E2C32"/>
    <w:rsid w:val="009E2C35"/>
    <w:rsid w:val="009E2CA4"/>
    <w:rsid w:val="009E2ED7"/>
    <w:rsid w:val="009E2EEA"/>
    <w:rsid w:val="009E30FC"/>
    <w:rsid w:val="009E3129"/>
    <w:rsid w:val="009E32B7"/>
    <w:rsid w:val="009E36D2"/>
    <w:rsid w:val="009E3957"/>
    <w:rsid w:val="009E39BA"/>
    <w:rsid w:val="009E3D08"/>
    <w:rsid w:val="009E3D3E"/>
    <w:rsid w:val="009E3F0F"/>
    <w:rsid w:val="009E3FEB"/>
    <w:rsid w:val="009E4056"/>
    <w:rsid w:val="009E4240"/>
    <w:rsid w:val="009E438C"/>
    <w:rsid w:val="009E44CA"/>
    <w:rsid w:val="009E44EC"/>
    <w:rsid w:val="009E473F"/>
    <w:rsid w:val="009E48A4"/>
    <w:rsid w:val="009E48F0"/>
    <w:rsid w:val="009E4978"/>
    <w:rsid w:val="009E4BA0"/>
    <w:rsid w:val="009E51FD"/>
    <w:rsid w:val="009E532B"/>
    <w:rsid w:val="009E5492"/>
    <w:rsid w:val="009E55CE"/>
    <w:rsid w:val="009E55E8"/>
    <w:rsid w:val="009E5747"/>
    <w:rsid w:val="009E5828"/>
    <w:rsid w:val="009E5850"/>
    <w:rsid w:val="009E5854"/>
    <w:rsid w:val="009E58EE"/>
    <w:rsid w:val="009E595E"/>
    <w:rsid w:val="009E5B4D"/>
    <w:rsid w:val="009E5BFD"/>
    <w:rsid w:val="009E5E61"/>
    <w:rsid w:val="009E5EFC"/>
    <w:rsid w:val="009E5FA2"/>
    <w:rsid w:val="009E6042"/>
    <w:rsid w:val="009E610B"/>
    <w:rsid w:val="009E624C"/>
    <w:rsid w:val="009E62CD"/>
    <w:rsid w:val="009E634D"/>
    <w:rsid w:val="009E63B8"/>
    <w:rsid w:val="009E6409"/>
    <w:rsid w:val="009E6463"/>
    <w:rsid w:val="009E64C1"/>
    <w:rsid w:val="009E67A7"/>
    <w:rsid w:val="009E6A6E"/>
    <w:rsid w:val="009E6AC9"/>
    <w:rsid w:val="009E6B93"/>
    <w:rsid w:val="009E6BE6"/>
    <w:rsid w:val="009E6C69"/>
    <w:rsid w:val="009E6F68"/>
    <w:rsid w:val="009E7106"/>
    <w:rsid w:val="009E72E6"/>
    <w:rsid w:val="009E738D"/>
    <w:rsid w:val="009E73D8"/>
    <w:rsid w:val="009E75B5"/>
    <w:rsid w:val="009E7604"/>
    <w:rsid w:val="009E7875"/>
    <w:rsid w:val="009E796B"/>
    <w:rsid w:val="009E7A2A"/>
    <w:rsid w:val="009E7B70"/>
    <w:rsid w:val="009E7B75"/>
    <w:rsid w:val="009E7BB0"/>
    <w:rsid w:val="009E7E05"/>
    <w:rsid w:val="009E7E0D"/>
    <w:rsid w:val="009E7EDB"/>
    <w:rsid w:val="009E7F38"/>
    <w:rsid w:val="009E7F3F"/>
    <w:rsid w:val="009F014D"/>
    <w:rsid w:val="009F0194"/>
    <w:rsid w:val="009F028F"/>
    <w:rsid w:val="009F0309"/>
    <w:rsid w:val="009F057E"/>
    <w:rsid w:val="009F058C"/>
    <w:rsid w:val="009F070E"/>
    <w:rsid w:val="009F0739"/>
    <w:rsid w:val="009F08AC"/>
    <w:rsid w:val="009F0B2D"/>
    <w:rsid w:val="009F0B7D"/>
    <w:rsid w:val="009F0B83"/>
    <w:rsid w:val="009F0C75"/>
    <w:rsid w:val="009F0CC3"/>
    <w:rsid w:val="009F0EEB"/>
    <w:rsid w:val="009F10AE"/>
    <w:rsid w:val="009F10FB"/>
    <w:rsid w:val="009F12B2"/>
    <w:rsid w:val="009F1548"/>
    <w:rsid w:val="009F15C1"/>
    <w:rsid w:val="009F170B"/>
    <w:rsid w:val="009F177C"/>
    <w:rsid w:val="009F18B8"/>
    <w:rsid w:val="009F18FA"/>
    <w:rsid w:val="009F19AE"/>
    <w:rsid w:val="009F1B2B"/>
    <w:rsid w:val="009F1B64"/>
    <w:rsid w:val="009F1BEE"/>
    <w:rsid w:val="009F1C08"/>
    <w:rsid w:val="009F1CEE"/>
    <w:rsid w:val="009F1E0B"/>
    <w:rsid w:val="009F1F4F"/>
    <w:rsid w:val="009F21BD"/>
    <w:rsid w:val="009F25D7"/>
    <w:rsid w:val="009F2630"/>
    <w:rsid w:val="009F27BD"/>
    <w:rsid w:val="009F284F"/>
    <w:rsid w:val="009F297D"/>
    <w:rsid w:val="009F2999"/>
    <w:rsid w:val="009F2A2E"/>
    <w:rsid w:val="009F2B7D"/>
    <w:rsid w:val="009F2BB7"/>
    <w:rsid w:val="009F2DCC"/>
    <w:rsid w:val="009F2E16"/>
    <w:rsid w:val="009F2F1C"/>
    <w:rsid w:val="009F2F53"/>
    <w:rsid w:val="009F3199"/>
    <w:rsid w:val="009F33A6"/>
    <w:rsid w:val="009F33B9"/>
    <w:rsid w:val="009F33E5"/>
    <w:rsid w:val="009F34D9"/>
    <w:rsid w:val="009F3595"/>
    <w:rsid w:val="009F36DB"/>
    <w:rsid w:val="009F3930"/>
    <w:rsid w:val="009F3B07"/>
    <w:rsid w:val="009F3B55"/>
    <w:rsid w:val="009F3BB4"/>
    <w:rsid w:val="009F3C76"/>
    <w:rsid w:val="009F3CC7"/>
    <w:rsid w:val="009F3E60"/>
    <w:rsid w:val="009F40E1"/>
    <w:rsid w:val="009F412E"/>
    <w:rsid w:val="009F4213"/>
    <w:rsid w:val="009F4281"/>
    <w:rsid w:val="009F4593"/>
    <w:rsid w:val="009F4681"/>
    <w:rsid w:val="009F46A6"/>
    <w:rsid w:val="009F4829"/>
    <w:rsid w:val="009F48EF"/>
    <w:rsid w:val="009F4B6B"/>
    <w:rsid w:val="009F4D21"/>
    <w:rsid w:val="009F4DEC"/>
    <w:rsid w:val="009F4E7B"/>
    <w:rsid w:val="009F4F05"/>
    <w:rsid w:val="009F509F"/>
    <w:rsid w:val="009F518D"/>
    <w:rsid w:val="009F51BE"/>
    <w:rsid w:val="009F52B9"/>
    <w:rsid w:val="009F5332"/>
    <w:rsid w:val="009F5356"/>
    <w:rsid w:val="009F54EB"/>
    <w:rsid w:val="009F556F"/>
    <w:rsid w:val="009F55B5"/>
    <w:rsid w:val="009F587E"/>
    <w:rsid w:val="009F5AA5"/>
    <w:rsid w:val="009F5EE5"/>
    <w:rsid w:val="009F630E"/>
    <w:rsid w:val="009F6331"/>
    <w:rsid w:val="009F634C"/>
    <w:rsid w:val="009F6354"/>
    <w:rsid w:val="009F64A1"/>
    <w:rsid w:val="009F64CC"/>
    <w:rsid w:val="009F6534"/>
    <w:rsid w:val="009F6593"/>
    <w:rsid w:val="009F65FF"/>
    <w:rsid w:val="009F660B"/>
    <w:rsid w:val="009F6617"/>
    <w:rsid w:val="009F6ECB"/>
    <w:rsid w:val="009F74B8"/>
    <w:rsid w:val="009F74BC"/>
    <w:rsid w:val="009F7B34"/>
    <w:rsid w:val="009F7B45"/>
    <w:rsid w:val="009F7D53"/>
    <w:rsid w:val="009F7DC7"/>
    <w:rsid w:val="009F7E8D"/>
    <w:rsid w:val="009F7F80"/>
    <w:rsid w:val="00A00181"/>
    <w:rsid w:val="00A001F2"/>
    <w:rsid w:val="00A00265"/>
    <w:rsid w:val="00A0029F"/>
    <w:rsid w:val="00A00397"/>
    <w:rsid w:val="00A004D8"/>
    <w:rsid w:val="00A004E8"/>
    <w:rsid w:val="00A00569"/>
    <w:rsid w:val="00A006CC"/>
    <w:rsid w:val="00A007E0"/>
    <w:rsid w:val="00A0081D"/>
    <w:rsid w:val="00A00A19"/>
    <w:rsid w:val="00A00A4B"/>
    <w:rsid w:val="00A00B4F"/>
    <w:rsid w:val="00A00CFB"/>
    <w:rsid w:val="00A00DCA"/>
    <w:rsid w:val="00A00EBB"/>
    <w:rsid w:val="00A00F0D"/>
    <w:rsid w:val="00A00F85"/>
    <w:rsid w:val="00A00FD9"/>
    <w:rsid w:val="00A00FEA"/>
    <w:rsid w:val="00A0121A"/>
    <w:rsid w:val="00A012D8"/>
    <w:rsid w:val="00A013BD"/>
    <w:rsid w:val="00A0161B"/>
    <w:rsid w:val="00A016B4"/>
    <w:rsid w:val="00A017D9"/>
    <w:rsid w:val="00A01804"/>
    <w:rsid w:val="00A01827"/>
    <w:rsid w:val="00A01B23"/>
    <w:rsid w:val="00A01B57"/>
    <w:rsid w:val="00A01D06"/>
    <w:rsid w:val="00A01F8A"/>
    <w:rsid w:val="00A01FEB"/>
    <w:rsid w:val="00A02200"/>
    <w:rsid w:val="00A02273"/>
    <w:rsid w:val="00A02382"/>
    <w:rsid w:val="00A023EB"/>
    <w:rsid w:val="00A02708"/>
    <w:rsid w:val="00A02740"/>
    <w:rsid w:val="00A0283C"/>
    <w:rsid w:val="00A02848"/>
    <w:rsid w:val="00A028C3"/>
    <w:rsid w:val="00A02ABD"/>
    <w:rsid w:val="00A02C78"/>
    <w:rsid w:val="00A02EAA"/>
    <w:rsid w:val="00A02F0C"/>
    <w:rsid w:val="00A02F15"/>
    <w:rsid w:val="00A02FA3"/>
    <w:rsid w:val="00A02FBF"/>
    <w:rsid w:val="00A0369C"/>
    <w:rsid w:val="00A0375A"/>
    <w:rsid w:val="00A037E8"/>
    <w:rsid w:val="00A0389F"/>
    <w:rsid w:val="00A03AAF"/>
    <w:rsid w:val="00A03CF3"/>
    <w:rsid w:val="00A03DB3"/>
    <w:rsid w:val="00A03E8B"/>
    <w:rsid w:val="00A03FC4"/>
    <w:rsid w:val="00A041EF"/>
    <w:rsid w:val="00A046BC"/>
    <w:rsid w:val="00A046E6"/>
    <w:rsid w:val="00A04782"/>
    <w:rsid w:val="00A04818"/>
    <w:rsid w:val="00A048FE"/>
    <w:rsid w:val="00A04B54"/>
    <w:rsid w:val="00A04CE1"/>
    <w:rsid w:val="00A04E82"/>
    <w:rsid w:val="00A0514E"/>
    <w:rsid w:val="00A0533B"/>
    <w:rsid w:val="00A05478"/>
    <w:rsid w:val="00A05499"/>
    <w:rsid w:val="00A055AC"/>
    <w:rsid w:val="00A05623"/>
    <w:rsid w:val="00A0592B"/>
    <w:rsid w:val="00A05A92"/>
    <w:rsid w:val="00A05B7E"/>
    <w:rsid w:val="00A05BBF"/>
    <w:rsid w:val="00A05D33"/>
    <w:rsid w:val="00A05DA0"/>
    <w:rsid w:val="00A05EFC"/>
    <w:rsid w:val="00A060F5"/>
    <w:rsid w:val="00A0622B"/>
    <w:rsid w:val="00A06240"/>
    <w:rsid w:val="00A063D4"/>
    <w:rsid w:val="00A063D9"/>
    <w:rsid w:val="00A06443"/>
    <w:rsid w:val="00A064C8"/>
    <w:rsid w:val="00A06576"/>
    <w:rsid w:val="00A065D9"/>
    <w:rsid w:val="00A065DB"/>
    <w:rsid w:val="00A065DD"/>
    <w:rsid w:val="00A066AE"/>
    <w:rsid w:val="00A068A7"/>
    <w:rsid w:val="00A068C7"/>
    <w:rsid w:val="00A068EC"/>
    <w:rsid w:val="00A06945"/>
    <w:rsid w:val="00A06976"/>
    <w:rsid w:val="00A06AE0"/>
    <w:rsid w:val="00A06C38"/>
    <w:rsid w:val="00A06CC7"/>
    <w:rsid w:val="00A06F09"/>
    <w:rsid w:val="00A070B7"/>
    <w:rsid w:val="00A072A0"/>
    <w:rsid w:val="00A07459"/>
    <w:rsid w:val="00A07808"/>
    <w:rsid w:val="00A07892"/>
    <w:rsid w:val="00A07A84"/>
    <w:rsid w:val="00A07C83"/>
    <w:rsid w:val="00A07D95"/>
    <w:rsid w:val="00A07F73"/>
    <w:rsid w:val="00A1002E"/>
    <w:rsid w:val="00A1026C"/>
    <w:rsid w:val="00A103EB"/>
    <w:rsid w:val="00A103F5"/>
    <w:rsid w:val="00A10541"/>
    <w:rsid w:val="00A105FE"/>
    <w:rsid w:val="00A10832"/>
    <w:rsid w:val="00A10C5C"/>
    <w:rsid w:val="00A10D6B"/>
    <w:rsid w:val="00A10E21"/>
    <w:rsid w:val="00A10E2A"/>
    <w:rsid w:val="00A11148"/>
    <w:rsid w:val="00A11346"/>
    <w:rsid w:val="00A1142E"/>
    <w:rsid w:val="00A1144E"/>
    <w:rsid w:val="00A1148C"/>
    <w:rsid w:val="00A114B7"/>
    <w:rsid w:val="00A114C3"/>
    <w:rsid w:val="00A1164B"/>
    <w:rsid w:val="00A116ED"/>
    <w:rsid w:val="00A117F4"/>
    <w:rsid w:val="00A1181A"/>
    <w:rsid w:val="00A118F2"/>
    <w:rsid w:val="00A11C15"/>
    <w:rsid w:val="00A11D0F"/>
    <w:rsid w:val="00A11DED"/>
    <w:rsid w:val="00A1241B"/>
    <w:rsid w:val="00A12536"/>
    <w:rsid w:val="00A12735"/>
    <w:rsid w:val="00A127D1"/>
    <w:rsid w:val="00A1281B"/>
    <w:rsid w:val="00A1285B"/>
    <w:rsid w:val="00A1292B"/>
    <w:rsid w:val="00A129D5"/>
    <w:rsid w:val="00A12B22"/>
    <w:rsid w:val="00A12BE9"/>
    <w:rsid w:val="00A12C36"/>
    <w:rsid w:val="00A12D7D"/>
    <w:rsid w:val="00A12DF6"/>
    <w:rsid w:val="00A12EF4"/>
    <w:rsid w:val="00A13013"/>
    <w:rsid w:val="00A1309F"/>
    <w:rsid w:val="00A131B2"/>
    <w:rsid w:val="00A135BA"/>
    <w:rsid w:val="00A135C7"/>
    <w:rsid w:val="00A136FB"/>
    <w:rsid w:val="00A137A2"/>
    <w:rsid w:val="00A1383C"/>
    <w:rsid w:val="00A13875"/>
    <w:rsid w:val="00A13A8D"/>
    <w:rsid w:val="00A13AB6"/>
    <w:rsid w:val="00A13C8E"/>
    <w:rsid w:val="00A13DCC"/>
    <w:rsid w:val="00A13E9D"/>
    <w:rsid w:val="00A1400C"/>
    <w:rsid w:val="00A142BB"/>
    <w:rsid w:val="00A143B9"/>
    <w:rsid w:val="00A143FC"/>
    <w:rsid w:val="00A14477"/>
    <w:rsid w:val="00A14525"/>
    <w:rsid w:val="00A1461A"/>
    <w:rsid w:val="00A148BF"/>
    <w:rsid w:val="00A148C3"/>
    <w:rsid w:val="00A149B5"/>
    <w:rsid w:val="00A14B5F"/>
    <w:rsid w:val="00A15001"/>
    <w:rsid w:val="00A1532A"/>
    <w:rsid w:val="00A153C2"/>
    <w:rsid w:val="00A154E7"/>
    <w:rsid w:val="00A154FE"/>
    <w:rsid w:val="00A15535"/>
    <w:rsid w:val="00A15594"/>
    <w:rsid w:val="00A15685"/>
    <w:rsid w:val="00A1574B"/>
    <w:rsid w:val="00A15775"/>
    <w:rsid w:val="00A157A1"/>
    <w:rsid w:val="00A1582F"/>
    <w:rsid w:val="00A158C8"/>
    <w:rsid w:val="00A15905"/>
    <w:rsid w:val="00A1594A"/>
    <w:rsid w:val="00A159CF"/>
    <w:rsid w:val="00A15A19"/>
    <w:rsid w:val="00A15A29"/>
    <w:rsid w:val="00A15A44"/>
    <w:rsid w:val="00A15A53"/>
    <w:rsid w:val="00A15A77"/>
    <w:rsid w:val="00A15A9F"/>
    <w:rsid w:val="00A15C79"/>
    <w:rsid w:val="00A15D3D"/>
    <w:rsid w:val="00A1613E"/>
    <w:rsid w:val="00A16226"/>
    <w:rsid w:val="00A16328"/>
    <w:rsid w:val="00A163C3"/>
    <w:rsid w:val="00A16957"/>
    <w:rsid w:val="00A16C94"/>
    <w:rsid w:val="00A16CB8"/>
    <w:rsid w:val="00A1724D"/>
    <w:rsid w:val="00A1761F"/>
    <w:rsid w:val="00A1764F"/>
    <w:rsid w:val="00A1772D"/>
    <w:rsid w:val="00A178F5"/>
    <w:rsid w:val="00A17998"/>
    <w:rsid w:val="00A179B7"/>
    <w:rsid w:val="00A17FAB"/>
    <w:rsid w:val="00A20142"/>
    <w:rsid w:val="00A2022C"/>
    <w:rsid w:val="00A2024A"/>
    <w:rsid w:val="00A2025C"/>
    <w:rsid w:val="00A202A5"/>
    <w:rsid w:val="00A203B2"/>
    <w:rsid w:val="00A2042A"/>
    <w:rsid w:val="00A2044F"/>
    <w:rsid w:val="00A20596"/>
    <w:rsid w:val="00A206EA"/>
    <w:rsid w:val="00A20EE6"/>
    <w:rsid w:val="00A2123D"/>
    <w:rsid w:val="00A212BF"/>
    <w:rsid w:val="00A214E8"/>
    <w:rsid w:val="00A21503"/>
    <w:rsid w:val="00A21561"/>
    <w:rsid w:val="00A21595"/>
    <w:rsid w:val="00A21993"/>
    <w:rsid w:val="00A21DBF"/>
    <w:rsid w:val="00A21E4D"/>
    <w:rsid w:val="00A21E6D"/>
    <w:rsid w:val="00A21F9E"/>
    <w:rsid w:val="00A222D4"/>
    <w:rsid w:val="00A223A9"/>
    <w:rsid w:val="00A22442"/>
    <w:rsid w:val="00A22849"/>
    <w:rsid w:val="00A229C7"/>
    <w:rsid w:val="00A22A8A"/>
    <w:rsid w:val="00A22B0B"/>
    <w:rsid w:val="00A22B5F"/>
    <w:rsid w:val="00A22B98"/>
    <w:rsid w:val="00A22BA1"/>
    <w:rsid w:val="00A23320"/>
    <w:rsid w:val="00A234F1"/>
    <w:rsid w:val="00A2356D"/>
    <w:rsid w:val="00A235C4"/>
    <w:rsid w:val="00A2360D"/>
    <w:rsid w:val="00A237AA"/>
    <w:rsid w:val="00A238C4"/>
    <w:rsid w:val="00A23920"/>
    <w:rsid w:val="00A239F1"/>
    <w:rsid w:val="00A23A45"/>
    <w:rsid w:val="00A23A7B"/>
    <w:rsid w:val="00A23B6F"/>
    <w:rsid w:val="00A23C5A"/>
    <w:rsid w:val="00A23CFD"/>
    <w:rsid w:val="00A23CFF"/>
    <w:rsid w:val="00A23DC4"/>
    <w:rsid w:val="00A23DD6"/>
    <w:rsid w:val="00A23E92"/>
    <w:rsid w:val="00A24068"/>
    <w:rsid w:val="00A24082"/>
    <w:rsid w:val="00A24175"/>
    <w:rsid w:val="00A24214"/>
    <w:rsid w:val="00A242DA"/>
    <w:rsid w:val="00A24336"/>
    <w:rsid w:val="00A243FD"/>
    <w:rsid w:val="00A24583"/>
    <w:rsid w:val="00A24A9C"/>
    <w:rsid w:val="00A24AB1"/>
    <w:rsid w:val="00A24E0E"/>
    <w:rsid w:val="00A24E16"/>
    <w:rsid w:val="00A24E8B"/>
    <w:rsid w:val="00A2504D"/>
    <w:rsid w:val="00A253A3"/>
    <w:rsid w:val="00A2567E"/>
    <w:rsid w:val="00A25B08"/>
    <w:rsid w:val="00A25C89"/>
    <w:rsid w:val="00A25E10"/>
    <w:rsid w:val="00A25F40"/>
    <w:rsid w:val="00A261D1"/>
    <w:rsid w:val="00A26362"/>
    <w:rsid w:val="00A263A0"/>
    <w:rsid w:val="00A264F6"/>
    <w:rsid w:val="00A26763"/>
    <w:rsid w:val="00A267FC"/>
    <w:rsid w:val="00A2698E"/>
    <w:rsid w:val="00A26AE3"/>
    <w:rsid w:val="00A26DCE"/>
    <w:rsid w:val="00A270AB"/>
    <w:rsid w:val="00A27212"/>
    <w:rsid w:val="00A274F1"/>
    <w:rsid w:val="00A2759B"/>
    <w:rsid w:val="00A27854"/>
    <w:rsid w:val="00A27E93"/>
    <w:rsid w:val="00A27F79"/>
    <w:rsid w:val="00A30080"/>
    <w:rsid w:val="00A301D9"/>
    <w:rsid w:val="00A301EF"/>
    <w:rsid w:val="00A3026A"/>
    <w:rsid w:val="00A302DD"/>
    <w:rsid w:val="00A3033C"/>
    <w:rsid w:val="00A30362"/>
    <w:rsid w:val="00A303E7"/>
    <w:rsid w:val="00A303FD"/>
    <w:rsid w:val="00A304A4"/>
    <w:rsid w:val="00A30784"/>
    <w:rsid w:val="00A3078F"/>
    <w:rsid w:val="00A30869"/>
    <w:rsid w:val="00A30A83"/>
    <w:rsid w:val="00A30B6B"/>
    <w:rsid w:val="00A30BA4"/>
    <w:rsid w:val="00A30C51"/>
    <w:rsid w:val="00A30FE6"/>
    <w:rsid w:val="00A31103"/>
    <w:rsid w:val="00A31377"/>
    <w:rsid w:val="00A314CA"/>
    <w:rsid w:val="00A314D4"/>
    <w:rsid w:val="00A31715"/>
    <w:rsid w:val="00A318DC"/>
    <w:rsid w:val="00A31AC6"/>
    <w:rsid w:val="00A31EF3"/>
    <w:rsid w:val="00A31FA8"/>
    <w:rsid w:val="00A32006"/>
    <w:rsid w:val="00A32146"/>
    <w:rsid w:val="00A32212"/>
    <w:rsid w:val="00A32389"/>
    <w:rsid w:val="00A32497"/>
    <w:rsid w:val="00A3255E"/>
    <w:rsid w:val="00A3276A"/>
    <w:rsid w:val="00A32955"/>
    <w:rsid w:val="00A32A5E"/>
    <w:rsid w:val="00A32BB1"/>
    <w:rsid w:val="00A32E94"/>
    <w:rsid w:val="00A33530"/>
    <w:rsid w:val="00A33603"/>
    <w:rsid w:val="00A33960"/>
    <w:rsid w:val="00A33D3A"/>
    <w:rsid w:val="00A33E1B"/>
    <w:rsid w:val="00A33EAD"/>
    <w:rsid w:val="00A340BD"/>
    <w:rsid w:val="00A3410E"/>
    <w:rsid w:val="00A34281"/>
    <w:rsid w:val="00A34390"/>
    <w:rsid w:val="00A34421"/>
    <w:rsid w:val="00A344F0"/>
    <w:rsid w:val="00A34805"/>
    <w:rsid w:val="00A348B6"/>
    <w:rsid w:val="00A349FD"/>
    <w:rsid w:val="00A34B65"/>
    <w:rsid w:val="00A34BB5"/>
    <w:rsid w:val="00A3506A"/>
    <w:rsid w:val="00A35092"/>
    <w:rsid w:val="00A350D0"/>
    <w:rsid w:val="00A351D1"/>
    <w:rsid w:val="00A353EA"/>
    <w:rsid w:val="00A354C2"/>
    <w:rsid w:val="00A35681"/>
    <w:rsid w:val="00A35700"/>
    <w:rsid w:val="00A35737"/>
    <w:rsid w:val="00A357B9"/>
    <w:rsid w:val="00A357E9"/>
    <w:rsid w:val="00A35999"/>
    <w:rsid w:val="00A35BB1"/>
    <w:rsid w:val="00A35D0D"/>
    <w:rsid w:val="00A35D33"/>
    <w:rsid w:val="00A36193"/>
    <w:rsid w:val="00A361DC"/>
    <w:rsid w:val="00A363FB"/>
    <w:rsid w:val="00A3642A"/>
    <w:rsid w:val="00A364C6"/>
    <w:rsid w:val="00A364EE"/>
    <w:rsid w:val="00A36687"/>
    <w:rsid w:val="00A368C0"/>
    <w:rsid w:val="00A368C5"/>
    <w:rsid w:val="00A36901"/>
    <w:rsid w:val="00A36BB3"/>
    <w:rsid w:val="00A36CAE"/>
    <w:rsid w:val="00A3703B"/>
    <w:rsid w:val="00A37050"/>
    <w:rsid w:val="00A3721B"/>
    <w:rsid w:val="00A372A7"/>
    <w:rsid w:val="00A37331"/>
    <w:rsid w:val="00A3734E"/>
    <w:rsid w:val="00A373A0"/>
    <w:rsid w:val="00A373E6"/>
    <w:rsid w:val="00A37445"/>
    <w:rsid w:val="00A37608"/>
    <w:rsid w:val="00A37630"/>
    <w:rsid w:val="00A376F9"/>
    <w:rsid w:val="00A3780A"/>
    <w:rsid w:val="00A37889"/>
    <w:rsid w:val="00A379B4"/>
    <w:rsid w:val="00A37A65"/>
    <w:rsid w:val="00A37B62"/>
    <w:rsid w:val="00A37BF0"/>
    <w:rsid w:val="00A37E03"/>
    <w:rsid w:val="00A37E5D"/>
    <w:rsid w:val="00A37EB9"/>
    <w:rsid w:val="00A37F93"/>
    <w:rsid w:val="00A40438"/>
    <w:rsid w:val="00A4044D"/>
    <w:rsid w:val="00A4048C"/>
    <w:rsid w:val="00A404CD"/>
    <w:rsid w:val="00A40595"/>
    <w:rsid w:val="00A406FC"/>
    <w:rsid w:val="00A40837"/>
    <w:rsid w:val="00A40853"/>
    <w:rsid w:val="00A409F7"/>
    <w:rsid w:val="00A40AB6"/>
    <w:rsid w:val="00A40B64"/>
    <w:rsid w:val="00A40EAC"/>
    <w:rsid w:val="00A40F03"/>
    <w:rsid w:val="00A40F30"/>
    <w:rsid w:val="00A40F85"/>
    <w:rsid w:val="00A41011"/>
    <w:rsid w:val="00A41130"/>
    <w:rsid w:val="00A411B6"/>
    <w:rsid w:val="00A4123E"/>
    <w:rsid w:val="00A41240"/>
    <w:rsid w:val="00A4124B"/>
    <w:rsid w:val="00A41407"/>
    <w:rsid w:val="00A41484"/>
    <w:rsid w:val="00A41721"/>
    <w:rsid w:val="00A41869"/>
    <w:rsid w:val="00A4190A"/>
    <w:rsid w:val="00A41C77"/>
    <w:rsid w:val="00A41CEE"/>
    <w:rsid w:val="00A41DA3"/>
    <w:rsid w:val="00A41DA5"/>
    <w:rsid w:val="00A41E0F"/>
    <w:rsid w:val="00A41E6B"/>
    <w:rsid w:val="00A41EC8"/>
    <w:rsid w:val="00A41EE3"/>
    <w:rsid w:val="00A41FDC"/>
    <w:rsid w:val="00A42045"/>
    <w:rsid w:val="00A420B9"/>
    <w:rsid w:val="00A428EC"/>
    <w:rsid w:val="00A4299A"/>
    <w:rsid w:val="00A42BE2"/>
    <w:rsid w:val="00A42D7F"/>
    <w:rsid w:val="00A42F02"/>
    <w:rsid w:val="00A4305E"/>
    <w:rsid w:val="00A431C5"/>
    <w:rsid w:val="00A43330"/>
    <w:rsid w:val="00A43345"/>
    <w:rsid w:val="00A43728"/>
    <w:rsid w:val="00A438B3"/>
    <w:rsid w:val="00A43C15"/>
    <w:rsid w:val="00A43C2C"/>
    <w:rsid w:val="00A43C95"/>
    <w:rsid w:val="00A43D8A"/>
    <w:rsid w:val="00A43DAA"/>
    <w:rsid w:val="00A43E90"/>
    <w:rsid w:val="00A43F67"/>
    <w:rsid w:val="00A44012"/>
    <w:rsid w:val="00A4428B"/>
    <w:rsid w:val="00A443A1"/>
    <w:rsid w:val="00A44450"/>
    <w:rsid w:val="00A444AE"/>
    <w:rsid w:val="00A44512"/>
    <w:rsid w:val="00A448A5"/>
    <w:rsid w:val="00A44984"/>
    <w:rsid w:val="00A449DF"/>
    <w:rsid w:val="00A44A12"/>
    <w:rsid w:val="00A44BDE"/>
    <w:rsid w:val="00A450B8"/>
    <w:rsid w:val="00A45137"/>
    <w:rsid w:val="00A45236"/>
    <w:rsid w:val="00A45329"/>
    <w:rsid w:val="00A454E3"/>
    <w:rsid w:val="00A45617"/>
    <w:rsid w:val="00A45920"/>
    <w:rsid w:val="00A45A8A"/>
    <w:rsid w:val="00A45B3A"/>
    <w:rsid w:val="00A45E4B"/>
    <w:rsid w:val="00A46111"/>
    <w:rsid w:val="00A46191"/>
    <w:rsid w:val="00A46246"/>
    <w:rsid w:val="00A462BC"/>
    <w:rsid w:val="00A46350"/>
    <w:rsid w:val="00A4639A"/>
    <w:rsid w:val="00A46477"/>
    <w:rsid w:val="00A464D6"/>
    <w:rsid w:val="00A4661A"/>
    <w:rsid w:val="00A46708"/>
    <w:rsid w:val="00A4687F"/>
    <w:rsid w:val="00A46967"/>
    <w:rsid w:val="00A46CAE"/>
    <w:rsid w:val="00A46CDF"/>
    <w:rsid w:val="00A46CEA"/>
    <w:rsid w:val="00A46E40"/>
    <w:rsid w:val="00A46F5F"/>
    <w:rsid w:val="00A46FB4"/>
    <w:rsid w:val="00A4728D"/>
    <w:rsid w:val="00A4783F"/>
    <w:rsid w:val="00A479C6"/>
    <w:rsid w:val="00A47AAA"/>
    <w:rsid w:val="00A47C03"/>
    <w:rsid w:val="00A47D82"/>
    <w:rsid w:val="00A47FBE"/>
    <w:rsid w:val="00A503B1"/>
    <w:rsid w:val="00A503B6"/>
    <w:rsid w:val="00A503C0"/>
    <w:rsid w:val="00A50513"/>
    <w:rsid w:val="00A50914"/>
    <w:rsid w:val="00A50992"/>
    <w:rsid w:val="00A50ACC"/>
    <w:rsid w:val="00A50DB2"/>
    <w:rsid w:val="00A50E12"/>
    <w:rsid w:val="00A510A2"/>
    <w:rsid w:val="00A51121"/>
    <w:rsid w:val="00A5126D"/>
    <w:rsid w:val="00A51355"/>
    <w:rsid w:val="00A514D4"/>
    <w:rsid w:val="00A51574"/>
    <w:rsid w:val="00A51784"/>
    <w:rsid w:val="00A517B8"/>
    <w:rsid w:val="00A517C0"/>
    <w:rsid w:val="00A51858"/>
    <w:rsid w:val="00A51967"/>
    <w:rsid w:val="00A5197D"/>
    <w:rsid w:val="00A51A83"/>
    <w:rsid w:val="00A51A99"/>
    <w:rsid w:val="00A51AD5"/>
    <w:rsid w:val="00A51B04"/>
    <w:rsid w:val="00A51B42"/>
    <w:rsid w:val="00A51B5E"/>
    <w:rsid w:val="00A51B74"/>
    <w:rsid w:val="00A51BA1"/>
    <w:rsid w:val="00A51D0A"/>
    <w:rsid w:val="00A51E8B"/>
    <w:rsid w:val="00A51EB1"/>
    <w:rsid w:val="00A51EE7"/>
    <w:rsid w:val="00A51F4E"/>
    <w:rsid w:val="00A51FD2"/>
    <w:rsid w:val="00A52071"/>
    <w:rsid w:val="00A520DA"/>
    <w:rsid w:val="00A520FE"/>
    <w:rsid w:val="00A521AD"/>
    <w:rsid w:val="00A52528"/>
    <w:rsid w:val="00A52584"/>
    <w:rsid w:val="00A5264F"/>
    <w:rsid w:val="00A52697"/>
    <w:rsid w:val="00A5288D"/>
    <w:rsid w:val="00A52957"/>
    <w:rsid w:val="00A52987"/>
    <w:rsid w:val="00A529E5"/>
    <w:rsid w:val="00A52B2C"/>
    <w:rsid w:val="00A52B46"/>
    <w:rsid w:val="00A52CCA"/>
    <w:rsid w:val="00A52D23"/>
    <w:rsid w:val="00A52DEE"/>
    <w:rsid w:val="00A52EBC"/>
    <w:rsid w:val="00A53164"/>
    <w:rsid w:val="00A5319C"/>
    <w:rsid w:val="00A53252"/>
    <w:rsid w:val="00A533CA"/>
    <w:rsid w:val="00A53491"/>
    <w:rsid w:val="00A537A2"/>
    <w:rsid w:val="00A539F3"/>
    <w:rsid w:val="00A53A9C"/>
    <w:rsid w:val="00A53E57"/>
    <w:rsid w:val="00A54069"/>
    <w:rsid w:val="00A54139"/>
    <w:rsid w:val="00A54437"/>
    <w:rsid w:val="00A544E1"/>
    <w:rsid w:val="00A54549"/>
    <w:rsid w:val="00A546FA"/>
    <w:rsid w:val="00A54781"/>
    <w:rsid w:val="00A547A5"/>
    <w:rsid w:val="00A5491B"/>
    <w:rsid w:val="00A54A7A"/>
    <w:rsid w:val="00A54C8B"/>
    <w:rsid w:val="00A54CF0"/>
    <w:rsid w:val="00A55166"/>
    <w:rsid w:val="00A5539D"/>
    <w:rsid w:val="00A553DD"/>
    <w:rsid w:val="00A55589"/>
    <w:rsid w:val="00A55638"/>
    <w:rsid w:val="00A55853"/>
    <w:rsid w:val="00A5585A"/>
    <w:rsid w:val="00A55AE8"/>
    <w:rsid w:val="00A55B2B"/>
    <w:rsid w:val="00A55B42"/>
    <w:rsid w:val="00A55BA3"/>
    <w:rsid w:val="00A562FA"/>
    <w:rsid w:val="00A563D8"/>
    <w:rsid w:val="00A56541"/>
    <w:rsid w:val="00A565C0"/>
    <w:rsid w:val="00A56608"/>
    <w:rsid w:val="00A568EA"/>
    <w:rsid w:val="00A5695C"/>
    <w:rsid w:val="00A569B7"/>
    <w:rsid w:val="00A569C6"/>
    <w:rsid w:val="00A569EC"/>
    <w:rsid w:val="00A56AEE"/>
    <w:rsid w:val="00A56B93"/>
    <w:rsid w:val="00A56BE7"/>
    <w:rsid w:val="00A56C23"/>
    <w:rsid w:val="00A56E2F"/>
    <w:rsid w:val="00A56F15"/>
    <w:rsid w:val="00A57063"/>
    <w:rsid w:val="00A5717B"/>
    <w:rsid w:val="00A571D4"/>
    <w:rsid w:val="00A573D7"/>
    <w:rsid w:val="00A5764D"/>
    <w:rsid w:val="00A5777C"/>
    <w:rsid w:val="00A577C7"/>
    <w:rsid w:val="00A577CC"/>
    <w:rsid w:val="00A578D1"/>
    <w:rsid w:val="00A57A60"/>
    <w:rsid w:val="00A57B2E"/>
    <w:rsid w:val="00A57B4B"/>
    <w:rsid w:val="00A57BA2"/>
    <w:rsid w:val="00A57BA4"/>
    <w:rsid w:val="00A57D5A"/>
    <w:rsid w:val="00A57D64"/>
    <w:rsid w:val="00A57DAD"/>
    <w:rsid w:val="00A57DE0"/>
    <w:rsid w:val="00A57F7A"/>
    <w:rsid w:val="00A601E7"/>
    <w:rsid w:val="00A60645"/>
    <w:rsid w:val="00A60762"/>
    <w:rsid w:val="00A60891"/>
    <w:rsid w:val="00A608C9"/>
    <w:rsid w:val="00A60921"/>
    <w:rsid w:val="00A60B3D"/>
    <w:rsid w:val="00A60B6E"/>
    <w:rsid w:val="00A60B72"/>
    <w:rsid w:val="00A60F1F"/>
    <w:rsid w:val="00A61071"/>
    <w:rsid w:val="00A612E1"/>
    <w:rsid w:val="00A6132E"/>
    <w:rsid w:val="00A613CC"/>
    <w:rsid w:val="00A6149C"/>
    <w:rsid w:val="00A61532"/>
    <w:rsid w:val="00A6154A"/>
    <w:rsid w:val="00A615B2"/>
    <w:rsid w:val="00A61759"/>
    <w:rsid w:val="00A61821"/>
    <w:rsid w:val="00A6192D"/>
    <w:rsid w:val="00A61A45"/>
    <w:rsid w:val="00A61AFE"/>
    <w:rsid w:val="00A61BD0"/>
    <w:rsid w:val="00A61C17"/>
    <w:rsid w:val="00A61C56"/>
    <w:rsid w:val="00A61CB7"/>
    <w:rsid w:val="00A61CE8"/>
    <w:rsid w:val="00A61D6B"/>
    <w:rsid w:val="00A61E41"/>
    <w:rsid w:val="00A61F1A"/>
    <w:rsid w:val="00A6218A"/>
    <w:rsid w:val="00A62746"/>
    <w:rsid w:val="00A62898"/>
    <w:rsid w:val="00A628AA"/>
    <w:rsid w:val="00A6290A"/>
    <w:rsid w:val="00A62976"/>
    <w:rsid w:val="00A62994"/>
    <w:rsid w:val="00A629A3"/>
    <w:rsid w:val="00A62AEF"/>
    <w:rsid w:val="00A62B3D"/>
    <w:rsid w:val="00A62B9A"/>
    <w:rsid w:val="00A62E88"/>
    <w:rsid w:val="00A630EE"/>
    <w:rsid w:val="00A6340A"/>
    <w:rsid w:val="00A634DF"/>
    <w:rsid w:val="00A6359A"/>
    <w:rsid w:val="00A635E5"/>
    <w:rsid w:val="00A63AFE"/>
    <w:rsid w:val="00A63D95"/>
    <w:rsid w:val="00A63F10"/>
    <w:rsid w:val="00A6414D"/>
    <w:rsid w:val="00A6439E"/>
    <w:rsid w:val="00A64427"/>
    <w:rsid w:val="00A64439"/>
    <w:rsid w:val="00A645B9"/>
    <w:rsid w:val="00A64661"/>
    <w:rsid w:val="00A64668"/>
    <w:rsid w:val="00A6468E"/>
    <w:rsid w:val="00A647FC"/>
    <w:rsid w:val="00A6488F"/>
    <w:rsid w:val="00A64C01"/>
    <w:rsid w:val="00A64D7C"/>
    <w:rsid w:val="00A64D9C"/>
    <w:rsid w:val="00A64DCF"/>
    <w:rsid w:val="00A64DE9"/>
    <w:rsid w:val="00A64EBC"/>
    <w:rsid w:val="00A64FF5"/>
    <w:rsid w:val="00A651D6"/>
    <w:rsid w:val="00A65375"/>
    <w:rsid w:val="00A653B3"/>
    <w:rsid w:val="00A65547"/>
    <w:rsid w:val="00A65743"/>
    <w:rsid w:val="00A658DF"/>
    <w:rsid w:val="00A658F1"/>
    <w:rsid w:val="00A65902"/>
    <w:rsid w:val="00A65929"/>
    <w:rsid w:val="00A65E08"/>
    <w:rsid w:val="00A65E55"/>
    <w:rsid w:val="00A65F58"/>
    <w:rsid w:val="00A66128"/>
    <w:rsid w:val="00A661E1"/>
    <w:rsid w:val="00A66339"/>
    <w:rsid w:val="00A66374"/>
    <w:rsid w:val="00A663A1"/>
    <w:rsid w:val="00A664D6"/>
    <w:rsid w:val="00A666AB"/>
    <w:rsid w:val="00A666C1"/>
    <w:rsid w:val="00A668F1"/>
    <w:rsid w:val="00A66A6C"/>
    <w:rsid w:val="00A66AA9"/>
    <w:rsid w:val="00A66B2E"/>
    <w:rsid w:val="00A66BD2"/>
    <w:rsid w:val="00A66C11"/>
    <w:rsid w:val="00A66D1D"/>
    <w:rsid w:val="00A66D6D"/>
    <w:rsid w:val="00A66D74"/>
    <w:rsid w:val="00A67078"/>
    <w:rsid w:val="00A670BB"/>
    <w:rsid w:val="00A670D4"/>
    <w:rsid w:val="00A67273"/>
    <w:rsid w:val="00A6738D"/>
    <w:rsid w:val="00A674BA"/>
    <w:rsid w:val="00A6757A"/>
    <w:rsid w:val="00A67689"/>
    <w:rsid w:val="00A677A0"/>
    <w:rsid w:val="00A677BA"/>
    <w:rsid w:val="00A67836"/>
    <w:rsid w:val="00A67ECE"/>
    <w:rsid w:val="00A67F0B"/>
    <w:rsid w:val="00A67F9F"/>
    <w:rsid w:val="00A67FE2"/>
    <w:rsid w:val="00A70033"/>
    <w:rsid w:val="00A7020E"/>
    <w:rsid w:val="00A703A1"/>
    <w:rsid w:val="00A706C0"/>
    <w:rsid w:val="00A70761"/>
    <w:rsid w:val="00A70A70"/>
    <w:rsid w:val="00A70BCF"/>
    <w:rsid w:val="00A70E06"/>
    <w:rsid w:val="00A70F6A"/>
    <w:rsid w:val="00A7106C"/>
    <w:rsid w:val="00A71117"/>
    <w:rsid w:val="00A7120E"/>
    <w:rsid w:val="00A713BE"/>
    <w:rsid w:val="00A714C8"/>
    <w:rsid w:val="00A71649"/>
    <w:rsid w:val="00A7168E"/>
    <w:rsid w:val="00A71770"/>
    <w:rsid w:val="00A7182D"/>
    <w:rsid w:val="00A7191D"/>
    <w:rsid w:val="00A71B7D"/>
    <w:rsid w:val="00A71DCC"/>
    <w:rsid w:val="00A71E57"/>
    <w:rsid w:val="00A71EAB"/>
    <w:rsid w:val="00A71F13"/>
    <w:rsid w:val="00A71F79"/>
    <w:rsid w:val="00A71FF4"/>
    <w:rsid w:val="00A7240C"/>
    <w:rsid w:val="00A7258D"/>
    <w:rsid w:val="00A72AD5"/>
    <w:rsid w:val="00A72BCE"/>
    <w:rsid w:val="00A72F67"/>
    <w:rsid w:val="00A731A6"/>
    <w:rsid w:val="00A731E0"/>
    <w:rsid w:val="00A7336A"/>
    <w:rsid w:val="00A733FC"/>
    <w:rsid w:val="00A7348B"/>
    <w:rsid w:val="00A73566"/>
    <w:rsid w:val="00A738D2"/>
    <w:rsid w:val="00A738E6"/>
    <w:rsid w:val="00A73A27"/>
    <w:rsid w:val="00A73BA3"/>
    <w:rsid w:val="00A73CD7"/>
    <w:rsid w:val="00A73D3E"/>
    <w:rsid w:val="00A73E75"/>
    <w:rsid w:val="00A73EA5"/>
    <w:rsid w:val="00A73EF2"/>
    <w:rsid w:val="00A73FA1"/>
    <w:rsid w:val="00A73FCB"/>
    <w:rsid w:val="00A74446"/>
    <w:rsid w:val="00A748C5"/>
    <w:rsid w:val="00A74D26"/>
    <w:rsid w:val="00A74FC2"/>
    <w:rsid w:val="00A75084"/>
    <w:rsid w:val="00A75110"/>
    <w:rsid w:val="00A7520F"/>
    <w:rsid w:val="00A752CA"/>
    <w:rsid w:val="00A7538D"/>
    <w:rsid w:val="00A7557A"/>
    <w:rsid w:val="00A755CD"/>
    <w:rsid w:val="00A7593A"/>
    <w:rsid w:val="00A75989"/>
    <w:rsid w:val="00A75A91"/>
    <w:rsid w:val="00A75ACA"/>
    <w:rsid w:val="00A75C2D"/>
    <w:rsid w:val="00A75CCB"/>
    <w:rsid w:val="00A75D8F"/>
    <w:rsid w:val="00A75F69"/>
    <w:rsid w:val="00A75F87"/>
    <w:rsid w:val="00A76055"/>
    <w:rsid w:val="00A76189"/>
    <w:rsid w:val="00A7638E"/>
    <w:rsid w:val="00A763A7"/>
    <w:rsid w:val="00A7651D"/>
    <w:rsid w:val="00A76598"/>
    <w:rsid w:val="00A7667B"/>
    <w:rsid w:val="00A7671E"/>
    <w:rsid w:val="00A7675C"/>
    <w:rsid w:val="00A7693A"/>
    <w:rsid w:val="00A76A53"/>
    <w:rsid w:val="00A76B88"/>
    <w:rsid w:val="00A76BD7"/>
    <w:rsid w:val="00A76C09"/>
    <w:rsid w:val="00A76C52"/>
    <w:rsid w:val="00A76C7F"/>
    <w:rsid w:val="00A76DA8"/>
    <w:rsid w:val="00A76DAC"/>
    <w:rsid w:val="00A76FBA"/>
    <w:rsid w:val="00A770EA"/>
    <w:rsid w:val="00A77178"/>
    <w:rsid w:val="00A7740F"/>
    <w:rsid w:val="00A77411"/>
    <w:rsid w:val="00A77493"/>
    <w:rsid w:val="00A774B3"/>
    <w:rsid w:val="00A7771A"/>
    <w:rsid w:val="00A777A8"/>
    <w:rsid w:val="00A77DA0"/>
    <w:rsid w:val="00A77DC8"/>
    <w:rsid w:val="00A80294"/>
    <w:rsid w:val="00A80436"/>
    <w:rsid w:val="00A804FF"/>
    <w:rsid w:val="00A80501"/>
    <w:rsid w:val="00A805FC"/>
    <w:rsid w:val="00A80635"/>
    <w:rsid w:val="00A807A1"/>
    <w:rsid w:val="00A80830"/>
    <w:rsid w:val="00A8089D"/>
    <w:rsid w:val="00A8091E"/>
    <w:rsid w:val="00A80A6B"/>
    <w:rsid w:val="00A80ADE"/>
    <w:rsid w:val="00A80C28"/>
    <w:rsid w:val="00A80C62"/>
    <w:rsid w:val="00A80CBC"/>
    <w:rsid w:val="00A80E94"/>
    <w:rsid w:val="00A81196"/>
    <w:rsid w:val="00A811A4"/>
    <w:rsid w:val="00A812AD"/>
    <w:rsid w:val="00A812B3"/>
    <w:rsid w:val="00A813A7"/>
    <w:rsid w:val="00A81523"/>
    <w:rsid w:val="00A81581"/>
    <w:rsid w:val="00A8163F"/>
    <w:rsid w:val="00A81660"/>
    <w:rsid w:val="00A81747"/>
    <w:rsid w:val="00A817CC"/>
    <w:rsid w:val="00A81A91"/>
    <w:rsid w:val="00A81ADA"/>
    <w:rsid w:val="00A81BD1"/>
    <w:rsid w:val="00A81C44"/>
    <w:rsid w:val="00A81CB0"/>
    <w:rsid w:val="00A81D8A"/>
    <w:rsid w:val="00A81F47"/>
    <w:rsid w:val="00A82165"/>
    <w:rsid w:val="00A824FB"/>
    <w:rsid w:val="00A825AC"/>
    <w:rsid w:val="00A82668"/>
    <w:rsid w:val="00A8272F"/>
    <w:rsid w:val="00A82748"/>
    <w:rsid w:val="00A828B3"/>
    <w:rsid w:val="00A82951"/>
    <w:rsid w:val="00A8295B"/>
    <w:rsid w:val="00A829D1"/>
    <w:rsid w:val="00A82BA8"/>
    <w:rsid w:val="00A82BC3"/>
    <w:rsid w:val="00A82DAD"/>
    <w:rsid w:val="00A82DC0"/>
    <w:rsid w:val="00A82DDA"/>
    <w:rsid w:val="00A82EC8"/>
    <w:rsid w:val="00A82F48"/>
    <w:rsid w:val="00A82F8A"/>
    <w:rsid w:val="00A8318F"/>
    <w:rsid w:val="00A832C7"/>
    <w:rsid w:val="00A8346F"/>
    <w:rsid w:val="00A83472"/>
    <w:rsid w:val="00A834D3"/>
    <w:rsid w:val="00A83531"/>
    <w:rsid w:val="00A83734"/>
    <w:rsid w:val="00A8393B"/>
    <w:rsid w:val="00A83C23"/>
    <w:rsid w:val="00A83C36"/>
    <w:rsid w:val="00A84055"/>
    <w:rsid w:val="00A8413C"/>
    <w:rsid w:val="00A842A1"/>
    <w:rsid w:val="00A846D5"/>
    <w:rsid w:val="00A84714"/>
    <w:rsid w:val="00A84880"/>
    <w:rsid w:val="00A84892"/>
    <w:rsid w:val="00A8495D"/>
    <w:rsid w:val="00A849D9"/>
    <w:rsid w:val="00A84A5D"/>
    <w:rsid w:val="00A84B0E"/>
    <w:rsid w:val="00A84B42"/>
    <w:rsid w:val="00A84EF9"/>
    <w:rsid w:val="00A850EE"/>
    <w:rsid w:val="00A85558"/>
    <w:rsid w:val="00A856B9"/>
    <w:rsid w:val="00A857F5"/>
    <w:rsid w:val="00A85BA5"/>
    <w:rsid w:val="00A85C01"/>
    <w:rsid w:val="00A85FF3"/>
    <w:rsid w:val="00A860D9"/>
    <w:rsid w:val="00A8624A"/>
    <w:rsid w:val="00A86264"/>
    <w:rsid w:val="00A8627E"/>
    <w:rsid w:val="00A86325"/>
    <w:rsid w:val="00A864EE"/>
    <w:rsid w:val="00A864FB"/>
    <w:rsid w:val="00A865E2"/>
    <w:rsid w:val="00A868F9"/>
    <w:rsid w:val="00A869F9"/>
    <w:rsid w:val="00A86AC1"/>
    <w:rsid w:val="00A86B6E"/>
    <w:rsid w:val="00A86B81"/>
    <w:rsid w:val="00A86E2F"/>
    <w:rsid w:val="00A86F76"/>
    <w:rsid w:val="00A874E0"/>
    <w:rsid w:val="00A87525"/>
    <w:rsid w:val="00A875EA"/>
    <w:rsid w:val="00A87637"/>
    <w:rsid w:val="00A8769E"/>
    <w:rsid w:val="00A876EF"/>
    <w:rsid w:val="00A8773D"/>
    <w:rsid w:val="00A87A49"/>
    <w:rsid w:val="00A87C8A"/>
    <w:rsid w:val="00A87F27"/>
    <w:rsid w:val="00A9021E"/>
    <w:rsid w:val="00A9039E"/>
    <w:rsid w:val="00A9040A"/>
    <w:rsid w:val="00A90424"/>
    <w:rsid w:val="00A904CD"/>
    <w:rsid w:val="00A905FB"/>
    <w:rsid w:val="00A906D7"/>
    <w:rsid w:val="00A90833"/>
    <w:rsid w:val="00A90925"/>
    <w:rsid w:val="00A909BA"/>
    <w:rsid w:val="00A909BD"/>
    <w:rsid w:val="00A90A2C"/>
    <w:rsid w:val="00A90F50"/>
    <w:rsid w:val="00A90F9D"/>
    <w:rsid w:val="00A91091"/>
    <w:rsid w:val="00A91299"/>
    <w:rsid w:val="00A912D7"/>
    <w:rsid w:val="00A91445"/>
    <w:rsid w:val="00A914BB"/>
    <w:rsid w:val="00A915FA"/>
    <w:rsid w:val="00A9162F"/>
    <w:rsid w:val="00A9164C"/>
    <w:rsid w:val="00A91664"/>
    <w:rsid w:val="00A91697"/>
    <w:rsid w:val="00A9187D"/>
    <w:rsid w:val="00A91A33"/>
    <w:rsid w:val="00A91AF5"/>
    <w:rsid w:val="00A91BAA"/>
    <w:rsid w:val="00A91E05"/>
    <w:rsid w:val="00A91FC3"/>
    <w:rsid w:val="00A92204"/>
    <w:rsid w:val="00A92357"/>
    <w:rsid w:val="00A923CD"/>
    <w:rsid w:val="00A9241A"/>
    <w:rsid w:val="00A92789"/>
    <w:rsid w:val="00A927F2"/>
    <w:rsid w:val="00A9282C"/>
    <w:rsid w:val="00A928A4"/>
    <w:rsid w:val="00A928A6"/>
    <w:rsid w:val="00A92B17"/>
    <w:rsid w:val="00A92BCB"/>
    <w:rsid w:val="00A92F3F"/>
    <w:rsid w:val="00A92FA6"/>
    <w:rsid w:val="00A92FFA"/>
    <w:rsid w:val="00A93126"/>
    <w:rsid w:val="00A935ED"/>
    <w:rsid w:val="00A93880"/>
    <w:rsid w:val="00A93921"/>
    <w:rsid w:val="00A9399A"/>
    <w:rsid w:val="00A939E3"/>
    <w:rsid w:val="00A93CC9"/>
    <w:rsid w:val="00A93D3C"/>
    <w:rsid w:val="00A93D6B"/>
    <w:rsid w:val="00A93D77"/>
    <w:rsid w:val="00A93F35"/>
    <w:rsid w:val="00A93F5A"/>
    <w:rsid w:val="00A9407F"/>
    <w:rsid w:val="00A940D2"/>
    <w:rsid w:val="00A941D3"/>
    <w:rsid w:val="00A94350"/>
    <w:rsid w:val="00A94A01"/>
    <w:rsid w:val="00A94B9B"/>
    <w:rsid w:val="00A94CE5"/>
    <w:rsid w:val="00A94E13"/>
    <w:rsid w:val="00A94F9E"/>
    <w:rsid w:val="00A9502D"/>
    <w:rsid w:val="00A9503D"/>
    <w:rsid w:val="00A95107"/>
    <w:rsid w:val="00A95188"/>
    <w:rsid w:val="00A95283"/>
    <w:rsid w:val="00A95288"/>
    <w:rsid w:val="00A952CA"/>
    <w:rsid w:val="00A95691"/>
    <w:rsid w:val="00A95726"/>
    <w:rsid w:val="00A95763"/>
    <w:rsid w:val="00A957B6"/>
    <w:rsid w:val="00A957CF"/>
    <w:rsid w:val="00A95846"/>
    <w:rsid w:val="00A95A6C"/>
    <w:rsid w:val="00A95B8D"/>
    <w:rsid w:val="00A95B90"/>
    <w:rsid w:val="00A95CEB"/>
    <w:rsid w:val="00A95E8E"/>
    <w:rsid w:val="00A960FE"/>
    <w:rsid w:val="00A96263"/>
    <w:rsid w:val="00A9628A"/>
    <w:rsid w:val="00A965C9"/>
    <w:rsid w:val="00A965E9"/>
    <w:rsid w:val="00A966CE"/>
    <w:rsid w:val="00A96825"/>
    <w:rsid w:val="00A968A6"/>
    <w:rsid w:val="00A968DF"/>
    <w:rsid w:val="00A96D6B"/>
    <w:rsid w:val="00A970F3"/>
    <w:rsid w:val="00A9711A"/>
    <w:rsid w:val="00A97146"/>
    <w:rsid w:val="00A9715A"/>
    <w:rsid w:val="00A97302"/>
    <w:rsid w:val="00A973D4"/>
    <w:rsid w:val="00A9742E"/>
    <w:rsid w:val="00A97440"/>
    <w:rsid w:val="00A97560"/>
    <w:rsid w:val="00A977F1"/>
    <w:rsid w:val="00A97944"/>
    <w:rsid w:val="00A979AD"/>
    <w:rsid w:val="00A97E2A"/>
    <w:rsid w:val="00A97E58"/>
    <w:rsid w:val="00A97FE6"/>
    <w:rsid w:val="00AA0013"/>
    <w:rsid w:val="00AA00FD"/>
    <w:rsid w:val="00AA0155"/>
    <w:rsid w:val="00AA01F5"/>
    <w:rsid w:val="00AA0404"/>
    <w:rsid w:val="00AA056D"/>
    <w:rsid w:val="00AA0583"/>
    <w:rsid w:val="00AA077F"/>
    <w:rsid w:val="00AA0932"/>
    <w:rsid w:val="00AA0A23"/>
    <w:rsid w:val="00AA0CDE"/>
    <w:rsid w:val="00AA0D00"/>
    <w:rsid w:val="00AA0D0C"/>
    <w:rsid w:val="00AA0DCD"/>
    <w:rsid w:val="00AA0DDB"/>
    <w:rsid w:val="00AA0EA6"/>
    <w:rsid w:val="00AA1018"/>
    <w:rsid w:val="00AA11A7"/>
    <w:rsid w:val="00AA12DD"/>
    <w:rsid w:val="00AA131A"/>
    <w:rsid w:val="00AA14F9"/>
    <w:rsid w:val="00AA1541"/>
    <w:rsid w:val="00AA1658"/>
    <w:rsid w:val="00AA166A"/>
    <w:rsid w:val="00AA166F"/>
    <w:rsid w:val="00AA16C8"/>
    <w:rsid w:val="00AA16F5"/>
    <w:rsid w:val="00AA172E"/>
    <w:rsid w:val="00AA1780"/>
    <w:rsid w:val="00AA189D"/>
    <w:rsid w:val="00AA1ACA"/>
    <w:rsid w:val="00AA1D9B"/>
    <w:rsid w:val="00AA20AA"/>
    <w:rsid w:val="00AA23D0"/>
    <w:rsid w:val="00AA256C"/>
    <w:rsid w:val="00AA2602"/>
    <w:rsid w:val="00AA286F"/>
    <w:rsid w:val="00AA289A"/>
    <w:rsid w:val="00AA2942"/>
    <w:rsid w:val="00AA29BE"/>
    <w:rsid w:val="00AA2A82"/>
    <w:rsid w:val="00AA2AB2"/>
    <w:rsid w:val="00AA2B89"/>
    <w:rsid w:val="00AA2BCF"/>
    <w:rsid w:val="00AA2D7F"/>
    <w:rsid w:val="00AA2F0A"/>
    <w:rsid w:val="00AA2F71"/>
    <w:rsid w:val="00AA3412"/>
    <w:rsid w:val="00AA34BC"/>
    <w:rsid w:val="00AA34CA"/>
    <w:rsid w:val="00AA35CD"/>
    <w:rsid w:val="00AA35CE"/>
    <w:rsid w:val="00AA365A"/>
    <w:rsid w:val="00AA3803"/>
    <w:rsid w:val="00AA386F"/>
    <w:rsid w:val="00AA3985"/>
    <w:rsid w:val="00AA39F2"/>
    <w:rsid w:val="00AA3A75"/>
    <w:rsid w:val="00AA3BE5"/>
    <w:rsid w:val="00AA4051"/>
    <w:rsid w:val="00AA4089"/>
    <w:rsid w:val="00AA4155"/>
    <w:rsid w:val="00AA42D7"/>
    <w:rsid w:val="00AA430B"/>
    <w:rsid w:val="00AA44D5"/>
    <w:rsid w:val="00AA467C"/>
    <w:rsid w:val="00AA4991"/>
    <w:rsid w:val="00AA4A6C"/>
    <w:rsid w:val="00AA4AAB"/>
    <w:rsid w:val="00AA4E2E"/>
    <w:rsid w:val="00AA4EF6"/>
    <w:rsid w:val="00AA4EF9"/>
    <w:rsid w:val="00AA509A"/>
    <w:rsid w:val="00AA539F"/>
    <w:rsid w:val="00AA5669"/>
    <w:rsid w:val="00AA56F3"/>
    <w:rsid w:val="00AA57C6"/>
    <w:rsid w:val="00AA5914"/>
    <w:rsid w:val="00AA5A07"/>
    <w:rsid w:val="00AA5E3C"/>
    <w:rsid w:val="00AA5F47"/>
    <w:rsid w:val="00AA609D"/>
    <w:rsid w:val="00AA619D"/>
    <w:rsid w:val="00AA6325"/>
    <w:rsid w:val="00AA6435"/>
    <w:rsid w:val="00AA6447"/>
    <w:rsid w:val="00AA65F8"/>
    <w:rsid w:val="00AA6ABB"/>
    <w:rsid w:val="00AA6B3E"/>
    <w:rsid w:val="00AA6B82"/>
    <w:rsid w:val="00AA6C9A"/>
    <w:rsid w:val="00AA6D72"/>
    <w:rsid w:val="00AA6D94"/>
    <w:rsid w:val="00AA6EA5"/>
    <w:rsid w:val="00AA702F"/>
    <w:rsid w:val="00AA75BE"/>
    <w:rsid w:val="00AA7727"/>
    <w:rsid w:val="00AA7776"/>
    <w:rsid w:val="00AA7808"/>
    <w:rsid w:val="00AA7812"/>
    <w:rsid w:val="00AA7A5B"/>
    <w:rsid w:val="00AA7AB4"/>
    <w:rsid w:val="00AA7BBE"/>
    <w:rsid w:val="00AA7C18"/>
    <w:rsid w:val="00AA7CDD"/>
    <w:rsid w:val="00AA7DB9"/>
    <w:rsid w:val="00AA7DF1"/>
    <w:rsid w:val="00AB0086"/>
    <w:rsid w:val="00AB0285"/>
    <w:rsid w:val="00AB04E0"/>
    <w:rsid w:val="00AB053E"/>
    <w:rsid w:val="00AB056A"/>
    <w:rsid w:val="00AB0722"/>
    <w:rsid w:val="00AB0ADC"/>
    <w:rsid w:val="00AB0C20"/>
    <w:rsid w:val="00AB0C9D"/>
    <w:rsid w:val="00AB0D08"/>
    <w:rsid w:val="00AB0D7E"/>
    <w:rsid w:val="00AB0E74"/>
    <w:rsid w:val="00AB0F0B"/>
    <w:rsid w:val="00AB0FF6"/>
    <w:rsid w:val="00AB1016"/>
    <w:rsid w:val="00AB13C6"/>
    <w:rsid w:val="00AB14C1"/>
    <w:rsid w:val="00AB16D4"/>
    <w:rsid w:val="00AB1716"/>
    <w:rsid w:val="00AB17C0"/>
    <w:rsid w:val="00AB18AF"/>
    <w:rsid w:val="00AB190A"/>
    <w:rsid w:val="00AB19A4"/>
    <w:rsid w:val="00AB1AC2"/>
    <w:rsid w:val="00AB1AFB"/>
    <w:rsid w:val="00AB1D07"/>
    <w:rsid w:val="00AB2123"/>
    <w:rsid w:val="00AB2209"/>
    <w:rsid w:val="00AB2836"/>
    <w:rsid w:val="00AB2A26"/>
    <w:rsid w:val="00AB2A34"/>
    <w:rsid w:val="00AB2C03"/>
    <w:rsid w:val="00AB2CDC"/>
    <w:rsid w:val="00AB2D6A"/>
    <w:rsid w:val="00AB2FA7"/>
    <w:rsid w:val="00AB33F7"/>
    <w:rsid w:val="00AB3450"/>
    <w:rsid w:val="00AB3673"/>
    <w:rsid w:val="00AB3781"/>
    <w:rsid w:val="00AB37B6"/>
    <w:rsid w:val="00AB396A"/>
    <w:rsid w:val="00AB3B3F"/>
    <w:rsid w:val="00AB3C98"/>
    <w:rsid w:val="00AB3F5E"/>
    <w:rsid w:val="00AB4097"/>
    <w:rsid w:val="00AB414D"/>
    <w:rsid w:val="00AB45C3"/>
    <w:rsid w:val="00AB47CE"/>
    <w:rsid w:val="00AB48E6"/>
    <w:rsid w:val="00AB4980"/>
    <w:rsid w:val="00AB498C"/>
    <w:rsid w:val="00AB49FC"/>
    <w:rsid w:val="00AB4A0A"/>
    <w:rsid w:val="00AB4C34"/>
    <w:rsid w:val="00AB4CE5"/>
    <w:rsid w:val="00AB4E36"/>
    <w:rsid w:val="00AB4E7F"/>
    <w:rsid w:val="00AB500A"/>
    <w:rsid w:val="00AB517E"/>
    <w:rsid w:val="00AB534D"/>
    <w:rsid w:val="00AB55AE"/>
    <w:rsid w:val="00AB5842"/>
    <w:rsid w:val="00AB59B3"/>
    <w:rsid w:val="00AB5AB6"/>
    <w:rsid w:val="00AB5DA2"/>
    <w:rsid w:val="00AB5E52"/>
    <w:rsid w:val="00AB6058"/>
    <w:rsid w:val="00AB620D"/>
    <w:rsid w:val="00AB626A"/>
    <w:rsid w:val="00AB62CD"/>
    <w:rsid w:val="00AB6345"/>
    <w:rsid w:val="00AB64A5"/>
    <w:rsid w:val="00AB656F"/>
    <w:rsid w:val="00AB6702"/>
    <w:rsid w:val="00AB6730"/>
    <w:rsid w:val="00AB6832"/>
    <w:rsid w:val="00AB6930"/>
    <w:rsid w:val="00AB6AF7"/>
    <w:rsid w:val="00AB6FA9"/>
    <w:rsid w:val="00AB7410"/>
    <w:rsid w:val="00AB75D7"/>
    <w:rsid w:val="00AB76C0"/>
    <w:rsid w:val="00AB76E0"/>
    <w:rsid w:val="00AB76E2"/>
    <w:rsid w:val="00AB76ED"/>
    <w:rsid w:val="00AB796C"/>
    <w:rsid w:val="00AB7A98"/>
    <w:rsid w:val="00AB7AD1"/>
    <w:rsid w:val="00AB7B00"/>
    <w:rsid w:val="00AB7C69"/>
    <w:rsid w:val="00AB7C98"/>
    <w:rsid w:val="00AB7D22"/>
    <w:rsid w:val="00AB7F8E"/>
    <w:rsid w:val="00AB7FB4"/>
    <w:rsid w:val="00AC00D8"/>
    <w:rsid w:val="00AC01D5"/>
    <w:rsid w:val="00AC0383"/>
    <w:rsid w:val="00AC046A"/>
    <w:rsid w:val="00AC04E0"/>
    <w:rsid w:val="00AC05D2"/>
    <w:rsid w:val="00AC06C9"/>
    <w:rsid w:val="00AC0715"/>
    <w:rsid w:val="00AC0904"/>
    <w:rsid w:val="00AC0B0A"/>
    <w:rsid w:val="00AC0C8B"/>
    <w:rsid w:val="00AC0EB1"/>
    <w:rsid w:val="00AC0FFC"/>
    <w:rsid w:val="00AC1019"/>
    <w:rsid w:val="00AC119B"/>
    <w:rsid w:val="00AC11BC"/>
    <w:rsid w:val="00AC137B"/>
    <w:rsid w:val="00AC13CB"/>
    <w:rsid w:val="00AC14DE"/>
    <w:rsid w:val="00AC152C"/>
    <w:rsid w:val="00AC16A2"/>
    <w:rsid w:val="00AC16B5"/>
    <w:rsid w:val="00AC18E1"/>
    <w:rsid w:val="00AC192E"/>
    <w:rsid w:val="00AC1A76"/>
    <w:rsid w:val="00AC1ABB"/>
    <w:rsid w:val="00AC1EE1"/>
    <w:rsid w:val="00AC202E"/>
    <w:rsid w:val="00AC2184"/>
    <w:rsid w:val="00AC2666"/>
    <w:rsid w:val="00AC26C8"/>
    <w:rsid w:val="00AC2A2E"/>
    <w:rsid w:val="00AC2B3F"/>
    <w:rsid w:val="00AC2C00"/>
    <w:rsid w:val="00AC2DD0"/>
    <w:rsid w:val="00AC2E78"/>
    <w:rsid w:val="00AC2F78"/>
    <w:rsid w:val="00AC315B"/>
    <w:rsid w:val="00AC3528"/>
    <w:rsid w:val="00AC3616"/>
    <w:rsid w:val="00AC36A1"/>
    <w:rsid w:val="00AC376A"/>
    <w:rsid w:val="00AC37EF"/>
    <w:rsid w:val="00AC38C2"/>
    <w:rsid w:val="00AC39EC"/>
    <w:rsid w:val="00AC3C3C"/>
    <w:rsid w:val="00AC3E8C"/>
    <w:rsid w:val="00AC3EF0"/>
    <w:rsid w:val="00AC407F"/>
    <w:rsid w:val="00AC4134"/>
    <w:rsid w:val="00AC416A"/>
    <w:rsid w:val="00AC41C6"/>
    <w:rsid w:val="00AC4391"/>
    <w:rsid w:val="00AC4533"/>
    <w:rsid w:val="00AC45AA"/>
    <w:rsid w:val="00AC45C8"/>
    <w:rsid w:val="00AC46E0"/>
    <w:rsid w:val="00AC4795"/>
    <w:rsid w:val="00AC498D"/>
    <w:rsid w:val="00AC4A53"/>
    <w:rsid w:val="00AC4AC7"/>
    <w:rsid w:val="00AC4BB4"/>
    <w:rsid w:val="00AC4DF6"/>
    <w:rsid w:val="00AC4EBA"/>
    <w:rsid w:val="00AC4FAE"/>
    <w:rsid w:val="00AC5060"/>
    <w:rsid w:val="00AC5247"/>
    <w:rsid w:val="00AC52BE"/>
    <w:rsid w:val="00AC5358"/>
    <w:rsid w:val="00AC53E2"/>
    <w:rsid w:val="00AC587A"/>
    <w:rsid w:val="00AC591B"/>
    <w:rsid w:val="00AC5966"/>
    <w:rsid w:val="00AC5B56"/>
    <w:rsid w:val="00AC5FF3"/>
    <w:rsid w:val="00AC60D5"/>
    <w:rsid w:val="00AC6274"/>
    <w:rsid w:val="00AC62F2"/>
    <w:rsid w:val="00AC671E"/>
    <w:rsid w:val="00AC67FC"/>
    <w:rsid w:val="00AC6B79"/>
    <w:rsid w:val="00AC6B7F"/>
    <w:rsid w:val="00AC6DC9"/>
    <w:rsid w:val="00AC6EAB"/>
    <w:rsid w:val="00AC714E"/>
    <w:rsid w:val="00AC7167"/>
    <w:rsid w:val="00AC7323"/>
    <w:rsid w:val="00AC733F"/>
    <w:rsid w:val="00AC7341"/>
    <w:rsid w:val="00AC7383"/>
    <w:rsid w:val="00AC7668"/>
    <w:rsid w:val="00AC76B5"/>
    <w:rsid w:val="00AC78C2"/>
    <w:rsid w:val="00AC7938"/>
    <w:rsid w:val="00AC793C"/>
    <w:rsid w:val="00AC796A"/>
    <w:rsid w:val="00AC799E"/>
    <w:rsid w:val="00AC7AF0"/>
    <w:rsid w:val="00AC7C4F"/>
    <w:rsid w:val="00AC7D31"/>
    <w:rsid w:val="00AC7DB9"/>
    <w:rsid w:val="00AC7EA7"/>
    <w:rsid w:val="00AC7FC5"/>
    <w:rsid w:val="00AD0106"/>
    <w:rsid w:val="00AD0216"/>
    <w:rsid w:val="00AD0243"/>
    <w:rsid w:val="00AD0308"/>
    <w:rsid w:val="00AD051E"/>
    <w:rsid w:val="00AD0593"/>
    <w:rsid w:val="00AD05E6"/>
    <w:rsid w:val="00AD07EE"/>
    <w:rsid w:val="00AD0B6D"/>
    <w:rsid w:val="00AD0C78"/>
    <w:rsid w:val="00AD0DD4"/>
    <w:rsid w:val="00AD0E37"/>
    <w:rsid w:val="00AD0FA6"/>
    <w:rsid w:val="00AD110A"/>
    <w:rsid w:val="00AD1376"/>
    <w:rsid w:val="00AD137E"/>
    <w:rsid w:val="00AD14AA"/>
    <w:rsid w:val="00AD166B"/>
    <w:rsid w:val="00AD1744"/>
    <w:rsid w:val="00AD17B9"/>
    <w:rsid w:val="00AD1A56"/>
    <w:rsid w:val="00AD1AA7"/>
    <w:rsid w:val="00AD1AF1"/>
    <w:rsid w:val="00AD1C93"/>
    <w:rsid w:val="00AD1E7A"/>
    <w:rsid w:val="00AD1FF4"/>
    <w:rsid w:val="00AD2252"/>
    <w:rsid w:val="00AD2281"/>
    <w:rsid w:val="00AD2286"/>
    <w:rsid w:val="00AD22DB"/>
    <w:rsid w:val="00AD24B7"/>
    <w:rsid w:val="00AD262C"/>
    <w:rsid w:val="00AD2694"/>
    <w:rsid w:val="00AD2745"/>
    <w:rsid w:val="00AD27B5"/>
    <w:rsid w:val="00AD2877"/>
    <w:rsid w:val="00AD2982"/>
    <w:rsid w:val="00AD29D4"/>
    <w:rsid w:val="00AD2B3F"/>
    <w:rsid w:val="00AD2BF6"/>
    <w:rsid w:val="00AD2C91"/>
    <w:rsid w:val="00AD2D05"/>
    <w:rsid w:val="00AD2E50"/>
    <w:rsid w:val="00AD2EB0"/>
    <w:rsid w:val="00AD2F3F"/>
    <w:rsid w:val="00AD304E"/>
    <w:rsid w:val="00AD31B4"/>
    <w:rsid w:val="00AD3708"/>
    <w:rsid w:val="00AD3CFD"/>
    <w:rsid w:val="00AD3E18"/>
    <w:rsid w:val="00AD3E33"/>
    <w:rsid w:val="00AD3E39"/>
    <w:rsid w:val="00AD3E4A"/>
    <w:rsid w:val="00AD3EAB"/>
    <w:rsid w:val="00AD3F5F"/>
    <w:rsid w:val="00AD3FF3"/>
    <w:rsid w:val="00AD4014"/>
    <w:rsid w:val="00AD410D"/>
    <w:rsid w:val="00AD42B9"/>
    <w:rsid w:val="00AD4358"/>
    <w:rsid w:val="00AD4640"/>
    <w:rsid w:val="00AD48D6"/>
    <w:rsid w:val="00AD4A60"/>
    <w:rsid w:val="00AD4A9B"/>
    <w:rsid w:val="00AD4B33"/>
    <w:rsid w:val="00AD4DB5"/>
    <w:rsid w:val="00AD4FA5"/>
    <w:rsid w:val="00AD5146"/>
    <w:rsid w:val="00AD51D6"/>
    <w:rsid w:val="00AD52EE"/>
    <w:rsid w:val="00AD53E7"/>
    <w:rsid w:val="00AD543A"/>
    <w:rsid w:val="00AD558B"/>
    <w:rsid w:val="00AD55E1"/>
    <w:rsid w:val="00AD566E"/>
    <w:rsid w:val="00AD5700"/>
    <w:rsid w:val="00AD5822"/>
    <w:rsid w:val="00AD592F"/>
    <w:rsid w:val="00AD59A3"/>
    <w:rsid w:val="00AD5AD8"/>
    <w:rsid w:val="00AD5B73"/>
    <w:rsid w:val="00AD5E97"/>
    <w:rsid w:val="00AD5EFC"/>
    <w:rsid w:val="00AD602B"/>
    <w:rsid w:val="00AD639D"/>
    <w:rsid w:val="00AD63B6"/>
    <w:rsid w:val="00AD645B"/>
    <w:rsid w:val="00AD64DA"/>
    <w:rsid w:val="00AD664B"/>
    <w:rsid w:val="00AD672C"/>
    <w:rsid w:val="00AD67AC"/>
    <w:rsid w:val="00AD685F"/>
    <w:rsid w:val="00AD690A"/>
    <w:rsid w:val="00AD69CC"/>
    <w:rsid w:val="00AD6A0D"/>
    <w:rsid w:val="00AD6AFB"/>
    <w:rsid w:val="00AD6B2F"/>
    <w:rsid w:val="00AD6BFB"/>
    <w:rsid w:val="00AD6E45"/>
    <w:rsid w:val="00AD700A"/>
    <w:rsid w:val="00AD73F7"/>
    <w:rsid w:val="00AD7443"/>
    <w:rsid w:val="00AD7533"/>
    <w:rsid w:val="00AD772E"/>
    <w:rsid w:val="00AD7776"/>
    <w:rsid w:val="00AD7AB2"/>
    <w:rsid w:val="00AD7C27"/>
    <w:rsid w:val="00AD7CC6"/>
    <w:rsid w:val="00AD7D22"/>
    <w:rsid w:val="00AD7D44"/>
    <w:rsid w:val="00AD7E2E"/>
    <w:rsid w:val="00AD7EF7"/>
    <w:rsid w:val="00AD7F38"/>
    <w:rsid w:val="00AD7FE4"/>
    <w:rsid w:val="00AE02AD"/>
    <w:rsid w:val="00AE02F1"/>
    <w:rsid w:val="00AE085A"/>
    <w:rsid w:val="00AE087D"/>
    <w:rsid w:val="00AE0992"/>
    <w:rsid w:val="00AE0C27"/>
    <w:rsid w:val="00AE0C47"/>
    <w:rsid w:val="00AE0D5B"/>
    <w:rsid w:val="00AE1061"/>
    <w:rsid w:val="00AE10E2"/>
    <w:rsid w:val="00AE11C1"/>
    <w:rsid w:val="00AE14D8"/>
    <w:rsid w:val="00AE176A"/>
    <w:rsid w:val="00AE19D8"/>
    <w:rsid w:val="00AE1BC0"/>
    <w:rsid w:val="00AE1D68"/>
    <w:rsid w:val="00AE1D7B"/>
    <w:rsid w:val="00AE1E5D"/>
    <w:rsid w:val="00AE1E9B"/>
    <w:rsid w:val="00AE203B"/>
    <w:rsid w:val="00AE20DD"/>
    <w:rsid w:val="00AE2162"/>
    <w:rsid w:val="00AE219A"/>
    <w:rsid w:val="00AE2258"/>
    <w:rsid w:val="00AE22BC"/>
    <w:rsid w:val="00AE22E3"/>
    <w:rsid w:val="00AE2351"/>
    <w:rsid w:val="00AE236F"/>
    <w:rsid w:val="00AE2A9D"/>
    <w:rsid w:val="00AE2B99"/>
    <w:rsid w:val="00AE2C5A"/>
    <w:rsid w:val="00AE2D17"/>
    <w:rsid w:val="00AE2D1B"/>
    <w:rsid w:val="00AE2E6B"/>
    <w:rsid w:val="00AE3020"/>
    <w:rsid w:val="00AE3058"/>
    <w:rsid w:val="00AE30E5"/>
    <w:rsid w:val="00AE311A"/>
    <w:rsid w:val="00AE32BA"/>
    <w:rsid w:val="00AE3575"/>
    <w:rsid w:val="00AE36D5"/>
    <w:rsid w:val="00AE3A4B"/>
    <w:rsid w:val="00AE3A68"/>
    <w:rsid w:val="00AE3B5F"/>
    <w:rsid w:val="00AE3BFB"/>
    <w:rsid w:val="00AE3C38"/>
    <w:rsid w:val="00AE3CB1"/>
    <w:rsid w:val="00AE3DB6"/>
    <w:rsid w:val="00AE3E8E"/>
    <w:rsid w:val="00AE3F56"/>
    <w:rsid w:val="00AE3FE9"/>
    <w:rsid w:val="00AE4405"/>
    <w:rsid w:val="00AE444E"/>
    <w:rsid w:val="00AE458C"/>
    <w:rsid w:val="00AE45B1"/>
    <w:rsid w:val="00AE4775"/>
    <w:rsid w:val="00AE47F3"/>
    <w:rsid w:val="00AE485E"/>
    <w:rsid w:val="00AE4864"/>
    <w:rsid w:val="00AE495D"/>
    <w:rsid w:val="00AE4B41"/>
    <w:rsid w:val="00AE4BDD"/>
    <w:rsid w:val="00AE4BEF"/>
    <w:rsid w:val="00AE4C41"/>
    <w:rsid w:val="00AE4EA6"/>
    <w:rsid w:val="00AE4FFC"/>
    <w:rsid w:val="00AE533D"/>
    <w:rsid w:val="00AE5401"/>
    <w:rsid w:val="00AE56CA"/>
    <w:rsid w:val="00AE5836"/>
    <w:rsid w:val="00AE5848"/>
    <w:rsid w:val="00AE58E1"/>
    <w:rsid w:val="00AE593F"/>
    <w:rsid w:val="00AE5944"/>
    <w:rsid w:val="00AE5B90"/>
    <w:rsid w:val="00AE5D77"/>
    <w:rsid w:val="00AE6104"/>
    <w:rsid w:val="00AE6300"/>
    <w:rsid w:val="00AE63CF"/>
    <w:rsid w:val="00AE67EF"/>
    <w:rsid w:val="00AE68B0"/>
    <w:rsid w:val="00AE6A30"/>
    <w:rsid w:val="00AE6AD6"/>
    <w:rsid w:val="00AE6CFE"/>
    <w:rsid w:val="00AE6D2E"/>
    <w:rsid w:val="00AE6DC5"/>
    <w:rsid w:val="00AE6EAF"/>
    <w:rsid w:val="00AE6F32"/>
    <w:rsid w:val="00AE723B"/>
    <w:rsid w:val="00AE7253"/>
    <w:rsid w:val="00AE7293"/>
    <w:rsid w:val="00AE7533"/>
    <w:rsid w:val="00AE7557"/>
    <w:rsid w:val="00AE7996"/>
    <w:rsid w:val="00AE7ADF"/>
    <w:rsid w:val="00AE7B14"/>
    <w:rsid w:val="00AE7BE6"/>
    <w:rsid w:val="00AE7C18"/>
    <w:rsid w:val="00AE7C61"/>
    <w:rsid w:val="00AE7CCD"/>
    <w:rsid w:val="00AE7DDC"/>
    <w:rsid w:val="00AE7E03"/>
    <w:rsid w:val="00AE7EAC"/>
    <w:rsid w:val="00AE7F0E"/>
    <w:rsid w:val="00AF0152"/>
    <w:rsid w:val="00AF01BF"/>
    <w:rsid w:val="00AF01DC"/>
    <w:rsid w:val="00AF01FE"/>
    <w:rsid w:val="00AF02F8"/>
    <w:rsid w:val="00AF086E"/>
    <w:rsid w:val="00AF0E80"/>
    <w:rsid w:val="00AF0EFA"/>
    <w:rsid w:val="00AF0EFF"/>
    <w:rsid w:val="00AF0F8C"/>
    <w:rsid w:val="00AF10D6"/>
    <w:rsid w:val="00AF12FC"/>
    <w:rsid w:val="00AF158C"/>
    <w:rsid w:val="00AF16BF"/>
    <w:rsid w:val="00AF194A"/>
    <w:rsid w:val="00AF1A70"/>
    <w:rsid w:val="00AF1AEB"/>
    <w:rsid w:val="00AF1CC8"/>
    <w:rsid w:val="00AF1D81"/>
    <w:rsid w:val="00AF1F54"/>
    <w:rsid w:val="00AF2179"/>
    <w:rsid w:val="00AF217F"/>
    <w:rsid w:val="00AF225C"/>
    <w:rsid w:val="00AF23F5"/>
    <w:rsid w:val="00AF2729"/>
    <w:rsid w:val="00AF29A2"/>
    <w:rsid w:val="00AF29F0"/>
    <w:rsid w:val="00AF2A77"/>
    <w:rsid w:val="00AF2B42"/>
    <w:rsid w:val="00AF2BD9"/>
    <w:rsid w:val="00AF2D9E"/>
    <w:rsid w:val="00AF2F12"/>
    <w:rsid w:val="00AF3069"/>
    <w:rsid w:val="00AF31D6"/>
    <w:rsid w:val="00AF3328"/>
    <w:rsid w:val="00AF340A"/>
    <w:rsid w:val="00AF3559"/>
    <w:rsid w:val="00AF35AC"/>
    <w:rsid w:val="00AF368E"/>
    <w:rsid w:val="00AF3B06"/>
    <w:rsid w:val="00AF3D31"/>
    <w:rsid w:val="00AF3FC1"/>
    <w:rsid w:val="00AF4157"/>
    <w:rsid w:val="00AF4281"/>
    <w:rsid w:val="00AF450F"/>
    <w:rsid w:val="00AF45E1"/>
    <w:rsid w:val="00AF4670"/>
    <w:rsid w:val="00AF471E"/>
    <w:rsid w:val="00AF4760"/>
    <w:rsid w:val="00AF4777"/>
    <w:rsid w:val="00AF49F4"/>
    <w:rsid w:val="00AF4A02"/>
    <w:rsid w:val="00AF4A85"/>
    <w:rsid w:val="00AF4EED"/>
    <w:rsid w:val="00AF4F6D"/>
    <w:rsid w:val="00AF4FDE"/>
    <w:rsid w:val="00AF5081"/>
    <w:rsid w:val="00AF511D"/>
    <w:rsid w:val="00AF52A8"/>
    <w:rsid w:val="00AF52F8"/>
    <w:rsid w:val="00AF5471"/>
    <w:rsid w:val="00AF54AD"/>
    <w:rsid w:val="00AF54EF"/>
    <w:rsid w:val="00AF5577"/>
    <w:rsid w:val="00AF5661"/>
    <w:rsid w:val="00AF5693"/>
    <w:rsid w:val="00AF5709"/>
    <w:rsid w:val="00AF5845"/>
    <w:rsid w:val="00AF58BA"/>
    <w:rsid w:val="00AF58BD"/>
    <w:rsid w:val="00AF58F0"/>
    <w:rsid w:val="00AF5AE6"/>
    <w:rsid w:val="00AF5AF1"/>
    <w:rsid w:val="00AF5B5F"/>
    <w:rsid w:val="00AF5BAE"/>
    <w:rsid w:val="00AF5E40"/>
    <w:rsid w:val="00AF603F"/>
    <w:rsid w:val="00AF6069"/>
    <w:rsid w:val="00AF610F"/>
    <w:rsid w:val="00AF62E3"/>
    <w:rsid w:val="00AF642F"/>
    <w:rsid w:val="00AF67DB"/>
    <w:rsid w:val="00AF6870"/>
    <w:rsid w:val="00AF6984"/>
    <w:rsid w:val="00AF6A5E"/>
    <w:rsid w:val="00AF6A97"/>
    <w:rsid w:val="00AF6BBA"/>
    <w:rsid w:val="00AF6C32"/>
    <w:rsid w:val="00AF6E71"/>
    <w:rsid w:val="00AF6E9D"/>
    <w:rsid w:val="00AF6FAF"/>
    <w:rsid w:val="00AF701B"/>
    <w:rsid w:val="00AF71CC"/>
    <w:rsid w:val="00AF7356"/>
    <w:rsid w:val="00AF735A"/>
    <w:rsid w:val="00AF74A8"/>
    <w:rsid w:val="00AF74F5"/>
    <w:rsid w:val="00AF7509"/>
    <w:rsid w:val="00AF7935"/>
    <w:rsid w:val="00AF7962"/>
    <w:rsid w:val="00AF79AE"/>
    <w:rsid w:val="00AF7B8A"/>
    <w:rsid w:val="00AF7C29"/>
    <w:rsid w:val="00AF7D84"/>
    <w:rsid w:val="00AF7E56"/>
    <w:rsid w:val="00AF7E99"/>
    <w:rsid w:val="00AF7EEC"/>
    <w:rsid w:val="00AF7F42"/>
    <w:rsid w:val="00B00012"/>
    <w:rsid w:val="00B000AB"/>
    <w:rsid w:val="00B001BC"/>
    <w:rsid w:val="00B0032E"/>
    <w:rsid w:val="00B003DC"/>
    <w:rsid w:val="00B005E9"/>
    <w:rsid w:val="00B006E1"/>
    <w:rsid w:val="00B006FF"/>
    <w:rsid w:val="00B00736"/>
    <w:rsid w:val="00B007E1"/>
    <w:rsid w:val="00B007F1"/>
    <w:rsid w:val="00B007F7"/>
    <w:rsid w:val="00B009CB"/>
    <w:rsid w:val="00B009FE"/>
    <w:rsid w:val="00B00B2C"/>
    <w:rsid w:val="00B00C3B"/>
    <w:rsid w:val="00B00DA3"/>
    <w:rsid w:val="00B00DAF"/>
    <w:rsid w:val="00B00E1E"/>
    <w:rsid w:val="00B00FDB"/>
    <w:rsid w:val="00B010EA"/>
    <w:rsid w:val="00B0123F"/>
    <w:rsid w:val="00B012F6"/>
    <w:rsid w:val="00B01396"/>
    <w:rsid w:val="00B01526"/>
    <w:rsid w:val="00B01741"/>
    <w:rsid w:val="00B0185E"/>
    <w:rsid w:val="00B01B4B"/>
    <w:rsid w:val="00B01C79"/>
    <w:rsid w:val="00B01CBE"/>
    <w:rsid w:val="00B02095"/>
    <w:rsid w:val="00B020AA"/>
    <w:rsid w:val="00B020D4"/>
    <w:rsid w:val="00B0257D"/>
    <w:rsid w:val="00B0259B"/>
    <w:rsid w:val="00B02871"/>
    <w:rsid w:val="00B028E4"/>
    <w:rsid w:val="00B0299B"/>
    <w:rsid w:val="00B02E01"/>
    <w:rsid w:val="00B02E80"/>
    <w:rsid w:val="00B02FC9"/>
    <w:rsid w:val="00B030CE"/>
    <w:rsid w:val="00B030ED"/>
    <w:rsid w:val="00B03372"/>
    <w:rsid w:val="00B0346E"/>
    <w:rsid w:val="00B036DC"/>
    <w:rsid w:val="00B039F1"/>
    <w:rsid w:val="00B040D3"/>
    <w:rsid w:val="00B040E8"/>
    <w:rsid w:val="00B041DA"/>
    <w:rsid w:val="00B04422"/>
    <w:rsid w:val="00B047AD"/>
    <w:rsid w:val="00B04836"/>
    <w:rsid w:val="00B04923"/>
    <w:rsid w:val="00B04D3C"/>
    <w:rsid w:val="00B04DDB"/>
    <w:rsid w:val="00B04E10"/>
    <w:rsid w:val="00B04EEA"/>
    <w:rsid w:val="00B04EF7"/>
    <w:rsid w:val="00B04EFD"/>
    <w:rsid w:val="00B052D2"/>
    <w:rsid w:val="00B054BF"/>
    <w:rsid w:val="00B054DA"/>
    <w:rsid w:val="00B054E3"/>
    <w:rsid w:val="00B0552F"/>
    <w:rsid w:val="00B056E4"/>
    <w:rsid w:val="00B0580F"/>
    <w:rsid w:val="00B05AA6"/>
    <w:rsid w:val="00B05B65"/>
    <w:rsid w:val="00B05BDE"/>
    <w:rsid w:val="00B05CAB"/>
    <w:rsid w:val="00B05D24"/>
    <w:rsid w:val="00B05D9D"/>
    <w:rsid w:val="00B05ED6"/>
    <w:rsid w:val="00B05F77"/>
    <w:rsid w:val="00B061A8"/>
    <w:rsid w:val="00B0629B"/>
    <w:rsid w:val="00B0652F"/>
    <w:rsid w:val="00B06578"/>
    <w:rsid w:val="00B065AD"/>
    <w:rsid w:val="00B06768"/>
    <w:rsid w:val="00B06849"/>
    <w:rsid w:val="00B0690B"/>
    <w:rsid w:val="00B06E0B"/>
    <w:rsid w:val="00B06E39"/>
    <w:rsid w:val="00B07150"/>
    <w:rsid w:val="00B072E5"/>
    <w:rsid w:val="00B0731D"/>
    <w:rsid w:val="00B073CE"/>
    <w:rsid w:val="00B07432"/>
    <w:rsid w:val="00B07476"/>
    <w:rsid w:val="00B0747B"/>
    <w:rsid w:val="00B074E3"/>
    <w:rsid w:val="00B074EB"/>
    <w:rsid w:val="00B0769A"/>
    <w:rsid w:val="00B0779A"/>
    <w:rsid w:val="00B07A0C"/>
    <w:rsid w:val="00B07B62"/>
    <w:rsid w:val="00B07C56"/>
    <w:rsid w:val="00B07E5C"/>
    <w:rsid w:val="00B101B4"/>
    <w:rsid w:val="00B10218"/>
    <w:rsid w:val="00B10241"/>
    <w:rsid w:val="00B1025D"/>
    <w:rsid w:val="00B103E3"/>
    <w:rsid w:val="00B104B8"/>
    <w:rsid w:val="00B1053B"/>
    <w:rsid w:val="00B10A47"/>
    <w:rsid w:val="00B10A8B"/>
    <w:rsid w:val="00B10BB6"/>
    <w:rsid w:val="00B10CB8"/>
    <w:rsid w:val="00B10E73"/>
    <w:rsid w:val="00B10EBB"/>
    <w:rsid w:val="00B11145"/>
    <w:rsid w:val="00B1155B"/>
    <w:rsid w:val="00B11584"/>
    <w:rsid w:val="00B11637"/>
    <w:rsid w:val="00B1166E"/>
    <w:rsid w:val="00B1167D"/>
    <w:rsid w:val="00B117C0"/>
    <w:rsid w:val="00B11A50"/>
    <w:rsid w:val="00B11A9D"/>
    <w:rsid w:val="00B11AF3"/>
    <w:rsid w:val="00B11BC3"/>
    <w:rsid w:val="00B11D1E"/>
    <w:rsid w:val="00B11DB8"/>
    <w:rsid w:val="00B11DFA"/>
    <w:rsid w:val="00B11E70"/>
    <w:rsid w:val="00B1206D"/>
    <w:rsid w:val="00B120FE"/>
    <w:rsid w:val="00B1212E"/>
    <w:rsid w:val="00B121D2"/>
    <w:rsid w:val="00B1224B"/>
    <w:rsid w:val="00B124A2"/>
    <w:rsid w:val="00B127AC"/>
    <w:rsid w:val="00B128D6"/>
    <w:rsid w:val="00B1290F"/>
    <w:rsid w:val="00B129E5"/>
    <w:rsid w:val="00B129F3"/>
    <w:rsid w:val="00B12AB4"/>
    <w:rsid w:val="00B12AC1"/>
    <w:rsid w:val="00B12E6C"/>
    <w:rsid w:val="00B12E92"/>
    <w:rsid w:val="00B130C9"/>
    <w:rsid w:val="00B13177"/>
    <w:rsid w:val="00B137D6"/>
    <w:rsid w:val="00B13872"/>
    <w:rsid w:val="00B1387C"/>
    <w:rsid w:val="00B138D9"/>
    <w:rsid w:val="00B13AD6"/>
    <w:rsid w:val="00B13B62"/>
    <w:rsid w:val="00B13BF7"/>
    <w:rsid w:val="00B13C54"/>
    <w:rsid w:val="00B13DA9"/>
    <w:rsid w:val="00B13E38"/>
    <w:rsid w:val="00B13FD2"/>
    <w:rsid w:val="00B141F9"/>
    <w:rsid w:val="00B144F8"/>
    <w:rsid w:val="00B1458E"/>
    <w:rsid w:val="00B146B2"/>
    <w:rsid w:val="00B146E1"/>
    <w:rsid w:val="00B14717"/>
    <w:rsid w:val="00B148D4"/>
    <w:rsid w:val="00B149D7"/>
    <w:rsid w:val="00B14A5A"/>
    <w:rsid w:val="00B14B02"/>
    <w:rsid w:val="00B14C3B"/>
    <w:rsid w:val="00B14E2B"/>
    <w:rsid w:val="00B14FA4"/>
    <w:rsid w:val="00B15083"/>
    <w:rsid w:val="00B150F9"/>
    <w:rsid w:val="00B15323"/>
    <w:rsid w:val="00B15492"/>
    <w:rsid w:val="00B154AB"/>
    <w:rsid w:val="00B1562D"/>
    <w:rsid w:val="00B157F4"/>
    <w:rsid w:val="00B1587A"/>
    <w:rsid w:val="00B159F6"/>
    <w:rsid w:val="00B15A0A"/>
    <w:rsid w:val="00B15EAC"/>
    <w:rsid w:val="00B15EEB"/>
    <w:rsid w:val="00B1621C"/>
    <w:rsid w:val="00B16365"/>
    <w:rsid w:val="00B163AC"/>
    <w:rsid w:val="00B164FA"/>
    <w:rsid w:val="00B16612"/>
    <w:rsid w:val="00B16622"/>
    <w:rsid w:val="00B168A6"/>
    <w:rsid w:val="00B16997"/>
    <w:rsid w:val="00B16A24"/>
    <w:rsid w:val="00B16A44"/>
    <w:rsid w:val="00B16C62"/>
    <w:rsid w:val="00B16D33"/>
    <w:rsid w:val="00B16EE0"/>
    <w:rsid w:val="00B170A1"/>
    <w:rsid w:val="00B17477"/>
    <w:rsid w:val="00B1767E"/>
    <w:rsid w:val="00B178F2"/>
    <w:rsid w:val="00B17B5D"/>
    <w:rsid w:val="00B17CB5"/>
    <w:rsid w:val="00B20269"/>
    <w:rsid w:val="00B203BD"/>
    <w:rsid w:val="00B20591"/>
    <w:rsid w:val="00B20A33"/>
    <w:rsid w:val="00B20B43"/>
    <w:rsid w:val="00B20B5F"/>
    <w:rsid w:val="00B20C91"/>
    <w:rsid w:val="00B20DF8"/>
    <w:rsid w:val="00B20EF0"/>
    <w:rsid w:val="00B2105A"/>
    <w:rsid w:val="00B21110"/>
    <w:rsid w:val="00B21505"/>
    <w:rsid w:val="00B21828"/>
    <w:rsid w:val="00B219CD"/>
    <w:rsid w:val="00B21F1D"/>
    <w:rsid w:val="00B21F47"/>
    <w:rsid w:val="00B21FC4"/>
    <w:rsid w:val="00B22200"/>
    <w:rsid w:val="00B222AE"/>
    <w:rsid w:val="00B223AE"/>
    <w:rsid w:val="00B22442"/>
    <w:rsid w:val="00B224FA"/>
    <w:rsid w:val="00B22BF9"/>
    <w:rsid w:val="00B22D21"/>
    <w:rsid w:val="00B22E8D"/>
    <w:rsid w:val="00B22F6F"/>
    <w:rsid w:val="00B232D6"/>
    <w:rsid w:val="00B23574"/>
    <w:rsid w:val="00B23576"/>
    <w:rsid w:val="00B235E5"/>
    <w:rsid w:val="00B23613"/>
    <w:rsid w:val="00B2364A"/>
    <w:rsid w:val="00B23826"/>
    <w:rsid w:val="00B23887"/>
    <w:rsid w:val="00B23A39"/>
    <w:rsid w:val="00B23C5F"/>
    <w:rsid w:val="00B23DB1"/>
    <w:rsid w:val="00B23E66"/>
    <w:rsid w:val="00B23EB6"/>
    <w:rsid w:val="00B23F9A"/>
    <w:rsid w:val="00B24472"/>
    <w:rsid w:val="00B244AA"/>
    <w:rsid w:val="00B24776"/>
    <w:rsid w:val="00B24C26"/>
    <w:rsid w:val="00B24CB0"/>
    <w:rsid w:val="00B24DCA"/>
    <w:rsid w:val="00B25315"/>
    <w:rsid w:val="00B25463"/>
    <w:rsid w:val="00B25547"/>
    <w:rsid w:val="00B2554E"/>
    <w:rsid w:val="00B25643"/>
    <w:rsid w:val="00B25941"/>
    <w:rsid w:val="00B25B19"/>
    <w:rsid w:val="00B25C4C"/>
    <w:rsid w:val="00B25DC8"/>
    <w:rsid w:val="00B260C5"/>
    <w:rsid w:val="00B26229"/>
    <w:rsid w:val="00B262B8"/>
    <w:rsid w:val="00B267A7"/>
    <w:rsid w:val="00B2686F"/>
    <w:rsid w:val="00B26896"/>
    <w:rsid w:val="00B26928"/>
    <w:rsid w:val="00B26BC0"/>
    <w:rsid w:val="00B26D17"/>
    <w:rsid w:val="00B26EB7"/>
    <w:rsid w:val="00B270B5"/>
    <w:rsid w:val="00B27164"/>
    <w:rsid w:val="00B2734B"/>
    <w:rsid w:val="00B27636"/>
    <w:rsid w:val="00B27662"/>
    <w:rsid w:val="00B277E1"/>
    <w:rsid w:val="00B2791D"/>
    <w:rsid w:val="00B279C4"/>
    <w:rsid w:val="00B279E4"/>
    <w:rsid w:val="00B27A3C"/>
    <w:rsid w:val="00B27AEF"/>
    <w:rsid w:val="00B27FE5"/>
    <w:rsid w:val="00B300F1"/>
    <w:rsid w:val="00B301B0"/>
    <w:rsid w:val="00B301D1"/>
    <w:rsid w:val="00B30329"/>
    <w:rsid w:val="00B3038E"/>
    <w:rsid w:val="00B30554"/>
    <w:rsid w:val="00B305DA"/>
    <w:rsid w:val="00B30638"/>
    <w:rsid w:val="00B30640"/>
    <w:rsid w:val="00B30BED"/>
    <w:rsid w:val="00B30CDD"/>
    <w:rsid w:val="00B30E34"/>
    <w:rsid w:val="00B30E6A"/>
    <w:rsid w:val="00B30EA5"/>
    <w:rsid w:val="00B311C7"/>
    <w:rsid w:val="00B314A1"/>
    <w:rsid w:val="00B314E1"/>
    <w:rsid w:val="00B317CF"/>
    <w:rsid w:val="00B318E9"/>
    <w:rsid w:val="00B31E14"/>
    <w:rsid w:val="00B31F69"/>
    <w:rsid w:val="00B31F97"/>
    <w:rsid w:val="00B32177"/>
    <w:rsid w:val="00B32207"/>
    <w:rsid w:val="00B32244"/>
    <w:rsid w:val="00B32246"/>
    <w:rsid w:val="00B32377"/>
    <w:rsid w:val="00B323B8"/>
    <w:rsid w:val="00B325EB"/>
    <w:rsid w:val="00B32A35"/>
    <w:rsid w:val="00B32BE7"/>
    <w:rsid w:val="00B32C69"/>
    <w:rsid w:val="00B32D98"/>
    <w:rsid w:val="00B32EEB"/>
    <w:rsid w:val="00B330E5"/>
    <w:rsid w:val="00B331D4"/>
    <w:rsid w:val="00B332CB"/>
    <w:rsid w:val="00B33441"/>
    <w:rsid w:val="00B33451"/>
    <w:rsid w:val="00B334D9"/>
    <w:rsid w:val="00B335E9"/>
    <w:rsid w:val="00B3387F"/>
    <w:rsid w:val="00B338A7"/>
    <w:rsid w:val="00B339D9"/>
    <w:rsid w:val="00B339FC"/>
    <w:rsid w:val="00B33AFD"/>
    <w:rsid w:val="00B33B2C"/>
    <w:rsid w:val="00B33B6D"/>
    <w:rsid w:val="00B33BBF"/>
    <w:rsid w:val="00B33D2B"/>
    <w:rsid w:val="00B33E2A"/>
    <w:rsid w:val="00B341D4"/>
    <w:rsid w:val="00B3438D"/>
    <w:rsid w:val="00B3454B"/>
    <w:rsid w:val="00B34652"/>
    <w:rsid w:val="00B34712"/>
    <w:rsid w:val="00B34725"/>
    <w:rsid w:val="00B34993"/>
    <w:rsid w:val="00B34AD5"/>
    <w:rsid w:val="00B34C15"/>
    <w:rsid w:val="00B34CC5"/>
    <w:rsid w:val="00B34EC8"/>
    <w:rsid w:val="00B3511F"/>
    <w:rsid w:val="00B35221"/>
    <w:rsid w:val="00B35260"/>
    <w:rsid w:val="00B352BA"/>
    <w:rsid w:val="00B35391"/>
    <w:rsid w:val="00B353BF"/>
    <w:rsid w:val="00B354F3"/>
    <w:rsid w:val="00B35592"/>
    <w:rsid w:val="00B35671"/>
    <w:rsid w:val="00B35778"/>
    <w:rsid w:val="00B357AC"/>
    <w:rsid w:val="00B35A1F"/>
    <w:rsid w:val="00B35A49"/>
    <w:rsid w:val="00B35D1C"/>
    <w:rsid w:val="00B36166"/>
    <w:rsid w:val="00B3622B"/>
    <w:rsid w:val="00B362DD"/>
    <w:rsid w:val="00B363F8"/>
    <w:rsid w:val="00B36482"/>
    <w:rsid w:val="00B364DC"/>
    <w:rsid w:val="00B36806"/>
    <w:rsid w:val="00B36A64"/>
    <w:rsid w:val="00B36E9A"/>
    <w:rsid w:val="00B37208"/>
    <w:rsid w:val="00B3720F"/>
    <w:rsid w:val="00B372EB"/>
    <w:rsid w:val="00B372FC"/>
    <w:rsid w:val="00B3751A"/>
    <w:rsid w:val="00B37531"/>
    <w:rsid w:val="00B3765D"/>
    <w:rsid w:val="00B3778C"/>
    <w:rsid w:val="00B3794D"/>
    <w:rsid w:val="00B37BB6"/>
    <w:rsid w:val="00B37BCA"/>
    <w:rsid w:val="00B37C89"/>
    <w:rsid w:val="00B37CA3"/>
    <w:rsid w:val="00B37D37"/>
    <w:rsid w:val="00B37DE1"/>
    <w:rsid w:val="00B37DE6"/>
    <w:rsid w:val="00B37FD2"/>
    <w:rsid w:val="00B37FFC"/>
    <w:rsid w:val="00B400FD"/>
    <w:rsid w:val="00B4021C"/>
    <w:rsid w:val="00B404D8"/>
    <w:rsid w:val="00B40548"/>
    <w:rsid w:val="00B4057D"/>
    <w:rsid w:val="00B406EB"/>
    <w:rsid w:val="00B40749"/>
    <w:rsid w:val="00B408D4"/>
    <w:rsid w:val="00B40AD0"/>
    <w:rsid w:val="00B40BC3"/>
    <w:rsid w:val="00B40C39"/>
    <w:rsid w:val="00B40C50"/>
    <w:rsid w:val="00B40C7A"/>
    <w:rsid w:val="00B40DB1"/>
    <w:rsid w:val="00B40DE4"/>
    <w:rsid w:val="00B40E4E"/>
    <w:rsid w:val="00B40E5D"/>
    <w:rsid w:val="00B40F89"/>
    <w:rsid w:val="00B40FCE"/>
    <w:rsid w:val="00B40FDD"/>
    <w:rsid w:val="00B411F6"/>
    <w:rsid w:val="00B41223"/>
    <w:rsid w:val="00B4125A"/>
    <w:rsid w:val="00B41356"/>
    <w:rsid w:val="00B41450"/>
    <w:rsid w:val="00B41669"/>
    <w:rsid w:val="00B41800"/>
    <w:rsid w:val="00B418BE"/>
    <w:rsid w:val="00B41B84"/>
    <w:rsid w:val="00B41B9F"/>
    <w:rsid w:val="00B41C42"/>
    <w:rsid w:val="00B41C7A"/>
    <w:rsid w:val="00B41CFE"/>
    <w:rsid w:val="00B41E68"/>
    <w:rsid w:val="00B41F12"/>
    <w:rsid w:val="00B4220C"/>
    <w:rsid w:val="00B422C0"/>
    <w:rsid w:val="00B422D1"/>
    <w:rsid w:val="00B42382"/>
    <w:rsid w:val="00B42387"/>
    <w:rsid w:val="00B42645"/>
    <w:rsid w:val="00B42650"/>
    <w:rsid w:val="00B426BA"/>
    <w:rsid w:val="00B4296D"/>
    <w:rsid w:val="00B42B31"/>
    <w:rsid w:val="00B42B9A"/>
    <w:rsid w:val="00B42BFE"/>
    <w:rsid w:val="00B42C84"/>
    <w:rsid w:val="00B42C9E"/>
    <w:rsid w:val="00B42D94"/>
    <w:rsid w:val="00B42DB1"/>
    <w:rsid w:val="00B42E14"/>
    <w:rsid w:val="00B42E49"/>
    <w:rsid w:val="00B42E4F"/>
    <w:rsid w:val="00B42F87"/>
    <w:rsid w:val="00B42FC3"/>
    <w:rsid w:val="00B4304B"/>
    <w:rsid w:val="00B432B1"/>
    <w:rsid w:val="00B432C4"/>
    <w:rsid w:val="00B4397A"/>
    <w:rsid w:val="00B43A67"/>
    <w:rsid w:val="00B43AF8"/>
    <w:rsid w:val="00B43B1C"/>
    <w:rsid w:val="00B43C32"/>
    <w:rsid w:val="00B43C48"/>
    <w:rsid w:val="00B43C7D"/>
    <w:rsid w:val="00B441AB"/>
    <w:rsid w:val="00B441C7"/>
    <w:rsid w:val="00B44208"/>
    <w:rsid w:val="00B44217"/>
    <w:rsid w:val="00B44284"/>
    <w:rsid w:val="00B442E5"/>
    <w:rsid w:val="00B44350"/>
    <w:rsid w:val="00B44367"/>
    <w:rsid w:val="00B447D5"/>
    <w:rsid w:val="00B447ED"/>
    <w:rsid w:val="00B44AE6"/>
    <w:rsid w:val="00B44B43"/>
    <w:rsid w:val="00B44B68"/>
    <w:rsid w:val="00B44D2A"/>
    <w:rsid w:val="00B44D4B"/>
    <w:rsid w:val="00B44E40"/>
    <w:rsid w:val="00B44EEC"/>
    <w:rsid w:val="00B44F8B"/>
    <w:rsid w:val="00B450EA"/>
    <w:rsid w:val="00B452BC"/>
    <w:rsid w:val="00B4559C"/>
    <w:rsid w:val="00B4592B"/>
    <w:rsid w:val="00B45C30"/>
    <w:rsid w:val="00B45C7F"/>
    <w:rsid w:val="00B45FDF"/>
    <w:rsid w:val="00B460AD"/>
    <w:rsid w:val="00B46164"/>
    <w:rsid w:val="00B4653B"/>
    <w:rsid w:val="00B4664F"/>
    <w:rsid w:val="00B4672E"/>
    <w:rsid w:val="00B468B4"/>
    <w:rsid w:val="00B46977"/>
    <w:rsid w:val="00B46978"/>
    <w:rsid w:val="00B469BC"/>
    <w:rsid w:val="00B46A84"/>
    <w:rsid w:val="00B46AB5"/>
    <w:rsid w:val="00B46AE6"/>
    <w:rsid w:val="00B46D06"/>
    <w:rsid w:val="00B470F3"/>
    <w:rsid w:val="00B4725E"/>
    <w:rsid w:val="00B472B1"/>
    <w:rsid w:val="00B472B7"/>
    <w:rsid w:val="00B475D8"/>
    <w:rsid w:val="00B477CF"/>
    <w:rsid w:val="00B478D3"/>
    <w:rsid w:val="00B478F5"/>
    <w:rsid w:val="00B4797A"/>
    <w:rsid w:val="00B479A1"/>
    <w:rsid w:val="00B47A94"/>
    <w:rsid w:val="00B47B64"/>
    <w:rsid w:val="00B47BA7"/>
    <w:rsid w:val="00B47CA8"/>
    <w:rsid w:val="00B47D3F"/>
    <w:rsid w:val="00B47D86"/>
    <w:rsid w:val="00B47DC0"/>
    <w:rsid w:val="00B47EA8"/>
    <w:rsid w:val="00B5004B"/>
    <w:rsid w:val="00B501F9"/>
    <w:rsid w:val="00B50400"/>
    <w:rsid w:val="00B50460"/>
    <w:rsid w:val="00B50663"/>
    <w:rsid w:val="00B506C1"/>
    <w:rsid w:val="00B50724"/>
    <w:rsid w:val="00B507FD"/>
    <w:rsid w:val="00B508FF"/>
    <w:rsid w:val="00B50B95"/>
    <w:rsid w:val="00B50E62"/>
    <w:rsid w:val="00B5108C"/>
    <w:rsid w:val="00B516A2"/>
    <w:rsid w:val="00B51851"/>
    <w:rsid w:val="00B51A03"/>
    <w:rsid w:val="00B51C0A"/>
    <w:rsid w:val="00B51D5A"/>
    <w:rsid w:val="00B51DC8"/>
    <w:rsid w:val="00B51DF4"/>
    <w:rsid w:val="00B51E64"/>
    <w:rsid w:val="00B52011"/>
    <w:rsid w:val="00B52042"/>
    <w:rsid w:val="00B520C7"/>
    <w:rsid w:val="00B52151"/>
    <w:rsid w:val="00B5229E"/>
    <w:rsid w:val="00B522BE"/>
    <w:rsid w:val="00B52437"/>
    <w:rsid w:val="00B524D4"/>
    <w:rsid w:val="00B52751"/>
    <w:rsid w:val="00B52858"/>
    <w:rsid w:val="00B5298E"/>
    <w:rsid w:val="00B52AAE"/>
    <w:rsid w:val="00B52B8E"/>
    <w:rsid w:val="00B52E89"/>
    <w:rsid w:val="00B52EB7"/>
    <w:rsid w:val="00B52FAA"/>
    <w:rsid w:val="00B53036"/>
    <w:rsid w:val="00B530F9"/>
    <w:rsid w:val="00B53174"/>
    <w:rsid w:val="00B531B9"/>
    <w:rsid w:val="00B534FA"/>
    <w:rsid w:val="00B53523"/>
    <w:rsid w:val="00B536BF"/>
    <w:rsid w:val="00B539ED"/>
    <w:rsid w:val="00B539F0"/>
    <w:rsid w:val="00B53BB7"/>
    <w:rsid w:val="00B53BF4"/>
    <w:rsid w:val="00B53CBE"/>
    <w:rsid w:val="00B53D59"/>
    <w:rsid w:val="00B53E4B"/>
    <w:rsid w:val="00B53FC3"/>
    <w:rsid w:val="00B54163"/>
    <w:rsid w:val="00B541AA"/>
    <w:rsid w:val="00B54204"/>
    <w:rsid w:val="00B5425B"/>
    <w:rsid w:val="00B54402"/>
    <w:rsid w:val="00B5449C"/>
    <w:rsid w:val="00B544DE"/>
    <w:rsid w:val="00B54B7F"/>
    <w:rsid w:val="00B54B90"/>
    <w:rsid w:val="00B54BB1"/>
    <w:rsid w:val="00B54D61"/>
    <w:rsid w:val="00B54DCD"/>
    <w:rsid w:val="00B54E90"/>
    <w:rsid w:val="00B55057"/>
    <w:rsid w:val="00B5507B"/>
    <w:rsid w:val="00B5537B"/>
    <w:rsid w:val="00B55564"/>
    <w:rsid w:val="00B556D6"/>
    <w:rsid w:val="00B556DA"/>
    <w:rsid w:val="00B5575A"/>
    <w:rsid w:val="00B55CE0"/>
    <w:rsid w:val="00B56119"/>
    <w:rsid w:val="00B56127"/>
    <w:rsid w:val="00B56184"/>
    <w:rsid w:val="00B56318"/>
    <w:rsid w:val="00B56427"/>
    <w:rsid w:val="00B5642F"/>
    <w:rsid w:val="00B5665B"/>
    <w:rsid w:val="00B567E2"/>
    <w:rsid w:val="00B56821"/>
    <w:rsid w:val="00B56869"/>
    <w:rsid w:val="00B56926"/>
    <w:rsid w:val="00B56A16"/>
    <w:rsid w:val="00B56A8F"/>
    <w:rsid w:val="00B56AE5"/>
    <w:rsid w:val="00B56BBA"/>
    <w:rsid w:val="00B56C7E"/>
    <w:rsid w:val="00B56C87"/>
    <w:rsid w:val="00B56ED2"/>
    <w:rsid w:val="00B56EF3"/>
    <w:rsid w:val="00B56F6D"/>
    <w:rsid w:val="00B56F90"/>
    <w:rsid w:val="00B56FD0"/>
    <w:rsid w:val="00B56FEB"/>
    <w:rsid w:val="00B57014"/>
    <w:rsid w:val="00B570D3"/>
    <w:rsid w:val="00B5722A"/>
    <w:rsid w:val="00B57389"/>
    <w:rsid w:val="00B574C7"/>
    <w:rsid w:val="00B575A7"/>
    <w:rsid w:val="00B575CA"/>
    <w:rsid w:val="00B577A7"/>
    <w:rsid w:val="00B579F0"/>
    <w:rsid w:val="00B57C74"/>
    <w:rsid w:val="00B57CF8"/>
    <w:rsid w:val="00B57D91"/>
    <w:rsid w:val="00B57E0B"/>
    <w:rsid w:val="00B57F20"/>
    <w:rsid w:val="00B57FE4"/>
    <w:rsid w:val="00B60006"/>
    <w:rsid w:val="00B600C5"/>
    <w:rsid w:val="00B6010B"/>
    <w:rsid w:val="00B60117"/>
    <w:rsid w:val="00B601C0"/>
    <w:rsid w:val="00B6021C"/>
    <w:rsid w:val="00B6037D"/>
    <w:rsid w:val="00B603E6"/>
    <w:rsid w:val="00B6065B"/>
    <w:rsid w:val="00B607D4"/>
    <w:rsid w:val="00B6083C"/>
    <w:rsid w:val="00B6094D"/>
    <w:rsid w:val="00B60A08"/>
    <w:rsid w:val="00B60A0D"/>
    <w:rsid w:val="00B60A8E"/>
    <w:rsid w:val="00B60ABD"/>
    <w:rsid w:val="00B60B20"/>
    <w:rsid w:val="00B60B8A"/>
    <w:rsid w:val="00B60E61"/>
    <w:rsid w:val="00B60FAB"/>
    <w:rsid w:val="00B61055"/>
    <w:rsid w:val="00B61113"/>
    <w:rsid w:val="00B61119"/>
    <w:rsid w:val="00B61419"/>
    <w:rsid w:val="00B61720"/>
    <w:rsid w:val="00B617F3"/>
    <w:rsid w:val="00B6187C"/>
    <w:rsid w:val="00B61B40"/>
    <w:rsid w:val="00B61C03"/>
    <w:rsid w:val="00B61C14"/>
    <w:rsid w:val="00B61C24"/>
    <w:rsid w:val="00B62286"/>
    <w:rsid w:val="00B623CB"/>
    <w:rsid w:val="00B625EA"/>
    <w:rsid w:val="00B6262A"/>
    <w:rsid w:val="00B6280F"/>
    <w:rsid w:val="00B62834"/>
    <w:rsid w:val="00B62B5B"/>
    <w:rsid w:val="00B62C00"/>
    <w:rsid w:val="00B62EDA"/>
    <w:rsid w:val="00B62F09"/>
    <w:rsid w:val="00B62F60"/>
    <w:rsid w:val="00B62F75"/>
    <w:rsid w:val="00B630FC"/>
    <w:rsid w:val="00B6338A"/>
    <w:rsid w:val="00B63586"/>
    <w:rsid w:val="00B636EF"/>
    <w:rsid w:val="00B63705"/>
    <w:rsid w:val="00B63751"/>
    <w:rsid w:val="00B639DD"/>
    <w:rsid w:val="00B63A26"/>
    <w:rsid w:val="00B63B1E"/>
    <w:rsid w:val="00B63F11"/>
    <w:rsid w:val="00B6402A"/>
    <w:rsid w:val="00B64069"/>
    <w:rsid w:val="00B6411E"/>
    <w:rsid w:val="00B642C7"/>
    <w:rsid w:val="00B64334"/>
    <w:rsid w:val="00B64430"/>
    <w:rsid w:val="00B6447F"/>
    <w:rsid w:val="00B644C6"/>
    <w:rsid w:val="00B64566"/>
    <w:rsid w:val="00B645F3"/>
    <w:rsid w:val="00B6460C"/>
    <w:rsid w:val="00B6492F"/>
    <w:rsid w:val="00B6493C"/>
    <w:rsid w:val="00B64A06"/>
    <w:rsid w:val="00B64DCF"/>
    <w:rsid w:val="00B64E7E"/>
    <w:rsid w:val="00B64FA5"/>
    <w:rsid w:val="00B65147"/>
    <w:rsid w:val="00B654C4"/>
    <w:rsid w:val="00B65521"/>
    <w:rsid w:val="00B656AC"/>
    <w:rsid w:val="00B65817"/>
    <w:rsid w:val="00B65A89"/>
    <w:rsid w:val="00B65C94"/>
    <w:rsid w:val="00B65F73"/>
    <w:rsid w:val="00B66357"/>
    <w:rsid w:val="00B664C7"/>
    <w:rsid w:val="00B66583"/>
    <w:rsid w:val="00B665DB"/>
    <w:rsid w:val="00B666D0"/>
    <w:rsid w:val="00B666DC"/>
    <w:rsid w:val="00B668DA"/>
    <w:rsid w:val="00B6693C"/>
    <w:rsid w:val="00B669AF"/>
    <w:rsid w:val="00B66C82"/>
    <w:rsid w:val="00B66CE3"/>
    <w:rsid w:val="00B66D7D"/>
    <w:rsid w:val="00B66DAD"/>
    <w:rsid w:val="00B66E35"/>
    <w:rsid w:val="00B6702F"/>
    <w:rsid w:val="00B67130"/>
    <w:rsid w:val="00B67177"/>
    <w:rsid w:val="00B671ED"/>
    <w:rsid w:val="00B67209"/>
    <w:rsid w:val="00B677AA"/>
    <w:rsid w:val="00B67A31"/>
    <w:rsid w:val="00B67A65"/>
    <w:rsid w:val="00B67AA4"/>
    <w:rsid w:val="00B67B28"/>
    <w:rsid w:val="00B67BA8"/>
    <w:rsid w:val="00B7010B"/>
    <w:rsid w:val="00B701BB"/>
    <w:rsid w:val="00B7021D"/>
    <w:rsid w:val="00B70276"/>
    <w:rsid w:val="00B7029B"/>
    <w:rsid w:val="00B7037A"/>
    <w:rsid w:val="00B70454"/>
    <w:rsid w:val="00B704A6"/>
    <w:rsid w:val="00B708CA"/>
    <w:rsid w:val="00B70A2D"/>
    <w:rsid w:val="00B70C72"/>
    <w:rsid w:val="00B70CD1"/>
    <w:rsid w:val="00B70CF3"/>
    <w:rsid w:val="00B70DCB"/>
    <w:rsid w:val="00B712E5"/>
    <w:rsid w:val="00B71330"/>
    <w:rsid w:val="00B7161E"/>
    <w:rsid w:val="00B7163E"/>
    <w:rsid w:val="00B71773"/>
    <w:rsid w:val="00B71784"/>
    <w:rsid w:val="00B7180D"/>
    <w:rsid w:val="00B7184C"/>
    <w:rsid w:val="00B718E1"/>
    <w:rsid w:val="00B71930"/>
    <w:rsid w:val="00B719D0"/>
    <w:rsid w:val="00B71B47"/>
    <w:rsid w:val="00B71CE7"/>
    <w:rsid w:val="00B71D7D"/>
    <w:rsid w:val="00B71EAF"/>
    <w:rsid w:val="00B72083"/>
    <w:rsid w:val="00B7211D"/>
    <w:rsid w:val="00B721E8"/>
    <w:rsid w:val="00B725C6"/>
    <w:rsid w:val="00B727C8"/>
    <w:rsid w:val="00B72820"/>
    <w:rsid w:val="00B728DD"/>
    <w:rsid w:val="00B729B2"/>
    <w:rsid w:val="00B72B81"/>
    <w:rsid w:val="00B72DB7"/>
    <w:rsid w:val="00B72FC0"/>
    <w:rsid w:val="00B73144"/>
    <w:rsid w:val="00B73198"/>
    <w:rsid w:val="00B732D4"/>
    <w:rsid w:val="00B734FA"/>
    <w:rsid w:val="00B7361F"/>
    <w:rsid w:val="00B736DF"/>
    <w:rsid w:val="00B7379D"/>
    <w:rsid w:val="00B7382E"/>
    <w:rsid w:val="00B739F0"/>
    <w:rsid w:val="00B73ABA"/>
    <w:rsid w:val="00B73AEB"/>
    <w:rsid w:val="00B73C0C"/>
    <w:rsid w:val="00B73C28"/>
    <w:rsid w:val="00B73FE8"/>
    <w:rsid w:val="00B7400C"/>
    <w:rsid w:val="00B7417E"/>
    <w:rsid w:val="00B743EC"/>
    <w:rsid w:val="00B744A8"/>
    <w:rsid w:val="00B7461C"/>
    <w:rsid w:val="00B749DA"/>
    <w:rsid w:val="00B74A4A"/>
    <w:rsid w:val="00B74A79"/>
    <w:rsid w:val="00B74C59"/>
    <w:rsid w:val="00B74E6E"/>
    <w:rsid w:val="00B74EC8"/>
    <w:rsid w:val="00B74FF2"/>
    <w:rsid w:val="00B75042"/>
    <w:rsid w:val="00B751B3"/>
    <w:rsid w:val="00B751E6"/>
    <w:rsid w:val="00B75321"/>
    <w:rsid w:val="00B75388"/>
    <w:rsid w:val="00B75616"/>
    <w:rsid w:val="00B75954"/>
    <w:rsid w:val="00B75C06"/>
    <w:rsid w:val="00B75DBE"/>
    <w:rsid w:val="00B75F2A"/>
    <w:rsid w:val="00B75FE2"/>
    <w:rsid w:val="00B764B5"/>
    <w:rsid w:val="00B7668E"/>
    <w:rsid w:val="00B767E1"/>
    <w:rsid w:val="00B76869"/>
    <w:rsid w:val="00B768CA"/>
    <w:rsid w:val="00B768FC"/>
    <w:rsid w:val="00B76962"/>
    <w:rsid w:val="00B76972"/>
    <w:rsid w:val="00B76987"/>
    <w:rsid w:val="00B76A0F"/>
    <w:rsid w:val="00B76A32"/>
    <w:rsid w:val="00B76B79"/>
    <w:rsid w:val="00B76F03"/>
    <w:rsid w:val="00B77220"/>
    <w:rsid w:val="00B772FB"/>
    <w:rsid w:val="00B7740F"/>
    <w:rsid w:val="00B774F0"/>
    <w:rsid w:val="00B77814"/>
    <w:rsid w:val="00B77846"/>
    <w:rsid w:val="00B778FE"/>
    <w:rsid w:val="00B77974"/>
    <w:rsid w:val="00B77D1C"/>
    <w:rsid w:val="00B77D27"/>
    <w:rsid w:val="00B77F39"/>
    <w:rsid w:val="00B802C3"/>
    <w:rsid w:val="00B802F4"/>
    <w:rsid w:val="00B804D1"/>
    <w:rsid w:val="00B804F9"/>
    <w:rsid w:val="00B80669"/>
    <w:rsid w:val="00B8073A"/>
    <w:rsid w:val="00B807E8"/>
    <w:rsid w:val="00B8086F"/>
    <w:rsid w:val="00B809B5"/>
    <w:rsid w:val="00B80A47"/>
    <w:rsid w:val="00B80A71"/>
    <w:rsid w:val="00B80BF7"/>
    <w:rsid w:val="00B80C23"/>
    <w:rsid w:val="00B80C31"/>
    <w:rsid w:val="00B80CD7"/>
    <w:rsid w:val="00B80DC9"/>
    <w:rsid w:val="00B80E3F"/>
    <w:rsid w:val="00B811A0"/>
    <w:rsid w:val="00B8125D"/>
    <w:rsid w:val="00B81328"/>
    <w:rsid w:val="00B8139F"/>
    <w:rsid w:val="00B81402"/>
    <w:rsid w:val="00B81421"/>
    <w:rsid w:val="00B81844"/>
    <w:rsid w:val="00B818B6"/>
    <w:rsid w:val="00B818C3"/>
    <w:rsid w:val="00B819CB"/>
    <w:rsid w:val="00B81AA2"/>
    <w:rsid w:val="00B81AED"/>
    <w:rsid w:val="00B81E98"/>
    <w:rsid w:val="00B8209F"/>
    <w:rsid w:val="00B820F3"/>
    <w:rsid w:val="00B822DE"/>
    <w:rsid w:val="00B82327"/>
    <w:rsid w:val="00B823BC"/>
    <w:rsid w:val="00B82484"/>
    <w:rsid w:val="00B82496"/>
    <w:rsid w:val="00B82505"/>
    <w:rsid w:val="00B8263F"/>
    <w:rsid w:val="00B82759"/>
    <w:rsid w:val="00B82839"/>
    <w:rsid w:val="00B8288D"/>
    <w:rsid w:val="00B829EB"/>
    <w:rsid w:val="00B82AEF"/>
    <w:rsid w:val="00B82B0E"/>
    <w:rsid w:val="00B82B0F"/>
    <w:rsid w:val="00B82BA5"/>
    <w:rsid w:val="00B82CE1"/>
    <w:rsid w:val="00B82DCE"/>
    <w:rsid w:val="00B82F43"/>
    <w:rsid w:val="00B831AF"/>
    <w:rsid w:val="00B831FC"/>
    <w:rsid w:val="00B832A2"/>
    <w:rsid w:val="00B832F7"/>
    <w:rsid w:val="00B83521"/>
    <w:rsid w:val="00B835DE"/>
    <w:rsid w:val="00B83722"/>
    <w:rsid w:val="00B8373D"/>
    <w:rsid w:val="00B83802"/>
    <w:rsid w:val="00B83868"/>
    <w:rsid w:val="00B83AF7"/>
    <w:rsid w:val="00B83E3F"/>
    <w:rsid w:val="00B83F7D"/>
    <w:rsid w:val="00B84023"/>
    <w:rsid w:val="00B84041"/>
    <w:rsid w:val="00B84226"/>
    <w:rsid w:val="00B84227"/>
    <w:rsid w:val="00B84523"/>
    <w:rsid w:val="00B8452F"/>
    <w:rsid w:val="00B84A12"/>
    <w:rsid w:val="00B84D24"/>
    <w:rsid w:val="00B84D71"/>
    <w:rsid w:val="00B851FF"/>
    <w:rsid w:val="00B85396"/>
    <w:rsid w:val="00B85457"/>
    <w:rsid w:val="00B858F5"/>
    <w:rsid w:val="00B85B12"/>
    <w:rsid w:val="00B85B36"/>
    <w:rsid w:val="00B85C25"/>
    <w:rsid w:val="00B85C58"/>
    <w:rsid w:val="00B85FF1"/>
    <w:rsid w:val="00B86155"/>
    <w:rsid w:val="00B86199"/>
    <w:rsid w:val="00B861E5"/>
    <w:rsid w:val="00B86260"/>
    <w:rsid w:val="00B86283"/>
    <w:rsid w:val="00B86458"/>
    <w:rsid w:val="00B8654C"/>
    <w:rsid w:val="00B86607"/>
    <w:rsid w:val="00B86995"/>
    <w:rsid w:val="00B86D4D"/>
    <w:rsid w:val="00B86D5C"/>
    <w:rsid w:val="00B86D84"/>
    <w:rsid w:val="00B86F15"/>
    <w:rsid w:val="00B87051"/>
    <w:rsid w:val="00B87087"/>
    <w:rsid w:val="00B87229"/>
    <w:rsid w:val="00B87356"/>
    <w:rsid w:val="00B8735F"/>
    <w:rsid w:val="00B87365"/>
    <w:rsid w:val="00B87493"/>
    <w:rsid w:val="00B8789F"/>
    <w:rsid w:val="00B878B4"/>
    <w:rsid w:val="00B87AC3"/>
    <w:rsid w:val="00B87E28"/>
    <w:rsid w:val="00B9022D"/>
    <w:rsid w:val="00B90283"/>
    <w:rsid w:val="00B90463"/>
    <w:rsid w:val="00B904D4"/>
    <w:rsid w:val="00B90830"/>
    <w:rsid w:val="00B90A1E"/>
    <w:rsid w:val="00B90B0E"/>
    <w:rsid w:val="00B90B3C"/>
    <w:rsid w:val="00B90B6D"/>
    <w:rsid w:val="00B90EC5"/>
    <w:rsid w:val="00B90F37"/>
    <w:rsid w:val="00B9101D"/>
    <w:rsid w:val="00B910E4"/>
    <w:rsid w:val="00B9112B"/>
    <w:rsid w:val="00B912AB"/>
    <w:rsid w:val="00B912C6"/>
    <w:rsid w:val="00B91570"/>
    <w:rsid w:val="00B91806"/>
    <w:rsid w:val="00B91821"/>
    <w:rsid w:val="00B91876"/>
    <w:rsid w:val="00B91951"/>
    <w:rsid w:val="00B91A33"/>
    <w:rsid w:val="00B91AAE"/>
    <w:rsid w:val="00B91D4B"/>
    <w:rsid w:val="00B91E1B"/>
    <w:rsid w:val="00B91E96"/>
    <w:rsid w:val="00B91FA1"/>
    <w:rsid w:val="00B91FC2"/>
    <w:rsid w:val="00B9219B"/>
    <w:rsid w:val="00B921BC"/>
    <w:rsid w:val="00B92350"/>
    <w:rsid w:val="00B926AB"/>
    <w:rsid w:val="00B926B1"/>
    <w:rsid w:val="00B92837"/>
    <w:rsid w:val="00B9298E"/>
    <w:rsid w:val="00B92A22"/>
    <w:rsid w:val="00B92BB9"/>
    <w:rsid w:val="00B92D1A"/>
    <w:rsid w:val="00B92FBB"/>
    <w:rsid w:val="00B93056"/>
    <w:rsid w:val="00B93308"/>
    <w:rsid w:val="00B9341E"/>
    <w:rsid w:val="00B93711"/>
    <w:rsid w:val="00B9376C"/>
    <w:rsid w:val="00B93A41"/>
    <w:rsid w:val="00B93A9C"/>
    <w:rsid w:val="00B93CEF"/>
    <w:rsid w:val="00B93DBA"/>
    <w:rsid w:val="00B93DD0"/>
    <w:rsid w:val="00B93DF1"/>
    <w:rsid w:val="00B93E10"/>
    <w:rsid w:val="00B93EEA"/>
    <w:rsid w:val="00B93F24"/>
    <w:rsid w:val="00B93F52"/>
    <w:rsid w:val="00B93F8F"/>
    <w:rsid w:val="00B9412B"/>
    <w:rsid w:val="00B942F9"/>
    <w:rsid w:val="00B944C3"/>
    <w:rsid w:val="00B94759"/>
    <w:rsid w:val="00B947E4"/>
    <w:rsid w:val="00B94815"/>
    <w:rsid w:val="00B9496F"/>
    <w:rsid w:val="00B949D0"/>
    <w:rsid w:val="00B94BE3"/>
    <w:rsid w:val="00B94CE1"/>
    <w:rsid w:val="00B94D82"/>
    <w:rsid w:val="00B94E2B"/>
    <w:rsid w:val="00B94F34"/>
    <w:rsid w:val="00B94F46"/>
    <w:rsid w:val="00B95181"/>
    <w:rsid w:val="00B95547"/>
    <w:rsid w:val="00B955DC"/>
    <w:rsid w:val="00B95608"/>
    <w:rsid w:val="00B95881"/>
    <w:rsid w:val="00B95D80"/>
    <w:rsid w:val="00B95EE8"/>
    <w:rsid w:val="00B96037"/>
    <w:rsid w:val="00B960D0"/>
    <w:rsid w:val="00B9615B"/>
    <w:rsid w:val="00B9634C"/>
    <w:rsid w:val="00B96556"/>
    <w:rsid w:val="00B965F7"/>
    <w:rsid w:val="00B966D7"/>
    <w:rsid w:val="00B96969"/>
    <w:rsid w:val="00B969F7"/>
    <w:rsid w:val="00B96AFA"/>
    <w:rsid w:val="00B96AFB"/>
    <w:rsid w:val="00B96BE1"/>
    <w:rsid w:val="00B96C0A"/>
    <w:rsid w:val="00B96C71"/>
    <w:rsid w:val="00B96CC1"/>
    <w:rsid w:val="00B96D51"/>
    <w:rsid w:val="00B96D6D"/>
    <w:rsid w:val="00B96E48"/>
    <w:rsid w:val="00B96EE7"/>
    <w:rsid w:val="00B96FC2"/>
    <w:rsid w:val="00B96FD6"/>
    <w:rsid w:val="00B96FDA"/>
    <w:rsid w:val="00B972AD"/>
    <w:rsid w:val="00B97548"/>
    <w:rsid w:val="00B97584"/>
    <w:rsid w:val="00B978C7"/>
    <w:rsid w:val="00B979E6"/>
    <w:rsid w:val="00B97B69"/>
    <w:rsid w:val="00B97BAA"/>
    <w:rsid w:val="00B97D06"/>
    <w:rsid w:val="00B97D39"/>
    <w:rsid w:val="00B97DED"/>
    <w:rsid w:val="00B97E88"/>
    <w:rsid w:val="00B97EAB"/>
    <w:rsid w:val="00BA0146"/>
    <w:rsid w:val="00BA01F3"/>
    <w:rsid w:val="00BA03D9"/>
    <w:rsid w:val="00BA044F"/>
    <w:rsid w:val="00BA04C1"/>
    <w:rsid w:val="00BA0531"/>
    <w:rsid w:val="00BA057E"/>
    <w:rsid w:val="00BA0735"/>
    <w:rsid w:val="00BA07EB"/>
    <w:rsid w:val="00BA0898"/>
    <w:rsid w:val="00BA097E"/>
    <w:rsid w:val="00BA0BA9"/>
    <w:rsid w:val="00BA0E86"/>
    <w:rsid w:val="00BA0F5A"/>
    <w:rsid w:val="00BA103A"/>
    <w:rsid w:val="00BA1119"/>
    <w:rsid w:val="00BA1172"/>
    <w:rsid w:val="00BA124E"/>
    <w:rsid w:val="00BA12FC"/>
    <w:rsid w:val="00BA14F8"/>
    <w:rsid w:val="00BA1997"/>
    <w:rsid w:val="00BA1AC4"/>
    <w:rsid w:val="00BA1B5F"/>
    <w:rsid w:val="00BA1B7D"/>
    <w:rsid w:val="00BA1DCE"/>
    <w:rsid w:val="00BA1FBF"/>
    <w:rsid w:val="00BA2347"/>
    <w:rsid w:val="00BA26E5"/>
    <w:rsid w:val="00BA2767"/>
    <w:rsid w:val="00BA2773"/>
    <w:rsid w:val="00BA28A6"/>
    <w:rsid w:val="00BA2E88"/>
    <w:rsid w:val="00BA34A1"/>
    <w:rsid w:val="00BA357A"/>
    <w:rsid w:val="00BA377B"/>
    <w:rsid w:val="00BA3865"/>
    <w:rsid w:val="00BA3951"/>
    <w:rsid w:val="00BA39F9"/>
    <w:rsid w:val="00BA3A22"/>
    <w:rsid w:val="00BA3A90"/>
    <w:rsid w:val="00BA3D35"/>
    <w:rsid w:val="00BA3E59"/>
    <w:rsid w:val="00BA3FEC"/>
    <w:rsid w:val="00BA40E3"/>
    <w:rsid w:val="00BA41BB"/>
    <w:rsid w:val="00BA41ED"/>
    <w:rsid w:val="00BA43F5"/>
    <w:rsid w:val="00BA446B"/>
    <w:rsid w:val="00BA474B"/>
    <w:rsid w:val="00BA4896"/>
    <w:rsid w:val="00BA49F1"/>
    <w:rsid w:val="00BA4BAA"/>
    <w:rsid w:val="00BA4E39"/>
    <w:rsid w:val="00BA4EE0"/>
    <w:rsid w:val="00BA510D"/>
    <w:rsid w:val="00BA525A"/>
    <w:rsid w:val="00BA52CC"/>
    <w:rsid w:val="00BA5547"/>
    <w:rsid w:val="00BA563D"/>
    <w:rsid w:val="00BA57B2"/>
    <w:rsid w:val="00BA5A9F"/>
    <w:rsid w:val="00BA5B1B"/>
    <w:rsid w:val="00BA5D30"/>
    <w:rsid w:val="00BA5D85"/>
    <w:rsid w:val="00BA5D89"/>
    <w:rsid w:val="00BA5E21"/>
    <w:rsid w:val="00BA5E25"/>
    <w:rsid w:val="00BA5EC9"/>
    <w:rsid w:val="00BA60AA"/>
    <w:rsid w:val="00BA60DD"/>
    <w:rsid w:val="00BA61EB"/>
    <w:rsid w:val="00BA622C"/>
    <w:rsid w:val="00BA6498"/>
    <w:rsid w:val="00BA657E"/>
    <w:rsid w:val="00BA6625"/>
    <w:rsid w:val="00BA66F5"/>
    <w:rsid w:val="00BA675A"/>
    <w:rsid w:val="00BA6773"/>
    <w:rsid w:val="00BA690F"/>
    <w:rsid w:val="00BA6A20"/>
    <w:rsid w:val="00BA6CA1"/>
    <w:rsid w:val="00BA6ED0"/>
    <w:rsid w:val="00BA6F42"/>
    <w:rsid w:val="00BA6FEA"/>
    <w:rsid w:val="00BA7389"/>
    <w:rsid w:val="00BA7561"/>
    <w:rsid w:val="00BA76AD"/>
    <w:rsid w:val="00BA789F"/>
    <w:rsid w:val="00BA79E1"/>
    <w:rsid w:val="00BA7A7E"/>
    <w:rsid w:val="00BA7AE5"/>
    <w:rsid w:val="00BA7B91"/>
    <w:rsid w:val="00BA7C97"/>
    <w:rsid w:val="00BA7D10"/>
    <w:rsid w:val="00BB000F"/>
    <w:rsid w:val="00BB028F"/>
    <w:rsid w:val="00BB03E2"/>
    <w:rsid w:val="00BB0409"/>
    <w:rsid w:val="00BB046B"/>
    <w:rsid w:val="00BB05EA"/>
    <w:rsid w:val="00BB0642"/>
    <w:rsid w:val="00BB06E4"/>
    <w:rsid w:val="00BB0722"/>
    <w:rsid w:val="00BB0735"/>
    <w:rsid w:val="00BB084C"/>
    <w:rsid w:val="00BB0977"/>
    <w:rsid w:val="00BB09B6"/>
    <w:rsid w:val="00BB09D1"/>
    <w:rsid w:val="00BB0C50"/>
    <w:rsid w:val="00BB0E71"/>
    <w:rsid w:val="00BB1008"/>
    <w:rsid w:val="00BB131D"/>
    <w:rsid w:val="00BB1326"/>
    <w:rsid w:val="00BB1337"/>
    <w:rsid w:val="00BB161B"/>
    <w:rsid w:val="00BB17AC"/>
    <w:rsid w:val="00BB17BF"/>
    <w:rsid w:val="00BB1A03"/>
    <w:rsid w:val="00BB1B26"/>
    <w:rsid w:val="00BB1CA4"/>
    <w:rsid w:val="00BB1CA9"/>
    <w:rsid w:val="00BB1D5B"/>
    <w:rsid w:val="00BB1E2F"/>
    <w:rsid w:val="00BB21EF"/>
    <w:rsid w:val="00BB2200"/>
    <w:rsid w:val="00BB23AC"/>
    <w:rsid w:val="00BB2533"/>
    <w:rsid w:val="00BB255E"/>
    <w:rsid w:val="00BB26B6"/>
    <w:rsid w:val="00BB2769"/>
    <w:rsid w:val="00BB285E"/>
    <w:rsid w:val="00BB28FA"/>
    <w:rsid w:val="00BB2A56"/>
    <w:rsid w:val="00BB2C24"/>
    <w:rsid w:val="00BB2D85"/>
    <w:rsid w:val="00BB2F53"/>
    <w:rsid w:val="00BB3159"/>
    <w:rsid w:val="00BB324D"/>
    <w:rsid w:val="00BB3349"/>
    <w:rsid w:val="00BB3421"/>
    <w:rsid w:val="00BB3696"/>
    <w:rsid w:val="00BB37AF"/>
    <w:rsid w:val="00BB3887"/>
    <w:rsid w:val="00BB3908"/>
    <w:rsid w:val="00BB3962"/>
    <w:rsid w:val="00BB3A6A"/>
    <w:rsid w:val="00BB3A81"/>
    <w:rsid w:val="00BB3AF6"/>
    <w:rsid w:val="00BB3E91"/>
    <w:rsid w:val="00BB400F"/>
    <w:rsid w:val="00BB40D6"/>
    <w:rsid w:val="00BB4187"/>
    <w:rsid w:val="00BB44A5"/>
    <w:rsid w:val="00BB4579"/>
    <w:rsid w:val="00BB4656"/>
    <w:rsid w:val="00BB4772"/>
    <w:rsid w:val="00BB47FD"/>
    <w:rsid w:val="00BB49C4"/>
    <w:rsid w:val="00BB4A9F"/>
    <w:rsid w:val="00BB4CF8"/>
    <w:rsid w:val="00BB4ED3"/>
    <w:rsid w:val="00BB4FA9"/>
    <w:rsid w:val="00BB4FE0"/>
    <w:rsid w:val="00BB5150"/>
    <w:rsid w:val="00BB5199"/>
    <w:rsid w:val="00BB51C9"/>
    <w:rsid w:val="00BB52FE"/>
    <w:rsid w:val="00BB530F"/>
    <w:rsid w:val="00BB54FE"/>
    <w:rsid w:val="00BB553C"/>
    <w:rsid w:val="00BB573D"/>
    <w:rsid w:val="00BB5AA4"/>
    <w:rsid w:val="00BB5C3D"/>
    <w:rsid w:val="00BB5DD8"/>
    <w:rsid w:val="00BB5E66"/>
    <w:rsid w:val="00BB6014"/>
    <w:rsid w:val="00BB60BC"/>
    <w:rsid w:val="00BB61A0"/>
    <w:rsid w:val="00BB68A0"/>
    <w:rsid w:val="00BB6924"/>
    <w:rsid w:val="00BB6C2B"/>
    <w:rsid w:val="00BB6C6D"/>
    <w:rsid w:val="00BB6CCC"/>
    <w:rsid w:val="00BB6CDF"/>
    <w:rsid w:val="00BB6D3C"/>
    <w:rsid w:val="00BB6DBC"/>
    <w:rsid w:val="00BB7084"/>
    <w:rsid w:val="00BB709D"/>
    <w:rsid w:val="00BB717E"/>
    <w:rsid w:val="00BB730B"/>
    <w:rsid w:val="00BB7378"/>
    <w:rsid w:val="00BB73D2"/>
    <w:rsid w:val="00BB7BFF"/>
    <w:rsid w:val="00BB7D28"/>
    <w:rsid w:val="00BB7DE3"/>
    <w:rsid w:val="00BB7E64"/>
    <w:rsid w:val="00BC0158"/>
    <w:rsid w:val="00BC0194"/>
    <w:rsid w:val="00BC01F3"/>
    <w:rsid w:val="00BC048A"/>
    <w:rsid w:val="00BC04E5"/>
    <w:rsid w:val="00BC052C"/>
    <w:rsid w:val="00BC05F5"/>
    <w:rsid w:val="00BC0772"/>
    <w:rsid w:val="00BC08F7"/>
    <w:rsid w:val="00BC0D44"/>
    <w:rsid w:val="00BC0F19"/>
    <w:rsid w:val="00BC13EE"/>
    <w:rsid w:val="00BC141D"/>
    <w:rsid w:val="00BC149F"/>
    <w:rsid w:val="00BC14BF"/>
    <w:rsid w:val="00BC1655"/>
    <w:rsid w:val="00BC17B2"/>
    <w:rsid w:val="00BC1A40"/>
    <w:rsid w:val="00BC1BAD"/>
    <w:rsid w:val="00BC1C60"/>
    <w:rsid w:val="00BC1C7B"/>
    <w:rsid w:val="00BC1CAF"/>
    <w:rsid w:val="00BC1D4F"/>
    <w:rsid w:val="00BC1D98"/>
    <w:rsid w:val="00BC1E56"/>
    <w:rsid w:val="00BC1EE6"/>
    <w:rsid w:val="00BC1FC0"/>
    <w:rsid w:val="00BC200C"/>
    <w:rsid w:val="00BC21F5"/>
    <w:rsid w:val="00BC2350"/>
    <w:rsid w:val="00BC2613"/>
    <w:rsid w:val="00BC2676"/>
    <w:rsid w:val="00BC2732"/>
    <w:rsid w:val="00BC287E"/>
    <w:rsid w:val="00BC2C19"/>
    <w:rsid w:val="00BC2D11"/>
    <w:rsid w:val="00BC2DDF"/>
    <w:rsid w:val="00BC3178"/>
    <w:rsid w:val="00BC318D"/>
    <w:rsid w:val="00BC3262"/>
    <w:rsid w:val="00BC33D3"/>
    <w:rsid w:val="00BC3617"/>
    <w:rsid w:val="00BC36B3"/>
    <w:rsid w:val="00BC3A27"/>
    <w:rsid w:val="00BC3B0D"/>
    <w:rsid w:val="00BC3C3A"/>
    <w:rsid w:val="00BC3F34"/>
    <w:rsid w:val="00BC3F87"/>
    <w:rsid w:val="00BC4023"/>
    <w:rsid w:val="00BC41C7"/>
    <w:rsid w:val="00BC41E1"/>
    <w:rsid w:val="00BC423B"/>
    <w:rsid w:val="00BC431A"/>
    <w:rsid w:val="00BC4460"/>
    <w:rsid w:val="00BC446F"/>
    <w:rsid w:val="00BC458E"/>
    <w:rsid w:val="00BC45EB"/>
    <w:rsid w:val="00BC4677"/>
    <w:rsid w:val="00BC4700"/>
    <w:rsid w:val="00BC4706"/>
    <w:rsid w:val="00BC4769"/>
    <w:rsid w:val="00BC47DE"/>
    <w:rsid w:val="00BC4874"/>
    <w:rsid w:val="00BC4A83"/>
    <w:rsid w:val="00BC4A8B"/>
    <w:rsid w:val="00BC4BE6"/>
    <w:rsid w:val="00BC4C6F"/>
    <w:rsid w:val="00BC4E1A"/>
    <w:rsid w:val="00BC4E81"/>
    <w:rsid w:val="00BC4EB7"/>
    <w:rsid w:val="00BC5217"/>
    <w:rsid w:val="00BC523E"/>
    <w:rsid w:val="00BC52C7"/>
    <w:rsid w:val="00BC5351"/>
    <w:rsid w:val="00BC54A7"/>
    <w:rsid w:val="00BC5602"/>
    <w:rsid w:val="00BC56AF"/>
    <w:rsid w:val="00BC571A"/>
    <w:rsid w:val="00BC575E"/>
    <w:rsid w:val="00BC5A25"/>
    <w:rsid w:val="00BC5B9A"/>
    <w:rsid w:val="00BC5C14"/>
    <w:rsid w:val="00BC5C44"/>
    <w:rsid w:val="00BC5D0D"/>
    <w:rsid w:val="00BC5D39"/>
    <w:rsid w:val="00BC5D92"/>
    <w:rsid w:val="00BC5DB2"/>
    <w:rsid w:val="00BC5F6B"/>
    <w:rsid w:val="00BC6079"/>
    <w:rsid w:val="00BC60BF"/>
    <w:rsid w:val="00BC62B3"/>
    <w:rsid w:val="00BC6364"/>
    <w:rsid w:val="00BC6440"/>
    <w:rsid w:val="00BC668B"/>
    <w:rsid w:val="00BC6690"/>
    <w:rsid w:val="00BC6766"/>
    <w:rsid w:val="00BC6789"/>
    <w:rsid w:val="00BC68E9"/>
    <w:rsid w:val="00BC6916"/>
    <w:rsid w:val="00BC6B75"/>
    <w:rsid w:val="00BC6BD1"/>
    <w:rsid w:val="00BC6C47"/>
    <w:rsid w:val="00BC6D4A"/>
    <w:rsid w:val="00BC6D99"/>
    <w:rsid w:val="00BC6FCC"/>
    <w:rsid w:val="00BC715E"/>
    <w:rsid w:val="00BC7281"/>
    <w:rsid w:val="00BC7522"/>
    <w:rsid w:val="00BC76DC"/>
    <w:rsid w:val="00BC7701"/>
    <w:rsid w:val="00BC77AE"/>
    <w:rsid w:val="00BC77D0"/>
    <w:rsid w:val="00BC77DB"/>
    <w:rsid w:val="00BC79F9"/>
    <w:rsid w:val="00BC7C18"/>
    <w:rsid w:val="00BC7CFE"/>
    <w:rsid w:val="00BC7F9E"/>
    <w:rsid w:val="00BD00FD"/>
    <w:rsid w:val="00BD02AB"/>
    <w:rsid w:val="00BD02DA"/>
    <w:rsid w:val="00BD0324"/>
    <w:rsid w:val="00BD0465"/>
    <w:rsid w:val="00BD04B1"/>
    <w:rsid w:val="00BD058F"/>
    <w:rsid w:val="00BD059F"/>
    <w:rsid w:val="00BD0693"/>
    <w:rsid w:val="00BD06B0"/>
    <w:rsid w:val="00BD0736"/>
    <w:rsid w:val="00BD07E6"/>
    <w:rsid w:val="00BD08A0"/>
    <w:rsid w:val="00BD0929"/>
    <w:rsid w:val="00BD0C13"/>
    <w:rsid w:val="00BD0DC0"/>
    <w:rsid w:val="00BD18BA"/>
    <w:rsid w:val="00BD1910"/>
    <w:rsid w:val="00BD1AD9"/>
    <w:rsid w:val="00BD1B43"/>
    <w:rsid w:val="00BD1C65"/>
    <w:rsid w:val="00BD1CDE"/>
    <w:rsid w:val="00BD1D7E"/>
    <w:rsid w:val="00BD1D8A"/>
    <w:rsid w:val="00BD1E90"/>
    <w:rsid w:val="00BD1EAD"/>
    <w:rsid w:val="00BD1FFC"/>
    <w:rsid w:val="00BD2049"/>
    <w:rsid w:val="00BD206A"/>
    <w:rsid w:val="00BD2298"/>
    <w:rsid w:val="00BD234C"/>
    <w:rsid w:val="00BD2376"/>
    <w:rsid w:val="00BD26D7"/>
    <w:rsid w:val="00BD27FC"/>
    <w:rsid w:val="00BD2865"/>
    <w:rsid w:val="00BD2AB1"/>
    <w:rsid w:val="00BD2BE2"/>
    <w:rsid w:val="00BD2C7F"/>
    <w:rsid w:val="00BD2D90"/>
    <w:rsid w:val="00BD2E40"/>
    <w:rsid w:val="00BD311D"/>
    <w:rsid w:val="00BD3187"/>
    <w:rsid w:val="00BD34B5"/>
    <w:rsid w:val="00BD387A"/>
    <w:rsid w:val="00BD3B32"/>
    <w:rsid w:val="00BD3BA4"/>
    <w:rsid w:val="00BD3BAA"/>
    <w:rsid w:val="00BD3C7D"/>
    <w:rsid w:val="00BD3D52"/>
    <w:rsid w:val="00BD3DA5"/>
    <w:rsid w:val="00BD3DD4"/>
    <w:rsid w:val="00BD3DF4"/>
    <w:rsid w:val="00BD417D"/>
    <w:rsid w:val="00BD4203"/>
    <w:rsid w:val="00BD42BB"/>
    <w:rsid w:val="00BD44F4"/>
    <w:rsid w:val="00BD4508"/>
    <w:rsid w:val="00BD467C"/>
    <w:rsid w:val="00BD46A9"/>
    <w:rsid w:val="00BD4745"/>
    <w:rsid w:val="00BD47A1"/>
    <w:rsid w:val="00BD4865"/>
    <w:rsid w:val="00BD4A72"/>
    <w:rsid w:val="00BD4C12"/>
    <w:rsid w:val="00BD4DB5"/>
    <w:rsid w:val="00BD4DE3"/>
    <w:rsid w:val="00BD4F8A"/>
    <w:rsid w:val="00BD50EC"/>
    <w:rsid w:val="00BD5313"/>
    <w:rsid w:val="00BD560B"/>
    <w:rsid w:val="00BD5712"/>
    <w:rsid w:val="00BD5753"/>
    <w:rsid w:val="00BD57BD"/>
    <w:rsid w:val="00BD5839"/>
    <w:rsid w:val="00BD58E4"/>
    <w:rsid w:val="00BD59E3"/>
    <w:rsid w:val="00BD5A47"/>
    <w:rsid w:val="00BD5CB6"/>
    <w:rsid w:val="00BD5DE4"/>
    <w:rsid w:val="00BD5EBE"/>
    <w:rsid w:val="00BD5F44"/>
    <w:rsid w:val="00BD62A8"/>
    <w:rsid w:val="00BD6765"/>
    <w:rsid w:val="00BD6774"/>
    <w:rsid w:val="00BD6880"/>
    <w:rsid w:val="00BD6A4D"/>
    <w:rsid w:val="00BD6BA9"/>
    <w:rsid w:val="00BD6BF3"/>
    <w:rsid w:val="00BD6D00"/>
    <w:rsid w:val="00BD6E78"/>
    <w:rsid w:val="00BD6FF1"/>
    <w:rsid w:val="00BD7047"/>
    <w:rsid w:val="00BD722A"/>
    <w:rsid w:val="00BD73D8"/>
    <w:rsid w:val="00BD73DF"/>
    <w:rsid w:val="00BD75CA"/>
    <w:rsid w:val="00BD7A30"/>
    <w:rsid w:val="00BD7BC9"/>
    <w:rsid w:val="00BD7BDE"/>
    <w:rsid w:val="00BD7D06"/>
    <w:rsid w:val="00BD7F35"/>
    <w:rsid w:val="00BE009B"/>
    <w:rsid w:val="00BE025B"/>
    <w:rsid w:val="00BE05C2"/>
    <w:rsid w:val="00BE077F"/>
    <w:rsid w:val="00BE07D0"/>
    <w:rsid w:val="00BE07F0"/>
    <w:rsid w:val="00BE08D3"/>
    <w:rsid w:val="00BE0BCE"/>
    <w:rsid w:val="00BE0C07"/>
    <w:rsid w:val="00BE0FA0"/>
    <w:rsid w:val="00BE0FAB"/>
    <w:rsid w:val="00BE1243"/>
    <w:rsid w:val="00BE1248"/>
    <w:rsid w:val="00BE12E3"/>
    <w:rsid w:val="00BE13AA"/>
    <w:rsid w:val="00BE1438"/>
    <w:rsid w:val="00BE1767"/>
    <w:rsid w:val="00BE1A6D"/>
    <w:rsid w:val="00BE1BA1"/>
    <w:rsid w:val="00BE1C6F"/>
    <w:rsid w:val="00BE1D8F"/>
    <w:rsid w:val="00BE1EDA"/>
    <w:rsid w:val="00BE1F5F"/>
    <w:rsid w:val="00BE243B"/>
    <w:rsid w:val="00BE2574"/>
    <w:rsid w:val="00BE28F2"/>
    <w:rsid w:val="00BE2C83"/>
    <w:rsid w:val="00BE2CDD"/>
    <w:rsid w:val="00BE2EEF"/>
    <w:rsid w:val="00BE3130"/>
    <w:rsid w:val="00BE3439"/>
    <w:rsid w:val="00BE3685"/>
    <w:rsid w:val="00BE36A6"/>
    <w:rsid w:val="00BE384D"/>
    <w:rsid w:val="00BE3922"/>
    <w:rsid w:val="00BE3B05"/>
    <w:rsid w:val="00BE3BAE"/>
    <w:rsid w:val="00BE3C32"/>
    <w:rsid w:val="00BE3C8D"/>
    <w:rsid w:val="00BE3DB1"/>
    <w:rsid w:val="00BE3F92"/>
    <w:rsid w:val="00BE3FCF"/>
    <w:rsid w:val="00BE4040"/>
    <w:rsid w:val="00BE4043"/>
    <w:rsid w:val="00BE4192"/>
    <w:rsid w:val="00BE427D"/>
    <w:rsid w:val="00BE449C"/>
    <w:rsid w:val="00BE4503"/>
    <w:rsid w:val="00BE460D"/>
    <w:rsid w:val="00BE4673"/>
    <w:rsid w:val="00BE46F9"/>
    <w:rsid w:val="00BE47C1"/>
    <w:rsid w:val="00BE48DE"/>
    <w:rsid w:val="00BE49C4"/>
    <w:rsid w:val="00BE4CD7"/>
    <w:rsid w:val="00BE4D1D"/>
    <w:rsid w:val="00BE51E5"/>
    <w:rsid w:val="00BE52C2"/>
    <w:rsid w:val="00BE53F6"/>
    <w:rsid w:val="00BE54FA"/>
    <w:rsid w:val="00BE587C"/>
    <w:rsid w:val="00BE5933"/>
    <w:rsid w:val="00BE5AFA"/>
    <w:rsid w:val="00BE5B3E"/>
    <w:rsid w:val="00BE5C45"/>
    <w:rsid w:val="00BE5CC7"/>
    <w:rsid w:val="00BE5D12"/>
    <w:rsid w:val="00BE5E77"/>
    <w:rsid w:val="00BE5E9A"/>
    <w:rsid w:val="00BE60DA"/>
    <w:rsid w:val="00BE61D4"/>
    <w:rsid w:val="00BE625B"/>
    <w:rsid w:val="00BE634D"/>
    <w:rsid w:val="00BE6477"/>
    <w:rsid w:val="00BE64B2"/>
    <w:rsid w:val="00BE64EF"/>
    <w:rsid w:val="00BE6708"/>
    <w:rsid w:val="00BE6773"/>
    <w:rsid w:val="00BE6915"/>
    <w:rsid w:val="00BE694C"/>
    <w:rsid w:val="00BE6952"/>
    <w:rsid w:val="00BE6B98"/>
    <w:rsid w:val="00BE726B"/>
    <w:rsid w:val="00BE73D5"/>
    <w:rsid w:val="00BE7535"/>
    <w:rsid w:val="00BE7840"/>
    <w:rsid w:val="00BE7B7D"/>
    <w:rsid w:val="00BE7D7D"/>
    <w:rsid w:val="00BE7D9B"/>
    <w:rsid w:val="00BE7DED"/>
    <w:rsid w:val="00BE7ECB"/>
    <w:rsid w:val="00BF00C1"/>
    <w:rsid w:val="00BF0538"/>
    <w:rsid w:val="00BF0866"/>
    <w:rsid w:val="00BF08F8"/>
    <w:rsid w:val="00BF0A91"/>
    <w:rsid w:val="00BF0B84"/>
    <w:rsid w:val="00BF0C2E"/>
    <w:rsid w:val="00BF11DA"/>
    <w:rsid w:val="00BF1214"/>
    <w:rsid w:val="00BF1226"/>
    <w:rsid w:val="00BF12AA"/>
    <w:rsid w:val="00BF12AD"/>
    <w:rsid w:val="00BF1539"/>
    <w:rsid w:val="00BF1575"/>
    <w:rsid w:val="00BF15FD"/>
    <w:rsid w:val="00BF1708"/>
    <w:rsid w:val="00BF177A"/>
    <w:rsid w:val="00BF1A3A"/>
    <w:rsid w:val="00BF1AFA"/>
    <w:rsid w:val="00BF1B0B"/>
    <w:rsid w:val="00BF1CEF"/>
    <w:rsid w:val="00BF1D2C"/>
    <w:rsid w:val="00BF2156"/>
    <w:rsid w:val="00BF228F"/>
    <w:rsid w:val="00BF23A3"/>
    <w:rsid w:val="00BF247A"/>
    <w:rsid w:val="00BF2602"/>
    <w:rsid w:val="00BF2681"/>
    <w:rsid w:val="00BF26DE"/>
    <w:rsid w:val="00BF288D"/>
    <w:rsid w:val="00BF293E"/>
    <w:rsid w:val="00BF2B34"/>
    <w:rsid w:val="00BF2B59"/>
    <w:rsid w:val="00BF2B97"/>
    <w:rsid w:val="00BF2F5E"/>
    <w:rsid w:val="00BF3019"/>
    <w:rsid w:val="00BF312F"/>
    <w:rsid w:val="00BF31E5"/>
    <w:rsid w:val="00BF3307"/>
    <w:rsid w:val="00BF33F5"/>
    <w:rsid w:val="00BF3698"/>
    <w:rsid w:val="00BF36A4"/>
    <w:rsid w:val="00BF37AB"/>
    <w:rsid w:val="00BF37E0"/>
    <w:rsid w:val="00BF3806"/>
    <w:rsid w:val="00BF388D"/>
    <w:rsid w:val="00BF38B1"/>
    <w:rsid w:val="00BF38B7"/>
    <w:rsid w:val="00BF39BA"/>
    <w:rsid w:val="00BF3C2A"/>
    <w:rsid w:val="00BF3CCA"/>
    <w:rsid w:val="00BF3E0F"/>
    <w:rsid w:val="00BF3EC0"/>
    <w:rsid w:val="00BF3F36"/>
    <w:rsid w:val="00BF3F73"/>
    <w:rsid w:val="00BF3F79"/>
    <w:rsid w:val="00BF3FC6"/>
    <w:rsid w:val="00BF4108"/>
    <w:rsid w:val="00BF423D"/>
    <w:rsid w:val="00BF42C7"/>
    <w:rsid w:val="00BF45BB"/>
    <w:rsid w:val="00BF472E"/>
    <w:rsid w:val="00BF4813"/>
    <w:rsid w:val="00BF4AB3"/>
    <w:rsid w:val="00BF4B11"/>
    <w:rsid w:val="00BF4C7D"/>
    <w:rsid w:val="00BF4CD1"/>
    <w:rsid w:val="00BF4D0D"/>
    <w:rsid w:val="00BF4E14"/>
    <w:rsid w:val="00BF4FD4"/>
    <w:rsid w:val="00BF5022"/>
    <w:rsid w:val="00BF503F"/>
    <w:rsid w:val="00BF51F5"/>
    <w:rsid w:val="00BF54AF"/>
    <w:rsid w:val="00BF5516"/>
    <w:rsid w:val="00BF5602"/>
    <w:rsid w:val="00BF56E0"/>
    <w:rsid w:val="00BF5708"/>
    <w:rsid w:val="00BF573A"/>
    <w:rsid w:val="00BF579F"/>
    <w:rsid w:val="00BF5861"/>
    <w:rsid w:val="00BF58B4"/>
    <w:rsid w:val="00BF5B54"/>
    <w:rsid w:val="00BF5B8E"/>
    <w:rsid w:val="00BF5C58"/>
    <w:rsid w:val="00BF5EDC"/>
    <w:rsid w:val="00BF5FE7"/>
    <w:rsid w:val="00BF62B0"/>
    <w:rsid w:val="00BF62E6"/>
    <w:rsid w:val="00BF63E9"/>
    <w:rsid w:val="00BF6522"/>
    <w:rsid w:val="00BF6557"/>
    <w:rsid w:val="00BF6563"/>
    <w:rsid w:val="00BF659B"/>
    <w:rsid w:val="00BF65C4"/>
    <w:rsid w:val="00BF6649"/>
    <w:rsid w:val="00BF66E6"/>
    <w:rsid w:val="00BF6761"/>
    <w:rsid w:val="00BF678E"/>
    <w:rsid w:val="00BF6942"/>
    <w:rsid w:val="00BF69BE"/>
    <w:rsid w:val="00BF6A84"/>
    <w:rsid w:val="00BF6B26"/>
    <w:rsid w:val="00BF6B48"/>
    <w:rsid w:val="00BF6B8D"/>
    <w:rsid w:val="00BF6BEB"/>
    <w:rsid w:val="00BF6EE0"/>
    <w:rsid w:val="00BF73E0"/>
    <w:rsid w:val="00BF75DA"/>
    <w:rsid w:val="00BF76F8"/>
    <w:rsid w:val="00BF7737"/>
    <w:rsid w:val="00BF783B"/>
    <w:rsid w:val="00BF7C0D"/>
    <w:rsid w:val="00BF7E9E"/>
    <w:rsid w:val="00BF7F22"/>
    <w:rsid w:val="00BF7F6F"/>
    <w:rsid w:val="00C00020"/>
    <w:rsid w:val="00C000C7"/>
    <w:rsid w:val="00C00352"/>
    <w:rsid w:val="00C0044A"/>
    <w:rsid w:val="00C0052A"/>
    <w:rsid w:val="00C00619"/>
    <w:rsid w:val="00C00B1D"/>
    <w:rsid w:val="00C00B59"/>
    <w:rsid w:val="00C00BDC"/>
    <w:rsid w:val="00C00BE5"/>
    <w:rsid w:val="00C00BED"/>
    <w:rsid w:val="00C00CC5"/>
    <w:rsid w:val="00C00DAA"/>
    <w:rsid w:val="00C00E2E"/>
    <w:rsid w:val="00C00F1E"/>
    <w:rsid w:val="00C00F36"/>
    <w:rsid w:val="00C0108A"/>
    <w:rsid w:val="00C010FB"/>
    <w:rsid w:val="00C01248"/>
    <w:rsid w:val="00C01314"/>
    <w:rsid w:val="00C0178C"/>
    <w:rsid w:val="00C01A3A"/>
    <w:rsid w:val="00C01A60"/>
    <w:rsid w:val="00C01C00"/>
    <w:rsid w:val="00C01C5E"/>
    <w:rsid w:val="00C020AB"/>
    <w:rsid w:val="00C021D2"/>
    <w:rsid w:val="00C02399"/>
    <w:rsid w:val="00C0241C"/>
    <w:rsid w:val="00C025FB"/>
    <w:rsid w:val="00C02862"/>
    <w:rsid w:val="00C028B8"/>
    <w:rsid w:val="00C028DA"/>
    <w:rsid w:val="00C02B8A"/>
    <w:rsid w:val="00C02DEC"/>
    <w:rsid w:val="00C031CB"/>
    <w:rsid w:val="00C0363A"/>
    <w:rsid w:val="00C0379F"/>
    <w:rsid w:val="00C037AE"/>
    <w:rsid w:val="00C038C6"/>
    <w:rsid w:val="00C03978"/>
    <w:rsid w:val="00C03A4E"/>
    <w:rsid w:val="00C03B6B"/>
    <w:rsid w:val="00C03CD9"/>
    <w:rsid w:val="00C03DE5"/>
    <w:rsid w:val="00C03F18"/>
    <w:rsid w:val="00C03F9F"/>
    <w:rsid w:val="00C04077"/>
    <w:rsid w:val="00C0442F"/>
    <w:rsid w:val="00C044DB"/>
    <w:rsid w:val="00C04673"/>
    <w:rsid w:val="00C04789"/>
    <w:rsid w:val="00C04A5F"/>
    <w:rsid w:val="00C04A98"/>
    <w:rsid w:val="00C04B67"/>
    <w:rsid w:val="00C04C34"/>
    <w:rsid w:val="00C04CDD"/>
    <w:rsid w:val="00C04E4C"/>
    <w:rsid w:val="00C04ECF"/>
    <w:rsid w:val="00C04F2E"/>
    <w:rsid w:val="00C05037"/>
    <w:rsid w:val="00C0507C"/>
    <w:rsid w:val="00C0508C"/>
    <w:rsid w:val="00C05217"/>
    <w:rsid w:val="00C0542A"/>
    <w:rsid w:val="00C055B2"/>
    <w:rsid w:val="00C0565A"/>
    <w:rsid w:val="00C05820"/>
    <w:rsid w:val="00C05A01"/>
    <w:rsid w:val="00C05B34"/>
    <w:rsid w:val="00C061B5"/>
    <w:rsid w:val="00C063A9"/>
    <w:rsid w:val="00C063E3"/>
    <w:rsid w:val="00C0652C"/>
    <w:rsid w:val="00C066AC"/>
    <w:rsid w:val="00C066DF"/>
    <w:rsid w:val="00C068F9"/>
    <w:rsid w:val="00C06955"/>
    <w:rsid w:val="00C069BF"/>
    <w:rsid w:val="00C06ACB"/>
    <w:rsid w:val="00C06BB0"/>
    <w:rsid w:val="00C06F13"/>
    <w:rsid w:val="00C06F61"/>
    <w:rsid w:val="00C06FE9"/>
    <w:rsid w:val="00C070E0"/>
    <w:rsid w:val="00C07223"/>
    <w:rsid w:val="00C0727B"/>
    <w:rsid w:val="00C07477"/>
    <w:rsid w:val="00C07780"/>
    <w:rsid w:val="00C07968"/>
    <w:rsid w:val="00C07AA9"/>
    <w:rsid w:val="00C07E69"/>
    <w:rsid w:val="00C07E96"/>
    <w:rsid w:val="00C07E9A"/>
    <w:rsid w:val="00C07FB8"/>
    <w:rsid w:val="00C1039E"/>
    <w:rsid w:val="00C10406"/>
    <w:rsid w:val="00C1053A"/>
    <w:rsid w:val="00C10640"/>
    <w:rsid w:val="00C1064E"/>
    <w:rsid w:val="00C108B5"/>
    <w:rsid w:val="00C10B77"/>
    <w:rsid w:val="00C10E38"/>
    <w:rsid w:val="00C10EB5"/>
    <w:rsid w:val="00C10F68"/>
    <w:rsid w:val="00C110F1"/>
    <w:rsid w:val="00C11164"/>
    <w:rsid w:val="00C111B3"/>
    <w:rsid w:val="00C1128B"/>
    <w:rsid w:val="00C1136D"/>
    <w:rsid w:val="00C1150D"/>
    <w:rsid w:val="00C11536"/>
    <w:rsid w:val="00C11A40"/>
    <w:rsid w:val="00C11B7E"/>
    <w:rsid w:val="00C11C17"/>
    <w:rsid w:val="00C11CF3"/>
    <w:rsid w:val="00C11D3A"/>
    <w:rsid w:val="00C11DA0"/>
    <w:rsid w:val="00C11E98"/>
    <w:rsid w:val="00C11F9D"/>
    <w:rsid w:val="00C1205B"/>
    <w:rsid w:val="00C12120"/>
    <w:rsid w:val="00C122EC"/>
    <w:rsid w:val="00C12319"/>
    <w:rsid w:val="00C12426"/>
    <w:rsid w:val="00C124AC"/>
    <w:rsid w:val="00C12545"/>
    <w:rsid w:val="00C1259A"/>
    <w:rsid w:val="00C125E1"/>
    <w:rsid w:val="00C1287D"/>
    <w:rsid w:val="00C128D5"/>
    <w:rsid w:val="00C1298E"/>
    <w:rsid w:val="00C12ADD"/>
    <w:rsid w:val="00C12AFD"/>
    <w:rsid w:val="00C12B5F"/>
    <w:rsid w:val="00C12C10"/>
    <w:rsid w:val="00C12C22"/>
    <w:rsid w:val="00C12FA3"/>
    <w:rsid w:val="00C13108"/>
    <w:rsid w:val="00C131D8"/>
    <w:rsid w:val="00C1323A"/>
    <w:rsid w:val="00C13274"/>
    <w:rsid w:val="00C132F6"/>
    <w:rsid w:val="00C1336A"/>
    <w:rsid w:val="00C1352F"/>
    <w:rsid w:val="00C13538"/>
    <w:rsid w:val="00C135F9"/>
    <w:rsid w:val="00C13603"/>
    <w:rsid w:val="00C13612"/>
    <w:rsid w:val="00C13739"/>
    <w:rsid w:val="00C13874"/>
    <w:rsid w:val="00C1391E"/>
    <w:rsid w:val="00C13A88"/>
    <w:rsid w:val="00C13B9D"/>
    <w:rsid w:val="00C13EE8"/>
    <w:rsid w:val="00C13F8A"/>
    <w:rsid w:val="00C13FE9"/>
    <w:rsid w:val="00C1406F"/>
    <w:rsid w:val="00C1407F"/>
    <w:rsid w:val="00C1429D"/>
    <w:rsid w:val="00C1429E"/>
    <w:rsid w:val="00C143FF"/>
    <w:rsid w:val="00C14463"/>
    <w:rsid w:val="00C145F0"/>
    <w:rsid w:val="00C147C7"/>
    <w:rsid w:val="00C14813"/>
    <w:rsid w:val="00C14895"/>
    <w:rsid w:val="00C148CF"/>
    <w:rsid w:val="00C14986"/>
    <w:rsid w:val="00C14B45"/>
    <w:rsid w:val="00C14BEB"/>
    <w:rsid w:val="00C14EF3"/>
    <w:rsid w:val="00C1515D"/>
    <w:rsid w:val="00C154CF"/>
    <w:rsid w:val="00C1551A"/>
    <w:rsid w:val="00C15583"/>
    <w:rsid w:val="00C155E1"/>
    <w:rsid w:val="00C155EA"/>
    <w:rsid w:val="00C155F9"/>
    <w:rsid w:val="00C1591C"/>
    <w:rsid w:val="00C15AA3"/>
    <w:rsid w:val="00C15D21"/>
    <w:rsid w:val="00C15D54"/>
    <w:rsid w:val="00C15F20"/>
    <w:rsid w:val="00C15F2D"/>
    <w:rsid w:val="00C163EF"/>
    <w:rsid w:val="00C1670F"/>
    <w:rsid w:val="00C167AC"/>
    <w:rsid w:val="00C16A5F"/>
    <w:rsid w:val="00C16C4A"/>
    <w:rsid w:val="00C16D55"/>
    <w:rsid w:val="00C16E5C"/>
    <w:rsid w:val="00C16E5E"/>
    <w:rsid w:val="00C16F08"/>
    <w:rsid w:val="00C16F60"/>
    <w:rsid w:val="00C16FCF"/>
    <w:rsid w:val="00C17129"/>
    <w:rsid w:val="00C171FE"/>
    <w:rsid w:val="00C17C40"/>
    <w:rsid w:val="00C17CF0"/>
    <w:rsid w:val="00C17D88"/>
    <w:rsid w:val="00C17F00"/>
    <w:rsid w:val="00C20000"/>
    <w:rsid w:val="00C2007D"/>
    <w:rsid w:val="00C200E0"/>
    <w:rsid w:val="00C20265"/>
    <w:rsid w:val="00C202D7"/>
    <w:rsid w:val="00C2046B"/>
    <w:rsid w:val="00C20772"/>
    <w:rsid w:val="00C207E3"/>
    <w:rsid w:val="00C208D6"/>
    <w:rsid w:val="00C20911"/>
    <w:rsid w:val="00C20A74"/>
    <w:rsid w:val="00C20A91"/>
    <w:rsid w:val="00C20AC5"/>
    <w:rsid w:val="00C20B05"/>
    <w:rsid w:val="00C20C03"/>
    <w:rsid w:val="00C20EB2"/>
    <w:rsid w:val="00C20EF1"/>
    <w:rsid w:val="00C21036"/>
    <w:rsid w:val="00C21131"/>
    <w:rsid w:val="00C21192"/>
    <w:rsid w:val="00C212FA"/>
    <w:rsid w:val="00C213C7"/>
    <w:rsid w:val="00C216D9"/>
    <w:rsid w:val="00C21707"/>
    <w:rsid w:val="00C21B3E"/>
    <w:rsid w:val="00C21BC4"/>
    <w:rsid w:val="00C21BEA"/>
    <w:rsid w:val="00C21D65"/>
    <w:rsid w:val="00C21D83"/>
    <w:rsid w:val="00C22190"/>
    <w:rsid w:val="00C223BB"/>
    <w:rsid w:val="00C223ED"/>
    <w:rsid w:val="00C22412"/>
    <w:rsid w:val="00C22485"/>
    <w:rsid w:val="00C22492"/>
    <w:rsid w:val="00C224CB"/>
    <w:rsid w:val="00C22676"/>
    <w:rsid w:val="00C2288B"/>
    <w:rsid w:val="00C22A27"/>
    <w:rsid w:val="00C22B4D"/>
    <w:rsid w:val="00C22D0C"/>
    <w:rsid w:val="00C22D6A"/>
    <w:rsid w:val="00C22E11"/>
    <w:rsid w:val="00C234F8"/>
    <w:rsid w:val="00C235C3"/>
    <w:rsid w:val="00C23936"/>
    <w:rsid w:val="00C23981"/>
    <w:rsid w:val="00C239B8"/>
    <w:rsid w:val="00C23ACC"/>
    <w:rsid w:val="00C23C41"/>
    <w:rsid w:val="00C23D3D"/>
    <w:rsid w:val="00C240D7"/>
    <w:rsid w:val="00C240F4"/>
    <w:rsid w:val="00C2480A"/>
    <w:rsid w:val="00C24813"/>
    <w:rsid w:val="00C24840"/>
    <w:rsid w:val="00C249F2"/>
    <w:rsid w:val="00C24D3D"/>
    <w:rsid w:val="00C24F7E"/>
    <w:rsid w:val="00C24FB1"/>
    <w:rsid w:val="00C24FF1"/>
    <w:rsid w:val="00C251BC"/>
    <w:rsid w:val="00C2525F"/>
    <w:rsid w:val="00C25315"/>
    <w:rsid w:val="00C25634"/>
    <w:rsid w:val="00C256A6"/>
    <w:rsid w:val="00C25C34"/>
    <w:rsid w:val="00C25CB8"/>
    <w:rsid w:val="00C262FE"/>
    <w:rsid w:val="00C263CC"/>
    <w:rsid w:val="00C26429"/>
    <w:rsid w:val="00C26444"/>
    <w:rsid w:val="00C264AE"/>
    <w:rsid w:val="00C264CC"/>
    <w:rsid w:val="00C26671"/>
    <w:rsid w:val="00C267D2"/>
    <w:rsid w:val="00C267D5"/>
    <w:rsid w:val="00C267DE"/>
    <w:rsid w:val="00C26BC3"/>
    <w:rsid w:val="00C26C11"/>
    <w:rsid w:val="00C26C4F"/>
    <w:rsid w:val="00C26CF9"/>
    <w:rsid w:val="00C26DA0"/>
    <w:rsid w:val="00C26E53"/>
    <w:rsid w:val="00C27336"/>
    <w:rsid w:val="00C27559"/>
    <w:rsid w:val="00C27619"/>
    <w:rsid w:val="00C2761C"/>
    <w:rsid w:val="00C27652"/>
    <w:rsid w:val="00C27772"/>
    <w:rsid w:val="00C27782"/>
    <w:rsid w:val="00C27832"/>
    <w:rsid w:val="00C27856"/>
    <w:rsid w:val="00C278A3"/>
    <w:rsid w:val="00C27998"/>
    <w:rsid w:val="00C279E2"/>
    <w:rsid w:val="00C27B8C"/>
    <w:rsid w:val="00C27D16"/>
    <w:rsid w:val="00C27F7E"/>
    <w:rsid w:val="00C27F8C"/>
    <w:rsid w:val="00C27FF2"/>
    <w:rsid w:val="00C3003A"/>
    <w:rsid w:val="00C30114"/>
    <w:rsid w:val="00C30268"/>
    <w:rsid w:val="00C30281"/>
    <w:rsid w:val="00C30425"/>
    <w:rsid w:val="00C304DD"/>
    <w:rsid w:val="00C304EA"/>
    <w:rsid w:val="00C30531"/>
    <w:rsid w:val="00C3084F"/>
    <w:rsid w:val="00C30936"/>
    <w:rsid w:val="00C3093F"/>
    <w:rsid w:val="00C309E4"/>
    <w:rsid w:val="00C30A5F"/>
    <w:rsid w:val="00C30B54"/>
    <w:rsid w:val="00C30B92"/>
    <w:rsid w:val="00C30BED"/>
    <w:rsid w:val="00C30C3C"/>
    <w:rsid w:val="00C30C4B"/>
    <w:rsid w:val="00C30CA9"/>
    <w:rsid w:val="00C30EAF"/>
    <w:rsid w:val="00C30F10"/>
    <w:rsid w:val="00C310AD"/>
    <w:rsid w:val="00C312E5"/>
    <w:rsid w:val="00C31312"/>
    <w:rsid w:val="00C313CE"/>
    <w:rsid w:val="00C316EC"/>
    <w:rsid w:val="00C317E4"/>
    <w:rsid w:val="00C3183D"/>
    <w:rsid w:val="00C3184D"/>
    <w:rsid w:val="00C31BA1"/>
    <w:rsid w:val="00C31C63"/>
    <w:rsid w:val="00C31E6A"/>
    <w:rsid w:val="00C31EC4"/>
    <w:rsid w:val="00C31ED1"/>
    <w:rsid w:val="00C31EE0"/>
    <w:rsid w:val="00C31F1E"/>
    <w:rsid w:val="00C32108"/>
    <w:rsid w:val="00C32296"/>
    <w:rsid w:val="00C32482"/>
    <w:rsid w:val="00C3264E"/>
    <w:rsid w:val="00C32745"/>
    <w:rsid w:val="00C32AAD"/>
    <w:rsid w:val="00C32C1A"/>
    <w:rsid w:val="00C32CB6"/>
    <w:rsid w:val="00C32D4A"/>
    <w:rsid w:val="00C32D78"/>
    <w:rsid w:val="00C33083"/>
    <w:rsid w:val="00C33168"/>
    <w:rsid w:val="00C3316B"/>
    <w:rsid w:val="00C334A0"/>
    <w:rsid w:val="00C334BF"/>
    <w:rsid w:val="00C33611"/>
    <w:rsid w:val="00C336D9"/>
    <w:rsid w:val="00C33794"/>
    <w:rsid w:val="00C337E9"/>
    <w:rsid w:val="00C33924"/>
    <w:rsid w:val="00C33A92"/>
    <w:rsid w:val="00C33ABB"/>
    <w:rsid w:val="00C33C27"/>
    <w:rsid w:val="00C33DD8"/>
    <w:rsid w:val="00C33EE2"/>
    <w:rsid w:val="00C340C4"/>
    <w:rsid w:val="00C340F0"/>
    <w:rsid w:val="00C341AC"/>
    <w:rsid w:val="00C34339"/>
    <w:rsid w:val="00C3448C"/>
    <w:rsid w:val="00C3468C"/>
    <w:rsid w:val="00C34866"/>
    <w:rsid w:val="00C348D4"/>
    <w:rsid w:val="00C34A1E"/>
    <w:rsid w:val="00C34A25"/>
    <w:rsid w:val="00C34A9D"/>
    <w:rsid w:val="00C34B6F"/>
    <w:rsid w:val="00C34BC0"/>
    <w:rsid w:val="00C34CAC"/>
    <w:rsid w:val="00C34E31"/>
    <w:rsid w:val="00C34E51"/>
    <w:rsid w:val="00C34E97"/>
    <w:rsid w:val="00C3500F"/>
    <w:rsid w:val="00C35211"/>
    <w:rsid w:val="00C35269"/>
    <w:rsid w:val="00C3550F"/>
    <w:rsid w:val="00C358CD"/>
    <w:rsid w:val="00C359FD"/>
    <w:rsid w:val="00C35C4E"/>
    <w:rsid w:val="00C35CAD"/>
    <w:rsid w:val="00C35E55"/>
    <w:rsid w:val="00C35EBF"/>
    <w:rsid w:val="00C35FD9"/>
    <w:rsid w:val="00C36036"/>
    <w:rsid w:val="00C3612E"/>
    <w:rsid w:val="00C361E6"/>
    <w:rsid w:val="00C36352"/>
    <w:rsid w:val="00C365C4"/>
    <w:rsid w:val="00C3663B"/>
    <w:rsid w:val="00C36872"/>
    <w:rsid w:val="00C369E5"/>
    <w:rsid w:val="00C36A8D"/>
    <w:rsid w:val="00C36C78"/>
    <w:rsid w:val="00C36CF8"/>
    <w:rsid w:val="00C36D04"/>
    <w:rsid w:val="00C36DA4"/>
    <w:rsid w:val="00C36E66"/>
    <w:rsid w:val="00C370BF"/>
    <w:rsid w:val="00C37136"/>
    <w:rsid w:val="00C371B6"/>
    <w:rsid w:val="00C37503"/>
    <w:rsid w:val="00C37604"/>
    <w:rsid w:val="00C376D2"/>
    <w:rsid w:val="00C377F3"/>
    <w:rsid w:val="00C3798C"/>
    <w:rsid w:val="00C37A3D"/>
    <w:rsid w:val="00C37AE8"/>
    <w:rsid w:val="00C37C6C"/>
    <w:rsid w:val="00C37D5F"/>
    <w:rsid w:val="00C37F87"/>
    <w:rsid w:val="00C37FB4"/>
    <w:rsid w:val="00C37FCD"/>
    <w:rsid w:val="00C40039"/>
    <w:rsid w:val="00C400EE"/>
    <w:rsid w:val="00C402E7"/>
    <w:rsid w:val="00C402F6"/>
    <w:rsid w:val="00C402FF"/>
    <w:rsid w:val="00C404BA"/>
    <w:rsid w:val="00C4065D"/>
    <w:rsid w:val="00C4070A"/>
    <w:rsid w:val="00C40779"/>
    <w:rsid w:val="00C4077B"/>
    <w:rsid w:val="00C40A1E"/>
    <w:rsid w:val="00C40BFD"/>
    <w:rsid w:val="00C40C54"/>
    <w:rsid w:val="00C40D39"/>
    <w:rsid w:val="00C40F00"/>
    <w:rsid w:val="00C4123A"/>
    <w:rsid w:val="00C412A4"/>
    <w:rsid w:val="00C412B1"/>
    <w:rsid w:val="00C412DF"/>
    <w:rsid w:val="00C412E9"/>
    <w:rsid w:val="00C414DE"/>
    <w:rsid w:val="00C41663"/>
    <w:rsid w:val="00C4175A"/>
    <w:rsid w:val="00C41765"/>
    <w:rsid w:val="00C41ADC"/>
    <w:rsid w:val="00C41CB3"/>
    <w:rsid w:val="00C41CC5"/>
    <w:rsid w:val="00C41FF2"/>
    <w:rsid w:val="00C42154"/>
    <w:rsid w:val="00C422E9"/>
    <w:rsid w:val="00C42322"/>
    <w:rsid w:val="00C42366"/>
    <w:rsid w:val="00C4248C"/>
    <w:rsid w:val="00C42571"/>
    <w:rsid w:val="00C425F5"/>
    <w:rsid w:val="00C4272A"/>
    <w:rsid w:val="00C427F4"/>
    <w:rsid w:val="00C4290D"/>
    <w:rsid w:val="00C429F3"/>
    <w:rsid w:val="00C42AC2"/>
    <w:rsid w:val="00C42ACA"/>
    <w:rsid w:val="00C42AD9"/>
    <w:rsid w:val="00C42B64"/>
    <w:rsid w:val="00C42E76"/>
    <w:rsid w:val="00C42E7C"/>
    <w:rsid w:val="00C42F0A"/>
    <w:rsid w:val="00C430BA"/>
    <w:rsid w:val="00C43109"/>
    <w:rsid w:val="00C43238"/>
    <w:rsid w:val="00C43255"/>
    <w:rsid w:val="00C433AA"/>
    <w:rsid w:val="00C4341E"/>
    <w:rsid w:val="00C4352F"/>
    <w:rsid w:val="00C43544"/>
    <w:rsid w:val="00C4365C"/>
    <w:rsid w:val="00C43723"/>
    <w:rsid w:val="00C43929"/>
    <w:rsid w:val="00C43A9B"/>
    <w:rsid w:val="00C43D5A"/>
    <w:rsid w:val="00C43F07"/>
    <w:rsid w:val="00C44145"/>
    <w:rsid w:val="00C44156"/>
    <w:rsid w:val="00C44224"/>
    <w:rsid w:val="00C44419"/>
    <w:rsid w:val="00C44433"/>
    <w:rsid w:val="00C445CF"/>
    <w:rsid w:val="00C4478C"/>
    <w:rsid w:val="00C44797"/>
    <w:rsid w:val="00C4481F"/>
    <w:rsid w:val="00C44883"/>
    <w:rsid w:val="00C44933"/>
    <w:rsid w:val="00C44A9A"/>
    <w:rsid w:val="00C44AB9"/>
    <w:rsid w:val="00C44AD7"/>
    <w:rsid w:val="00C44D3F"/>
    <w:rsid w:val="00C44F01"/>
    <w:rsid w:val="00C44FB7"/>
    <w:rsid w:val="00C45098"/>
    <w:rsid w:val="00C45170"/>
    <w:rsid w:val="00C45448"/>
    <w:rsid w:val="00C45927"/>
    <w:rsid w:val="00C45957"/>
    <w:rsid w:val="00C459B4"/>
    <w:rsid w:val="00C45A10"/>
    <w:rsid w:val="00C45A77"/>
    <w:rsid w:val="00C45B59"/>
    <w:rsid w:val="00C45CEB"/>
    <w:rsid w:val="00C46195"/>
    <w:rsid w:val="00C46253"/>
    <w:rsid w:val="00C464F8"/>
    <w:rsid w:val="00C4667C"/>
    <w:rsid w:val="00C46F52"/>
    <w:rsid w:val="00C47009"/>
    <w:rsid w:val="00C4725F"/>
    <w:rsid w:val="00C47293"/>
    <w:rsid w:val="00C473D2"/>
    <w:rsid w:val="00C4742E"/>
    <w:rsid w:val="00C4764E"/>
    <w:rsid w:val="00C47711"/>
    <w:rsid w:val="00C477D0"/>
    <w:rsid w:val="00C478FA"/>
    <w:rsid w:val="00C479CC"/>
    <w:rsid w:val="00C47C1F"/>
    <w:rsid w:val="00C47D83"/>
    <w:rsid w:val="00C47F5C"/>
    <w:rsid w:val="00C50039"/>
    <w:rsid w:val="00C500BF"/>
    <w:rsid w:val="00C500D2"/>
    <w:rsid w:val="00C50109"/>
    <w:rsid w:val="00C50351"/>
    <w:rsid w:val="00C50450"/>
    <w:rsid w:val="00C50634"/>
    <w:rsid w:val="00C506CA"/>
    <w:rsid w:val="00C5079C"/>
    <w:rsid w:val="00C5090A"/>
    <w:rsid w:val="00C509EC"/>
    <w:rsid w:val="00C50A24"/>
    <w:rsid w:val="00C50ABE"/>
    <w:rsid w:val="00C50BB6"/>
    <w:rsid w:val="00C50BD4"/>
    <w:rsid w:val="00C50C50"/>
    <w:rsid w:val="00C50E31"/>
    <w:rsid w:val="00C51007"/>
    <w:rsid w:val="00C5124C"/>
    <w:rsid w:val="00C513BF"/>
    <w:rsid w:val="00C51413"/>
    <w:rsid w:val="00C5143D"/>
    <w:rsid w:val="00C5164F"/>
    <w:rsid w:val="00C516C3"/>
    <w:rsid w:val="00C51954"/>
    <w:rsid w:val="00C51A35"/>
    <w:rsid w:val="00C51A94"/>
    <w:rsid w:val="00C51BC3"/>
    <w:rsid w:val="00C51CAF"/>
    <w:rsid w:val="00C51F3E"/>
    <w:rsid w:val="00C5203D"/>
    <w:rsid w:val="00C5216E"/>
    <w:rsid w:val="00C521DE"/>
    <w:rsid w:val="00C524EA"/>
    <w:rsid w:val="00C52528"/>
    <w:rsid w:val="00C5262C"/>
    <w:rsid w:val="00C5269B"/>
    <w:rsid w:val="00C528CA"/>
    <w:rsid w:val="00C528E6"/>
    <w:rsid w:val="00C5296F"/>
    <w:rsid w:val="00C52A40"/>
    <w:rsid w:val="00C52AD1"/>
    <w:rsid w:val="00C52B8D"/>
    <w:rsid w:val="00C52DB1"/>
    <w:rsid w:val="00C52FC1"/>
    <w:rsid w:val="00C53176"/>
    <w:rsid w:val="00C53271"/>
    <w:rsid w:val="00C53373"/>
    <w:rsid w:val="00C5380B"/>
    <w:rsid w:val="00C538AF"/>
    <w:rsid w:val="00C53BF0"/>
    <w:rsid w:val="00C53BF3"/>
    <w:rsid w:val="00C53F17"/>
    <w:rsid w:val="00C54249"/>
    <w:rsid w:val="00C54500"/>
    <w:rsid w:val="00C54982"/>
    <w:rsid w:val="00C54A27"/>
    <w:rsid w:val="00C54A36"/>
    <w:rsid w:val="00C54B20"/>
    <w:rsid w:val="00C54C7E"/>
    <w:rsid w:val="00C54C8D"/>
    <w:rsid w:val="00C54E0D"/>
    <w:rsid w:val="00C54E1E"/>
    <w:rsid w:val="00C552AE"/>
    <w:rsid w:val="00C552FD"/>
    <w:rsid w:val="00C5531C"/>
    <w:rsid w:val="00C5540F"/>
    <w:rsid w:val="00C55428"/>
    <w:rsid w:val="00C55539"/>
    <w:rsid w:val="00C55541"/>
    <w:rsid w:val="00C55567"/>
    <w:rsid w:val="00C555B0"/>
    <w:rsid w:val="00C5572E"/>
    <w:rsid w:val="00C55742"/>
    <w:rsid w:val="00C55BA2"/>
    <w:rsid w:val="00C55D36"/>
    <w:rsid w:val="00C55D3F"/>
    <w:rsid w:val="00C55F3C"/>
    <w:rsid w:val="00C56020"/>
    <w:rsid w:val="00C560E2"/>
    <w:rsid w:val="00C56108"/>
    <w:rsid w:val="00C56162"/>
    <w:rsid w:val="00C56185"/>
    <w:rsid w:val="00C562F7"/>
    <w:rsid w:val="00C5655D"/>
    <w:rsid w:val="00C56581"/>
    <w:rsid w:val="00C566DA"/>
    <w:rsid w:val="00C5679E"/>
    <w:rsid w:val="00C5691F"/>
    <w:rsid w:val="00C56948"/>
    <w:rsid w:val="00C56A1B"/>
    <w:rsid w:val="00C56A3C"/>
    <w:rsid w:val="00C56D8A"/>
    <w:rsid w:val="00C56F05"/>
    <w:rsid w:val="00C56F96"/>
    <w:rsid w:val="00C57239"/>
    <w:rsid w:val="00C5738B"/>
    <w:rsid w:val="00C573D3"/>
    <w:rsid w:val="00C5743D"/>
    <w:rsid w:val="00C5755D"/>
    <w:rsid w:val="00C57675"/>
    <w:rsid w:val="00C57680"/>
    <w:rsid w:val="00C57723"/>
    <w:rsid w:val="00C57797"/>
    <w:rsid w:val="00C57A7C"/>
    <w:rsid w:val="00C57B03"/>
    <w:rsid w:val="00C57BE2"/>
    <w:rsid w:val="00C57C7D"/>
    <w:rsid w:val="00C57C96"/>
    <w:rsid w:val="00C57DA2"/>
    <w:rsid w:val="00C57F5B"/>
    <w:rsid w:val="00C6033A"/>
    <w:rsid w:val="00C60387"/>
    <w:rsid w:val="00C603B1"/>
    <w:rsid w:val="00C604D8"/>
    <w:rsid w:val="00C60B2C"/>
    <w:rsid w:val="00C60BD6"/>
    <w:rsid w:val="00C6106E"/>
    <w:rsid w:val="00C613D4"/>
    <w:rsid w:val="00C61420"/>
    <w:rsid w:val="00C6160C"/>
    <w:rsid w:val="00C61719"/>
    <w:rsid w:val="00C61AA2"/>
    <w:rsid w:val="00C61CFD"/>
    <w:rsid w:val="00C61E36"/>
    <w:rsid w:val="00C6204C"/>
    <w:rsid w:val="00C620C5"/>
    <w:rsid w:val="00C6234D"/>
    <w:rsid w:val="00C62373"/>
    <w:rsid w:val="00C62489"/>
    <w:rsid w:val="00C624FA"/>
    <w:rsid w:val="00C626A0"/>
    <w:rsid w:val="00C62751"/>
    <w:rsid w:val="00C62B24"/>
    <w:rsid w:val="00C62B34"/>
    <w:rsid w:val="00C62B51"/>
    <w:rsid w:val="00C62C4D"/>
    <w:rsid w:val="00C62CEA"/>
    <w:rsid w:val="00C62DAE"/>
    <w:rsid w:val="00C62FE2"/>
    <w:rsid w:val="00C63089"/>
    <w:rsid w:val="00C630FF"/>
    <w:rsid w:val="00C631FD"/>
    <w:rsid w:val="00C63342"/>
    <w:rsid w:val="00C6337A"/>
    <w:rsid w:val="00C63452"/>
    <w:rsid w:val="00C636AE"/>
    <w:rsid w:val="00C6374C"/>
    <w:rsid w:val="00C63A28"/>
    <w:rsid w:val="00C63A59"/>
    <w:rsid w:val="00C63AAA"/>
    <w:rsid w:val="00C64165"/>
    <w:rsid w:val="00C6417C"/>
    <w:rsid w:val="00C64440"/>
    <w:rsid w:val="00C6451B"/>
    <w:rsid w:val="00C645E2"/>
    <w:rsid w:val="00C6460C"/>
    <w:rsid w:val="00C6466A"/>
    <w:rsid w:val="00C64797"/>
    <w:rsid w:val="00C648BD"/>
    <w:rsid w:val="00C64D6F"/>
    <w:rsid w:val="00C64F0C"/>
    <w:rsid w:val="00C64F1C"/>
    <w:rsid w:val="00C650FE"/>
    <w:rsid w:val="00C651AB"/>
    <w:rsid w:val="00C6535E"/>
    <w:rsid w:val="00C653F8"/>
    <w:rsid w:val="00C65490"/>
    <w:rsid w:val="00C6549A"/>
    <w:rsid w:val="00C6556B"/>
    <w:rsid w:val="00C6567B"/>
    <w:rsid w:val="00C657B3"/>
    <w:rsid w:val="00C65A0C"/>
    <w:rsid w:val="00C65A2E"/>
    <w:rsid w:val="00C65D31"/>
    <w:rsid w:val="00C662FC"/>
    <w:rsid w:val="00C663AB"/>
    <w:rsid w:val="00C664FF"/>
    <w:rsid w:val="00C6684A"/>
    <w:rsid w:val="00C66880"/>
    <w:rsid w:val="00C66A26"/>
    <w:rsid w:val="00C66B2D"/>
    <w:rsid w:val="00C66B84"/>
    <w:rsid w:val="00C66CA2"/>
    <w:rsid w:val="00C66FE0"/>
    <w:rsid w:val="00C670D1"/>
    <w:rsid w:val="00C67155"/>
    <w:rsid w:val="00C671CD"/>
    <w:rsid w:val="00C673DC"/>
    <w:rsid w:val="00C67469"/>
    <w:rsid w:val="00C6763C"/>
    <w:rsid w:val="00C67791"/>
    <w:rsid w:val="00C67895"/>
    <w:rsid w:val="00C678E8"/>
    <w:rsid w:val="00C67956"/>
    <w:rsid w:val="00C67D00"/>
    <w:rsid w:val="00C67D34"/>
    <w:rsid w:val="00C67D8F"/>
    <w:rsid w:val="00C67E82"/>
    <w:rsid w:val="00C67ECE"/>
    <w:rsid w:val="00C67FD5"/>
    <w:rsid w:val="00C70154"/>
    <w:rsid w:val="00C70295"/>
    <w:rsid w:val="00C702ED"/>
    <w:rsid w:val="00C70393"/>
    <w:rsid w:val="00C70671"/>
    <w:rsid w:val="00C70720"/>
    <w:rsid w:val="00C7073E"/>
    <w:rsid w:val="00C70AB2"/>
    <w:rsid w:val="00C70BED"/>
    <w:rsid w:val="00C70CBC"/>
    <w:rsid w:val="00C70CEE"/>
    <w:rsid w:val="00C70E43"/>
    <w:rsid w:val="00C70F0D"/>
    <w:rsid w:val="00C70F2D"/>
    <w:rsid w:val="00C7117C"/>
    <w:rsid w:val="00C711EF"/>
    <w:rsid w:val="00C712C3"/>
    <w:rsid w:val="00C71619"/>
    <w:rsid w:val="00C716B9"/>
    <w:rsid w:val="00C717B0"/>
    <w:rsid w:val="00C71D0B"/>
    <w:rsid w:val="00C71D19"/>
    <w:rsid w:val="00C71E80"/>
    <w:rsid w:val="00C71EEC"/>
    <w:rsid w:val="00C7202E"/>
    <w:rsid w:val="00C721E0"/>
    <w:rsid w:val="00C72320"/>
    <w:rsid w:val="00C72500"/>
    <w:rsid w:val="00C7253F"/>
    <w:rsid w:val="00C726D2"/>
    <w:rsid w:val="00C72AE4"/>
    <w:rsid w:val="00C72AE7"/>
    <w:rsid w:val="00C72AF1"/>
    <w:rsid w:val="00C72B3C"/>
    <w:rsid w:val="00C72C4A"/>
    <w:rsid w:val="00C731E4"/>
    <w:rsid w:val="00C733AD"/>
    <w:rsid w:val="00C7345D"/>
    <w:rsid w:val="00C735CA"/>
    <w:rsid w:val="00C73621"/>
    <w:rsid w:val="00C7377F"/>
    <w:rsid w:val="00C738C8"/>
    <w:rsid w:val="00C7391B"/>
    <w:rsid w:val="00C73948"/>
    <w:rsid w:val="00C73B3C"/>
    <w:rsid w:val="00C73C33"/>
    <w:rsid w:val="00C73C8B"/>
    <w:rsid w:val="00C73E80"/>
    <w:rsid w:val="00C73FDF"/>
    <w:rsid w:val="00C74219"/>
    <w:rsid w:val="00C74311"/>
    <w:rsid w:val="00C744FE"/>
    <w:rsid w:val="00C7457B"/>
    <w:rsid w:val="00C747C0"/>
    <w:rsid w:val="00C748D1"/>
    <w:rsid w:val="00C7492E"/>
    <w:rsid w:val="00C749BD"/>
    <w:rsid w:val="00C74BA5"/>
    <w:rsid w:val="00C74C0B"/>
    <w:rsid w:val="00C74C7A"/>
    <w:rsid w:val="00C74E30"/>
    <w:rsid w:val="00C75054"/>
    <w:rsid w:val="00C75346"/>
    <w:rsid w:val="00C75431"/>
    <w:rsid w:val="00C75536"/>
    <w:rsid w:val="00C756CF"/>
    <w:rsid w:val="00C75916"/>
    <w:rsid w:val="00C75935"/>
    <w:rsid w:val="00C75A27"/>
    <w:rsid w:val="00C75B18"/>
    <w:rsid w:val="00C75C12"/>
    <w:rsid w:val="00C75C51"/>
    <w:rsid w:val="00C75CCA"/>
    <w:rsid w:val="00C75CE2"/>
    <w:rsid w:val="00C75CEF"/>
    <w:rsid w:val="00C75DD5"/>
    <w:rsid w:val="00C75EB0"/>
    <w:rsid w:val="00C75EFA"/>
    <w:rsid w:val="00C75FBE"/>
    <w:rsid w:val="00C76057"/>
    <w:rsid w:val="00C76079"/>
    <w:rsid w:val="00C76135"/>
    <w:rsid w:val="00C76176"/>
    <w:rsid w:val="00C76520"/>
    <w:rsid w:val="00C7654B"/>
    <w:rsid w:val="00C76567"/>
    <w:rsid w:val="00C76587"/>
    <w:rsid w:val="00C76781"/>
    <w:rsid w:val="00C7689E"/>
    <w:rsid w:val="00C76B1F"/>
    <w:rsid w:val="00C76D39"/>
    <w:rsid w:val="00C76F2F"/>
    <w:rsid w:val="00C76FAB"/>
    <w:rsid w:val="00C76FC9"/>
    <w:rsid w:val="00C77157"/>
    <w:rsid w:val="00C77210"/>
    <w:rsid w:val="00C772D9"/>
    <w:rsid w:val="00C77411"/>
    <w:rsid w:val="00C77843"/>
    <w:rsid w:val="00C779B8"/>
    <w:rsid w:val="00C77A00"/>
    <w:rsid w:val="00C77B05"/>
    <w:rsid w:val="00C77B3A"/>
    <w:rsid w:val="00C8018C"/>
    <w:rsid w:val="00C801AF"/>
    <w:rsid w:val="00C802BF"/>
    <w:rsid w:val="00C80335"/>
    <w:rsid w:val="00C80659"/>
    <w:rsid w:val="00C806A1"/>
    <w:rsid w:val="00C806F5"/>
    <w:rsid w:val="00C8077A"/>
    <w:rsid w:val="00C807C7"/>
    <w:rsid w:val="00C8086C"/>
    <w:rsid w:val="00C8092C"/>
    <w:rsid w:val="00C809B5"/>
    <w:rsid w:val="00C80B50"/>
    <w:rsid w:val="00C80B81"/>
    <w:rsid w:val="00C80BA9"/>
    <w:rsid w:val="00C80BC3"/>
    <w:rsid w:val="00C80C57"/>
    <w:rsid w:val="00C80D6E"/>
    <w:rsid w:val="00C80DAB"/>
    <w:rsid w:val="00C80E1F"/>
    <w:rsid w:val="00C80E4B"/>
    <w:rsid w:val="00C80F34"/>
    <w:rsid w:val="00C80FF2"/>
    <w:rsid w:val="00C811A5"/>
    <w:rsid w:val="00C811EF"/>
    <w:rsid w:val="00C81232"/>
    <w:rsid w:val="00C81470"/>
    <w:rsid w:val="00C814F4"/>
    <w:rsid w:val="00C8161A"/>
    <w:rsid w:val="00C817F4"/>
    <w:rsid w:val="00C818A2"/>
    <w:rsid w:val="00C81A26"/>
    <w:rsid w:val="00C81F5E"/>
    <w:rsid w:val="00C82274"/>
    <w:rsid w:val="00C82293"/>
    <w:rsid w:val="00C8231E"/>
    <w:rsid w:val="00C82413"/>
    <w:rsid w:val="00C824E4"/>
    <w:rsid w:val="00C826C8"/>
    <w:rsid w:val="00C8287A"/>
    <w:rsid w:val="00C82970"/>
    <w:rsid w:val="00C829BF"/>
    <w:rsid w:val="00C82A13"/>
    <w:rsid w:val="00C82A9A"/>
    <w:rsid w:val="00C82C9B"/>
    <w:rsid w:val="00C82F65"/>
    <w:rsid w:val="00C82F93"/>
    <w:rsid w:val="00C82FAF"/>
    <w:rsid w:val="00C83009"/>
    <w:rsid w:val="00C831CD"/>
    <w:rsid w:val="00C832A9"/>
    <w:rsid w:val="00C834E5"/>
    <w:rsid w:val="00C838FF"/>
    <w:rsid w:val="00C83AAA"/>
    <w:rsid w:val="00C83DA0"/>
    <w:rsid w:val="00C83DD5"/>
    <w:rsid w:val="00C83EFC"/>
    <w:rsid w:val="00C8409C"/>
    <w:rsid w:val="00C84254"/>
    <w:rsid w:val="00C842EB"/>
    <w:rsid w:val="00C8440B"/>
    <w:rsid w:val="00C84442"/>
    <w:rsid w:val="00C844E1"/>
    <w:rsid w:val="00C8456E"/>
    <w:rsid w:val="00C846FB"/>
    <w:rsid w:val="00C84749"/>
    <w:rsid w:val="00C84782"/>
    <w:rsid w:val="00C848B5"/>
    <w:rsid w:val="00C84968"/>
    <w:rsid w:val="00C849AC"/>
    <w:rsid w:val="00C84B21"/>
    <w:rsid w:val="00C84B7D"/>
    <w:rsid w:val="00C84C30"/>
    <w:rsid w:val="00C84DDD"/>
    <w:rsid w:val="00C8529C"/>
    <w:rsid w:val="00C852D7"/>
    <w:rsid w:val="00C85490"/>
    <w:rsid w:val="00C8564C"/>
    <w:rsid w:val="00C85683"/>
    <w:rsid w:val="00C85696"/>
    <w:rsid w:val="00C8583D"/>
    <w:rsid w:val="00C85953"/>
    <w:rsid w:val="00C859A5"/>
    <w:rsid w:val="00C859C9"/>
    <w:rsid w:val="00C85AD3"/>
    <w:rsid w:val="00C85AE1"/>
    <w:rsid w:val="00C85B3A"/>
    <w:rsid w:val="00C85C99"/>
    <w:rsid w:val="00C85D1C"/>
    <w:rsid w:val="00C85D90"/>
    <w:rsid w:val="00C85DAF"/>
    <w:rsid w:val="00C85DFA"/>
    <w:rsid w:val="00C85FE4"/>
    <w:rsid w:val="00C861F2"/>
    <w:rsid w:val="00C8632E"/>
    <w:rsid w:val="00C865C9"/>
    <w:rsid w:val="00C865E3"/>
    <w:rsid w:val="00C8664D"/>
    <w:rsid w:val="00C86843"/>
    <w:rsid w:val="00C869ED"/>
    <w:rsid w:val="00C86A2C"/>
    <w:rsid w:val="00C86AD8"/>
    <w:rsid w:val="00C86CB2"/>
    <w:rsid w:val="00C86D59"/>
    <w:rsid w:val="00C86E59"/>
    <w:rsid w:val="00C86E6D"/>
    <w:rsid w:val="00C8706B"/>
    <w:rsid w:val="00C87286"/>
    <w:rsid w:val="00C873EF"/>
    <w:rsid w:val="00C87450"/>
    <w:rsid w:val="00C874BE"/>
    <w:rsid w:val="00C8764B"/>
    <w:rsid w:val="00C87780"/>
    <w:rsid w:val="00C87A78"/>
    <w:rsid w:val="00C87C7C"/>
    <w:rsid w:val="00C87E9E"/>
    <w:rsid w:val="00C87FD8"/>
    <w:rsid w:val="00C900E8"/>
    <w:rsid w:val="00C90151"/>
    <w:rsid w:val="00C902A1"/>
    <w:rsid w:val="00C9039F"/>
    <w:rsid w:val="00C90422"/>
    <w:rsid w:val="00C90601"/>
    <w:rsid w:val="00C90732"/>
    <w:rsid w:val="00C90770"/>
    <w:rsid w:val="00C90772"/>
    <w:rsid w:val="00C90909"/>
    <w:rsid w:val="00C90CCF"/>
    <w:rsid w:val="00C90D48"/>
    <w:rsid w:val="00C90D56"/>
    <w:rsid w:val="00C90F46"/>
    <w:rsid w:val="00C90F55"/>
    <w:rsid w:val="00C91080"/>
    <w:rsid w:val="00C910B5"/>
    <w:rsid w:val="00C91101"/>
    <w:rsid w:val="00C9115D"/>
    <w:rsid w:val="00C91184"/>
    <w:rsid w:val="00C9118C"/>
    <w:rsid w:val="00C9151C"/>
    <w:rsid w:val="00C91699"/>
    <w:rsid w:val="00C916C0"/>
    <w:rsid w:val="00C91A9A"/>
    <w:rsid w:val="00C91B5C"/>
    <w:rsid w:val="00C91CD8"/>
    <w:rsid w:val="00C91CF8"/>
    <w:rsid w:val="00C91D4E"/>
    <w:rsid w:val="00C91D7D"/>
    <w:rsid w:val="00C91E68"/>
    <w:rsid w:val="00C91EA4"/>
    <w:rsid w:val="00C91F47"/>
    <w:rsid w:val="00C9200F"/>
    <w:rsid w:val="00C92307"/>
    <w:rsid w:val="00C923A6"/>
    <w:rsid w:val="00C92407"/>
    <w:rsid w:val="00C9254C"/>
    <w:rsid w:val="00C92A0D"/>
    <w:rsid w:val="00C92B1C"/>
    <w:rsid w:val="00C92B1F"/>
    <w:rsid w:val="00C92C30"/>
    <w:rsid w:val="00C92C5E"/>
    <w:rsid w:val="00C92C93"/>
    <w:rsid w:val="00C92CCC"/>
    <w:rsid w:val="00C92CCF"/>
    <w:rsid w:val="00C92DBE"/>
    <w:rsid w:val="00C92FD1"/>
    <w:rsid w:val="00C92FF8"/>
    <w:rsid w:val="00C931F1"/>
    <w:rsid w:val="00C931FB"/>
    <w:rsid w:val="00C9320D"/>
    <w:rsid w:val="00C93659"/>
    <w:rsid w:val="00C93759"/>
    <w:rsid w:val="00C93A1A"/>
    <w:rsid w:val="00C93AC1"/>
    <w:rsid w:val="00C93D43"/>
    <w:rsid w:val="00C93EBC"/>
    <w:rsid w:val="00C93F5B"/>
    <w:rsid w:val="00C93FF8"/>
    <w:rsid w:val="00C9411C"/>
    <w:rsid w:val="00C9415D"/>
    <w:rsid w:val="00C94273"/>
    <w:rsid w:val="00C943C6"/>
    <w:rsid w:val="00C9441E"/>
    <w:rsid w:val="00C94479"/>
    <w:rsid w:val="00C94711"/>
    <w:rsid w:val="00C947F4"/>
    <w:rsid w:val="00C9480E"/>
    <w:rsid w:val="00C948D6"/>
    <w:rsid w:val="00C948F7"/>
    <w:rsid w:val="00C94AA0"/>
    <w:rsid w:val="00C94AB7"/>
    <w:rsid w:val="00C94D30"/>
    <w:rsid w:val="00C94DC3"/>
    <w:rsid w:val="00C94DE5"/>
    <w:rsid w:val="00C94FB4"/>
    <w:rsid w:val="00C94FD3"/>
    <w:rsid w:val="00C951A6"/>
    <w:rsid w:val="00C95366"/>
    <w:rsid w:val="00C9539D"/>
    <w:rsid w:val="00C955F4"/>
    <w:rsid w:val="00C9572D"/>
    <w:rsid w:val="00C95775"/>
    <w:rsid w:val="00C95822"/>
    <w:rsid w:val="00C958B0"/>
    <w:rsid w:val="00C958CF"/>
    <w:rsid w:val="00C9591B"/>
    <w:rsid w:val="00C9594B"/>
    <w:rsid w:val="00C95A06"/>
    <w:rsid w:val="00C95AAD"/>
    <w:rsid w:val="00C95C82"/>
    <w:rsid w:val="00C95E1C"/>
    <w:rsid w:val="00C95E24"/>
    <w:rsid w:val="00C96027"/>
    <w:rsid w:val="00C9617E"/>
    <w:rsid w:val="00C961C4"/>
    <w:rsid w:val="00C96485"/>
    <w:rsid w:val="00C96593"/>
    <w:rsid w:val="00C96668"/>
    <w:rsid w:val="00C9685F"/>
    <w:rsid w:val="00C96873"/>
    <w:rsid w:val="00C968B4"/>
    <w:rsid w:val="00C969C1"/>
    <w:rsid w:val="00C96C8A"/>
    <w:rsid w:val="00C9702E"/>
    <w:rsid w:val="00C97035"/>
    <w:rsid w:val="00C970E5"/>
    <w:rsid w:val="00C972F0"/>
    <w:rsid w:val="00C97301"/>
    <w:rsid w:val="00C97343"/>
    <w:rsid w:val="00C973BE"/>
    <w:rsid w:val="00C974CB"/>
    <w:rsid w:val="00C9778E"/>
    <w:rsid w:val="00C977A6"/>
    <w:rsid w:val="00C977C1"/>
    <w:rsid w:val="00C978DF"/>
    <w:rsid w:val="00C978E7"/>
    <w:rsid w:val="00C97917"/>
    <w:rsid w:val="00C97AD1"/>
    <w:rsid w:val="00C97DB7"/>
    <w:rsid w:val="00C97E33"/>
    <w:rsid w:val="00C97F78"/>
    <w:rsid w:val="00CA00B3"/>
    <w:rsid w:val="00CA0298"/>
    <w:rsid w:val="00CA02A8"/>
    <w:rsid w:val="00CA030D"/>
    <w:rsid w:val="00CA039E"/>
    <w:rsid w:val="00CA05C4"/>
    <w:rsid w:val="00CA0687"/>
    <w:rsid w:val="00CA0A89"/>
    <w:rsid w:val="00CA0B4B"/>
    <w:rsid w:val="00CA0BCB"/>
    <w:rsid w:val="00CA0E87"/>
    <w:rsid w:val="00CA0EA1"/>
    <w:rsid w:val="00CA1039"/>
    <w:rsid w:val="00CA12A4"/>
    <w:rsid w:val="00CA12D8"/>
    <w:rsid w:val="00CA14B2"/>
    <w:rsid w:val="00CA14BD"/>
    <w:rsid w:val="00CA1516"/>
    <w:rsid w:val="00CA15F8"/>
    <w:rsid w:val="00CA16BC"/>
    <w:rsid w:val="00CA1926"/>
    <w:rsid w:val="00CA1958"/>
    <w:rsid w:val="00CA19E8"/>
    <w:rsid w:val="00CA1A10"/>
    <w:rsid w:val="00CA1A46"/>
    <w:rsid w:val="00CA1A8B"/>
    <w:rsid w:val="00CA1E94"/>
    <w:rsid w:val="00CA1ECC"/>
    <w:rsid w:val="00CA2229"/>
    <w:rsid w:val="00CA2394"/>
    <w:rsid w:val="00CA23CC"/>
    <w:rsid w:val="00CA2424"/>
    <w:rsid w:val="00CA28AC"/>
    <w:rsid w:val="00CA28F4"/>
    <w:rsid w:val="00CA29A6"/>
    <w:rsid w:val="00CA29D8"/>
    <w:rsid w:val="00CA2A50"/>
    <w:rsid w:val="00CA2B0E"/>
    <w:rsid w:val="00CA2BE4"/>
    <w:rsid w:val="00CA2DF2"/>
    <w:rsid w:val="00CA2E86"/>
    <w:rsid w:val="00CA3119"/>
    <w:rsid w:val="00CA3154"/>
    <w:rsid w:val="00CA3315"/>
    <w:rsid w:val="00CA33A2"/>
    <w:rsid w:val="00CA35FA"/>
    <w:rsid w:val="00CA3600"/>
    <w:rsid w:val="00CA3629"/>
    <w:rsid w:val="00CA367D"/>
    <w:rsid w:val="00CA36A9"/>
    <w:rsid w:val="00CA37AB"/>
    <w:rsid w:val="00CA3893"/>
    <w:rsid w:val="00CA3942"/>
    <w:rsid w:val="00CA3981"/>
    <w:rsid w:val="00CA399C"/>
    <w:rsid w:val="00CA3B1F"/>
    <w:rsid w:val="00CA3B7A"/>
    <w:rsid w:val="00CA3D09"/>
    <w:rsid w:val="00CA3DA6"/>
    <w:rsid w:val="00CA3DDD"/>
    <w:rsid w:val="00CA3FAB"/>
    <w:rsid w:val="00CA40ED"/>
    <w:rsid w:val="00CA4258"/>
    <w:rsid w:val="00CA448E"/>
    <w:rsid w:val="00CA45F8"/>
    <w:rsid w:val="00CA460F"/>
    <w:rsid w:val="00CA4613"/>
    <w:rsid w:val="00CA4658"/>
    <w:rsid w:val="00CA47D3"/>
    <w:rsid w:val="00CA4B1C"/>
    <w:rsid w:val="00CA4B93"/>
    <w:rsid w:val="00CA4C75"/>
    <w:rsid w:val="00CA4D3F"/>
    <w:rsid w:val="00CA5022"/>
    <w:rsid w:val="00CA5282"/>
    <w:rsid w:val="00CA5307"/>
    <w:rsid w:val="00CA533A"/>
    <w:rsid w:val="00CA5534"/>
    <w:rsid w:val="00CA553E"/>
    <w:rsid w:val="00CA563D"/>
    <w:rsid w:val="00CA5739"/>
    <w:rsid w:val="00CA58E2"/>
    <w:rsid w:val="00CA5955"/>
    <w:rsid w:val="00CA5AF1"/>
    <w:rsid w:val="00CA5ED2"/>
    <w:rsid w:val="00CA5F8C"/>
    <w:rsid w:val="00CA6146"/>
    <w:rsid w:val="00CA6176"/>
    <w:rsid w:val="00CA627F"/>
    <w:rsid w:val="00CA63CA"/>
    <w:rsid w:val="00CA63CB"/>
    <w:rsid w:val="00CA63D7"/>
    <w:rsid w:val="00CA6723"/>
    <w:rsid w:val="00CA67B7"/>
    <w:rsid w:val="00CA6A76"/>
    <w:rsid w:val="00CA6AAB"/>
    <w:rsid w:val="00CA6B76"/>
    <w:rsid w:val="00CA6BF4"/>
    <w:rsid w:val="00CA6D47"/>
    <w:rsid w:val="00CA6D73"/>
    <w:rsid w:val="00CA6F25"/>
    <w:rsid w:val="00CA7072"/>
    <w:rsid w:val="00CA7078"/>
    <w:rsid w:val="00CA71B0"/>
    <w:rsid w:val="00CA721F"/>
    <w:rsid w:val="00CA7721"/>
    <w:rsid w:val="00CA775D"/>
    <w:rsid w:val="00CA7BF3"/>
    <w:rsid w:val="00CA7C07"/>
    <w:rsid w:val="00CA7C8D"/>
    <w:rsid w:val="00CA7D65"/>
    <w:rsid w:val="00CA7DBF"/>
    <w:rsid w:val="00CA7EBD"/>
    <w:rsid w:val="00CB0160"/>
    <w:rsid w:val="00CB01AA"/>
    <w:rsid w:val="00CB027E"/>
    <w:rsid w:val="00CB02A6"/>
    <w:rsid w:val="00CB02D1"/>
    <w:rsid w:val="00CB02DA"/>
    <w:rsid w:val="00CB03BA"/>
    <w:rsid w:val="00CB0407"/>
    <w:rsid w:val="00CB05D7"/>
    <w:rsid w:val="00CB062E"/>
    <w:rsid w:val="00CB06A9"/>
    <w:rsid w:val="00CB06C9"/>
    <w:rsid w:val="00CB06F5"/>
    <w:rsid w:val="00CB0700"/>
    <w:rsid w:val="00CB078C"/>
    <w:rsid w:val="00CB08A5"/>
    <w:rsid w:val="00CB09FC"/>
    <w:rsid w:val="00CB0F0A"/>
    <w:rsid w:val="00CB0FAB"/>
    <w:rsid w:val="00CB119C"/>
    <w:rsid w:val="00CB11C7"/>
    <w:rsid w:val="00CB1212"/>
    <w:rsid w:val="00CB1216"/>
    <w:rsid w:val="00CB129D"/>
    <w:rsid w:val="00CB135A"/>
    <w:rsid w:val="00CB137B"/>
    <w:rsid w:val="00CB144E"/>
    <w:rsid w:val="00CB15B2"/>
    <w:rsid w:val="00CB19A1"/>
    <w:rsid w:val="00CB1AA9"/>
    <w:rsid w:val="00CB1B4C"/>
    <w:rsid w:val="00CB1BCF"/>
    <w:rsid w:val="00CB1DC2"/>
    <w:rsid w:val="00CB23F8"/>
    <w:rsid w:val="00CB24B6"/>
    <w:rsid w:val="00CB24CB"/>
    <w:rsid w:val="00CB24D6"/>
    <w:rsid w:val="00CB2547"/>
    <w:rsid w:val="00CB26E2"/>
    <w:rsid w:val="00CB2999"/>
    <w:rsid w:val="00CB2C7A"/>
    <w:rsid w:val="00CB2DD0"/>
    <w:rsid w:val="00CB2EAC"/>
    <w:rsid w:val="00CB2FB6"/>
    <w:rsid w:val="00CB313D"/>
    <w:rsid w:val="00CB31E9"/>
    <w:rsid w:val="00CB34F4"/>
    <w:rsid w:val="00CB34FA"/>
    <w:rsid w:val="00CB350C"/>
    <w:rsid w:val="00CB3530"/>
    <w:rsid w:val="00CB356A"/>
    <w:rsid w:val="00CB35C7"/>
    <w:rsid w:val="00CB35C8"/>
    <w:rsid w:val="00CB377D"/>
    <w:rsid w:val="00CB37BE"/>
    <w:rsid w:val="00CB3867"/>
    <w:rsid w:val="00CB38D5"/>
    <w:rsid w:val="00CB3924"/>
    <w:rsid w:val="00CB3940"/>
    <w:rsid w:val="00CB394C"/>
    <w:rsid w:val="00CB3A33"/>
    <w:rsid w:val="00CB3A38"/>
    <w:rsid w:val="00CB3B44"/>
    <w:rsid w:val="00CB3B6B"/>
    <w:rsid w:val="00CB3E08"/>
    <w:rsid w:val="00CB406B"/>
    <w:rsid w:val="00CB40D6"/>
    <w:rsid w:val="00CB41BF"/>
    <w:rsid w:val="00CB43AA"/>
    <w:rsid w:val="00CB44C0"/>
    <w:rsid w:val="00CB45A0"/>
    <w:rsid w:val="00CB46FC"/>
    <w:rsid w:val="00CB4728"/>
    <w:rsid w:val="00CB4ACD"/>
    <w:rsid w:val="00CB4DAA"/>
    <w:rsid w:val="00CB4E2F"/>
    <w:rsid w:val="00CB4F16"/>
    <w:rsid w:val="00CB4F8F"/>
    <w:rsid w:val="00CB5099"/>
    <w:rsid w:val="00CB51E4"/>
    <w:rsid w:val="00CB523A"/>
    <w:rsid w:val="00CB53EE"/>
    <w:rsid w:val="00CB5493"/>
    <w:rsid w:val="00CB55B8"/>
    <w:rsid w:val="00CB55F5"/>
    <w:rsid w:val="00CB5703"/>
    <w:rsid w:val="00CB583F"/>
    <w:rsid w:val="00CB5A94"/>
    <w:rsid w:val="00CB5B24"/>
    <w:rsid w:val="00CB5B30"/>
    <w:rsid w:val="00CB5DA2"/>
    <w:rsid w:val="00CB60CA"/>
    <w:rsid w:val="00CB6592"/>
    <w:rsid w:val="00CB66C6"/>
    <w:rsid w:val="00CB692B"/>
    <w:rsid w:val="00CB6AD6"/>
    <w:rsid w:val="00CB6BAC"/>
    <w:rsid w:val="00CB6D0F"/>
    <w:rsid w:val="00CB6DF8"/>
    <w:rsid w:val="00CB6E00"/>
    <w:rsid w:val="00CB6FEE"/>
    <w:rsid w:val="00CB6FF9"/>
    <w:rsid w:val="00CB733C"/>
    <w:rsid w:val="00CB7831"/>
    <w:rsid w:val="00CB7A40"/>
    <w:rsid w:val="00CB7DAE"/>
    <w:rsid w:val="00CC023C"/>
    <w:rsid w:val="00CC0378"/>
    <w:rsid w:val="00CC0812"/>
    <w:rsid w:val="00CC0A46"/>
    <w:rsid w:val="00CC0A7C"/>
    <w:rsid w:val="00CC0B54"/>
    <w:rsid w:val="00CC0C54"/>
    <w:rsid w:val="00CC0D6E"/>
    <w:rsid w:val="00CC0E11"/>
    <w:rsid w:val="00CC0FFD"/>
    <w:rsid w:val="00CC1022"/>
    <w:rsid w:val="00CC10E7"/>
    <w:rsid w:val="00CC14C7"/>
    <w:rsid w:val="00CC1504"/>
    <w:rsid w:val="00CC1571"/>
    <w:rsid w:val="00CC15E0"/>
    <w:rsid w:val="00CC1725"/>
    <w:rsid w:val="00CC17E6"/>
    <w:rsid w:val="00CC1857"/>
    <w:rsid w:val="00CC1923"/>
    <w:rsid w:val="00CC1BA8"/>
    <w:rsid w:val="00CC1EC7"/>
    <w:rsid w:val="00CC2148"/>
    <w:rsid w:val="00CC21D3"/>
    <w:rsid w:val="00CC226A"/>
    <w:rsid w:val="00CC2273"/>
    <w:rsid w:val="00CC2292"/>
    <w:rsid w:val="00CC24A5"/>
    <w:rsid w:val="00CC24AF"/>
    <w:rsid w:val="00CC24D2"/>
    <w:rsid w:val="00CC253D"/>
    <w:rsid w:val="00CC2547"/>
    <w:rsid w:val="00CC268E"/>
    <w:rsid w:val="00CC28EC"/>
    <w:rsid w:val="00CC2F16"/>
    <w:rsid w:val="00CC2F1F"/>
    <w:rsid w:val="00CC3369"/>
    <w:rsid w:val="00CC3663"/>
    <w:rsid w:val="00CC3770"/>
    <w:rsid w:val="00CC3909"/>
    <w:rsid w:val="00CC39B2"/>
    <w:rsid w:val="00CC3A2E"/>
    <w:rsid w:val="00CC3C42"/>
    <w:rsid w:val="00CC3D88"/>
    <w:rsid w:val="00CC3F8D"/>
    <w:rsid w:val="00CC410A"/>
    <w:rsid w:val="00CC420A"/>
    <w:rsid w:val="00CC42F7"/>
    <w:rsid w:val="00CC454D"/>
    <w:rsid w:val="00CC4611"/>
    <w:rsid w:val="00CC46CC"/>
    <w:rsid w:val="00CC4770"/>
    <w:rsid w:val="00CC477E"/>
    <w:rsid w:val="00CC491E"/>
    <w:rsid w:val="00CC4992"/>
    <w:rsid w:val="00CC4A45"/>
    <w:rsid w:val="00CC4A8E"/>
    <w:rsid w:val="00CC4C33"/>
    <w:rsid w:val="00CC4DD8"/>
    <w:rsid w:val="00CC4E22"/>
    <w:rsid w:val="00CC4EBE"/>
    <w:rsid w:val="00CC4F3B"/>
    <w:rsid w:val="00CC4F8D"/>
    <w:rsid w:val="00CC5019"/>
    <w:rsid w:val="00CC50BB"/>
    <w:rsid w:val="00CC5101"/>
    <w:rsid w:val="00CC542B"/>
    <w:rsid w:val="00CC5486"/>
    <w:rsid w:val="00CC54FC"/>
    <w:rsid w:val="00CC5601"/>
    <w:rsid w:val="00CC5749"/>
    <w:rsid w:val="00CC574F"/>
    <w:rsid w:val="00CC5801"/>
    <w:rsid w:val="00CC5A5A"/>
    <w:rsid w:val="00CC5A95"/>
    <w:rsid w:val="00CC5C71"/>
    <w:rsid w:val="00CC5CEA"/>
    <w:rsid w:val="00CC5D42"/>
    <w:rsid w:val="00CC5E06"/>
    <w:rsid w:val="00CC5E1D"/>
    <w:rsid w:val="00CC6033"/>
    <w:rsid w:val="00CC6046"/>
    <w:rsid w:val="00CC62E3"/>
    <w:rsid w:val="00CC636D"/>
    <w:rsid w:val="00CC637B"/>
    <w:rsid w:val="00CC648E"/>
    <w:rsid w:val="00CC650F"/>
    <w:rsid w:val="00CC653E"/>
    <w:rsid w:val="00CC6610"/>
    <w:rsid w:val="00CC6758"/>
    <w:rsid w:val="00CC6828"/>
    <w:rsid w:val="00CC689D"/>
    <w:rsid w:val="00CC68C2"/>
    <w:rsid w:val="00CC6A02"/>
    <w:rsid w:val="00CC6A17"/>
    <w:rsid w:val="00CC6A41"/>
    <w:rsid w:val="00CC6AB2"/>
    <w:rsid w:val="00CC6AEB"/>
    <w:rsid w:val="00CC6B81"/>
    <w:rsid w:val="00CC6C4F"/>
    <w:rsid w:val="00CC6DCF"/>
    <w:rsid w:val="00CC6E72"/>
    <w:rsid w:val="00CC6EDA"/>
    <w:rsid w:val="00CC6EEB"/>
    <w:rsid w:val="00CC7082"/>
    <w:rsid w:val="00CC71AC"/>
    <w:rsid w:val="00CC729F"/>
    <w:rsid w:val="00CC73F8"/>
    <w:rsid w:val="00CC7499"/>
    <w:rsid w:val="00CC74DA"/>
    <w:rsid w:val="00CC7614"/>
    <w:rsid w:val="00CC783D"/>
    <w:rsid w:val="00CC7843"/>
    <w:rsid w:val="00CC79CC"/>
    <w:rsid w:val="00CC7AAB"/>
    <w:rsid w:val="00CC7ACD"/>
    <w:rsid w:val="00CC7AF6"/>
    <w:rsid w:val="00CC7B3A"/>
    <w:rsid w:val="00CC7E07"/>
    <w:rsid w:val="00CC7F3F"/>
    <w:rsid w:val="00CC7F8C"/>
    <w:rsid w:val="00CD01EF"/>
    <w:rsid w:val="00CD01FC"/>
    <w:rsid w:val="00CD0560"/>
    <w:rsid w:val="00CD075C"/>
    <w:rsid w:val="00CD0898"/>
    <w:rsid w:val="00CD0989"/>
    <w:rsid w:val="00CD0994"/>
    <w:rsid w:val="00CD0B4A"/>
    <w:rsid w:val="00CD0C8A"/>
    <w:rsid w:val="00CD0EB8"/>
    <w:rsid w:val="00CD0F0B"/>
    <w:rsid w:val="00CD0F1A"/>
    <w:rsid w:val="00CD107D"/>
    <w:rsid w:val="00CD11E4"/>
    <w:rsid w:val="00CD134A"/>
    <w:rsid w:val="00CD13D8"/>
    <w:rsid w:val="00CD149E"/>
    <w:rsid w:val="00CD1860"/>
    <w:rsid w:val="00CD1A17"/>
    <w:rsid w:val="00CD1B60"/>
    <w:rsid w:val="00CD1BB6"/>
    <w:rsid w:val="00CD1C48"/>
    <w:rsid w:val="00CD1CB0"/>
    <w:rsid w:val="00CD2040"/>
    <w:rsid w:val="00CD21E9"/>
    <w:rsid w:val="00CD23A2"/>
    <w:rsid w:val="00CD2560"/>
    <w:rsid w:val="00CD256D"/>
    <w:rsid w:val="00CD25F9"/>
    <w:rsid w:val="00CD2628"/>
    <w:rsid w:val="00CD2716"/>
    <w:rsid w:val="00CD274C"/>
    <w:rsid w:val="00CD2E6E"/>
    <w:rsid w:val="00CD2EC2"/>
    <w:rsid w:val="00CD2F9A"/>
    <w:rsid w:val="00CD2FAC"/>
    <w:rsid w:val="00CD3244"/>
    <w:rsid w:val="00CD32E9"/>
    <w:rsid w:val="00CD3458"/>
    <w:rsid w:val="00CD3550"/>
    <w:rsid w:val="00CD3560"/>
    <w:rsid w:val="00CD3840"/>
    <w:rsid w:val="00CD38F9"/>
    <w:rsid w:val="00CD39DD"/>
    <w:rsid w:val="00CD3B34"/>
    <w:rsid w:val="00CD3CDA"/>
    <w:rsid w:val="00CD3DA5"/>
    <w:rsid w:val="00CD3DF9"/>
    <w:rsid w:val="00CD3E4F"/>
    <w:rsid w:val="00CD3E88"/>
    <w:rsid w:val="00CD4176"/>
    <w:rsid w:val="00CD4208"/>
    <w:rsid w:val="00CD4235"/>
    <w:rsid w:val="00CD44E2"/>
    <w:rsid w:val="00CD458B"/>
    <w:rsid w:val="00CD45AD"/>
    <w:rsid w:val="00CD46BC"/>
    <w:rsid w:val="00CD4E23"/>
    <w:rsid w:val="00CD5142"/>
    <w:rsid w:val="00CD529D"/>
    <w:rsid w:val="00CD52CE"/>
    <w:rsid w:val="00CD539F"/>
    <w:rsid w:val="00CD542A"/>
    <w:rsid w:val="00CD5442"/>
    <w:rsid w:val="00CD5555"/>
    <w:rsid w:val="00CD55D9"/>
    <w:rsid w:val="00CD5605"/>
    <w:rsid w:val="00CD57F1"/>
    <w:rsid w:val="00CD5812"/>
    <w:rsid w:val="00CD59C2"/>
    <w:rsid w:val="00CD5A84"/>
    <w:rsid w:val="00CD5BAF"/>
    <w:rsid w:val="00CD5CA1"/>
    <w:rsid w:val="00CD5CBB"/>
    <w:rsid w:val="00CD5CFA"/>
    <w:rsid w:val="00CD5D95"/>
    <w:rsid w:val="00CD6150"/>
    <w:rsid w:val="00CD618F"/>
    <w:rsid w:val="00CD61EE"/>
    <w:rsid w:val="00CD6232"/>
    <w:rsid w:val="00CD628D"/>
    <w:rsid w:val="00CD6970"/>
    <w:rsid w:val="00CD6AE0"/>
    <w:rsid w:val="00CD6D11"/>
    <w:rsid w:val="00CD6D3E"/>
    <w:rsid w:val="00CD6E5C"/>
    <w:rsid w:val="00CD6F98"/>
    <w:rsid w:val="00CD7219"/>
    <w:rsid w:val="00CD728D"/>
    <w:rsid w:val="00CD73A7"/>
    <w:rsid w:val="00CD7672"/>
    <w:rsid w:val="00CD77B1"/>
    <w:rsid w:val="00CD7A2A"/>
    <w:rsid w:val="00CD7C4B"/>
    <w:rsid w:val="00CD7C86"/>
    <w:rsid w:val="00CD7E13"/>
    <w:rsid w:val="00CD7E3C"/>
    <w:rsid w:val="00CD7FF6"/>
    <w:rsid w:val="00CE001C"/>
    <w:rsid w:val="00CE0086"/>
    <w:rsid w:val="00CE009F"/>
    <w:rsid w:val="00CE0232"/>
    <w:rsid w:val="00CE02E2"/>
    <w:rsid w:val="00CE040E"/>
    <w:rsid w:val="00CE04AE"/>
    <w:rsid w:val="00CE051F"/>
    <w:rsid w:val="00CE0546"/>
    <w:rsid w:val="00CE0649"/>
    <w:rsid w:val="00CE06D6"/>
    <w:rsid w:val="00CE0798"/>
    <w:rsid w:val="00CE0CA2"/>
    <w:rsid w:val="00CE0D10"/>
    <w:rsid w:val="00CE0E41"/>
    <w:rsid w:val="00CE0E90"/>
    <w:rsid w:val="00CE104F"/>
    <w:rsid w:val="00CE1238"/>
    <w:rsid w:val="00CE1328"/>
    <w:rsid w:val="00CE146B"/>
    <w:rsid w:val="00CE147A"/>
    <w:rsid w:val="00CE16A8"/>
    <w:rsid w:val="00CE16B8"/>
    <w:rsid w:val="00CE189B"/>
    <w:rsid w:val="00CE19C6"/>
    <w:rsid w:val="00CE1A8E"/>
    <w:rsid w:val="00CE1ACA"/>
    <w:rsid w:val="00CE1BC2"/>
    <w:rsid w:val="00CE1C86"/>
    <w:rsid w:val="00CE1CBC"/>
    <w:rsid w:val="00CE1D51"/>
    <w:rsid w:val="00CE1DA2"/>
    <w:rsid w:val="00CE1E56"/>
    <w:rsid w:val="00CE1E8D"/>
    <w:rsid w:val="00CE1F5E"/>
    <w:rsid w:val="00CE25FD"/>
    <w:rsid w:val="00CE2638"/>
    <w:rsid w:val="00CE2656"/>
    <w:rsid w:val="00CE2A14"/>
    <w:rsid w:val="00CE2BCB"/>
    <w:rsid w:val="00CE2C01"/>
    <w:rsid w:val="00CE2E87"/>
    <w:rsid w:val="00CE3102"/>
    <w:rsid w:val="00CE31DE"/>
    <w:rsid w:val="00CE325B"/>
    <w:rsid w:val="00CE335A"/>
    <w:rsid w:val="00CE3490"/>
    <w:rsid w:val="00CE34A7"/>
    <w:rsid w:val="00CE34BE"/>
    <w:rsid w:val="00CE3733"/>
    <w:rsid w:val="00CE387E"/>
    <w:rsid w:val="00CE3D5E"/>
    <w:rsid w:val="00CE3DA3"/>
    <w:rsid w:val="00CE3F4A"/>
    <w:rsid w:val="00CE3FD9"/>
    <w:rsid w:val="00CE400C"/>
    <w:rsid w:val="00CE40AE"/>
    <w:rsid w:val="00CE4157"/>
    <w:rsid w:val="00CE4200"/>
    <w:rsid w:val="00CE422C"/>
    <w:rsid w:val="00CE428F"/>
    <w:rsid w:val="00CE43AE"/>
    <w:rsid w:val="00CE4506"/>
    <w:rsid w:val="00CE468F"/>
    <w:rsid w:val="00CE4A38"/>
    <w:rsid w:val="00CE4A5C"/>
    <w:rsid w:val="00CE4A7F"/>
    <w:rsid w:val="00CE4B5B"/>
    <w:rsid w:val="00CE4B92"/>
    <w:rsid w:val="00CE4D3F"/>
    <w:rsid w:val="00CE4F6A"/>
    <w:rsid w:val="00CE4F8A"/>
    <w:rsid w:val="00CE50CA"/>
    <w:rsid w:val="00CE5185"/>
    <w:rsid w:val="00CE5222"/>
    <w:rsid w:val="00CE52B0"/>
    <w:rsid w:val="00CE53C7"/>
    <w:rsid w:val="00CE5557"/>
    <w:rsid w:val="00CE59D8"/>
    <w:rsid w:val="00CE5B72"/>
    <w:rsid w:val="00CE5C84"/>
    <w:rsid w:val="00CE5E3B"/>
    <w:rsid w:val="00CE5E89"/>
    <w:rsid w:val="00CE5EC0"/>
    <w:rsid w:val="00CE60DE"/>
    <w:rsid w:val="00CE6105"/>
    <w:rsid w:val="00CE619E"/>
    <w:rsid w:val="00CE61CA"/>
    <w:rsid w:val="00CE64CE"/>
    <w:rsid w:val="00CE670F"/>
    <w:rsid w:val="00CE67AF"/>
    <w:rsid w:val="00CE6836"/>
    <w:rsid w:val="00CE6894"/>
    <w:rsid w:val="00CE68FE"/>
    <w:rsid w:val="00CE69D0"/>
    <w:rsid w:val="00CE6AA3"/>
    <w:rsid w:val="00CE6ADF"/>
    <w:rsid w:val="00CE6B55"/>
    <w:rsid w:val="00CE6C5E"/>
    <w:rsid w:val="00CE6C63"/>
    <w:rsid w:val="00CE6C68"/>
    <w:rsid w:val="00CE6CA6"/>
    <w:rsid w:val="00CE6E32"/>
    <w:rsid w:val="00CE6F14"/>
    <w:rsid w:val="00CE6F25"/>
    <w:rsid w:val="00CE6FBC"/>
    <w:rsid w:val="00CE701E"/>
    <w:rsid w:val="00CE70DF"/>
    <w:rsid w:val="00CE7295"/>
    <w:rsid w:val="00CE72E0"/>
    <w:rsid w:val="00CE76DC"/>
    <w:rsid w:val="00CE7721"/>
    <w:rsid w:val="00CE78E9"/>
    <w:rsid w:val="00CE79A4"/>
    <w:rsid w:val="00CE7F1A"/>
    <w:rsid w:val="00CE7F5F"/>
    <w:rsid w:val="00CF001F"/>
    <w:rsid w:val="00CF0165"/>
    <w:rsid w:val="00CF018D"/>
    <w:rsid w:val="00CF0254"/>
    <w:rsid w:val="00CF0318"/>
    <w:rsid w:val="00CF0327"/>
    <w:rsid w:val="00CF0328"/>
    <w:rsid w:val="00CF0330"/>
    <w:rsid w:val="00CF0355"/>
    <w:rsid w:val="00CF0485"/>
    <w:rsid w:val="00CF0864"/>
    <w:rsid w:val="00CF0891"/>
    <w:rsid w:val="00CF08E8"/>
    <w:rsid w:val="00CF09E4"/>
    <w:rsid w:val="00CF09FD"/>
    <w:rsid w:val="00CF0B86"/>
    <w:rsid w:val="00CF0BBE"/>
    <w:rsid w:val="00CF0BF2"/>
    <w:rsid w:val="00CF0C0E"/>
    <w:rsid w:val="00CF0D37"/>
    <w:rsid w:val="00CF0DAD"/>
    <w:rsid w:val="00CF0DB8"/>
    <w:rsid w:val="00CF0F14"/>
    <w:rsid w:val="00CF0F40"/>
    <w:rsid w:val="00CF0F6E"/>
    <w:rsid w:val="00CF111A"/>
    <w:rsid w:val="00CF111B"/>
    <w:rsid w:val="00CF1138"/>
    <w:rsid w:val="00CF11A0"/>
    <w:rsid w:val="00CF11AB"/>
    <w:rsid w:val="00CF11EE"/>
    <w:rsid w:val="00CF1292"/>
    <w:rsid w:val="00CF13FF"/>
    <w:rsid w:val="00CF165C"/>
    <w:rsid w:val="00CF18FA"/>
    <w:rsid w:val="00CF1ADE"/>
    <w:rsid w:val="00CF1AF6"/>
    <w:rsid w:val="00CF1C4A"/>
    <w:rsid w:val="00CF1CAD"/>
    <w:rsid w:val="00CF1D17"/>
    <w:rsid w:val="00CF1F4F"/>
    <w:rsid w:val="00CF2124"/>
    <w:rsid w:val="00CF222F"/>
    <w:rsid w:val="00CF2319"/>
    <w:rsid w:val="00CF2323"/>
    <w:rsid w:val="00CF232E"/>
    <w:rsid w:val="00CF23A1"/>
    <w:rsid w:val="00CF253B"/>
    <w:rsid w:val="00CF2821"/>
    <w:rsid w:val="00CF2894"/>
    <w:rsid w:val="00CF28E7"/>
    <w:rsid w:val="00CF2957"/>
    <w:rsid w:val="00CF2961"/>
    <w:rsid w:val="00CF29F0"/>
    <w:rsid w:val="00CF2D41"/>
    <w:rsid w:val="00CF318E"/>
    <w:rsid w:val="00CF319F"/>
    <w:rsid w:val="00CF32AB"/>
    <w:rsid w:val="00CF32BF"/>
    <w:rsid w:val="00CF32D0"/>
    <w:rsid w:val="00CF3315"/>
    <w:rsid w:val="00CF34A7"/>
    <w:rsid w:val="00CF3630"/>
    <w:rsid w:val="00CF3651"/>
    <w:rsid w:val="00CF37E8"/>
    <w:rsid w:val="00CF389D"/>
    <w:rsid w:val="00CF3F50"/>
    <w:rsid w:val="00CF422B"/>
    <w:rsid w:val="00CF42A0"/>
    <w:rsid w:val="00CF4506"/>
    <w:rsid w:val="00CF4773"/>
    <w:rsid w:val="00CF477C"/>
    <w:rsid w:val="00CF4819"/>
    <w:rsid w:val="00CF49F9"/>
    <w:rsid w:val="00CF4AA1"/>
    <w:rsid w:val="00CF4D6B"/>
    <w:rsid w:val="00CF50BE"/>
    <w:rsid w:val="00CF5121"/>
    <w:rsid w:val="00CF5135"/>
    <w:rsid w:val="00CF54D1"/>
    <w:rsid w:val="00CF57F0"/>
    <w:rsid w:val="00CF589E"/>
    <w:rsid w:val="00CF5B7D"/>
    <w:rsid w:val="00CF5BC5"/>
    <w:rsid w:val="00CF5BCD"/>
    <w:rsid w:val="00CF5CCE"/>
    <w:rsid w:val="00CF5D48"/>
    <w:rsid w:val="00CF602E"/>
    <w:rsid w:val="00CF61B5"/>
    <w:rsid w:val="00CF622D"/>
    <w:rsid w:val="00CF6389"/>
    <w:rsid w:val="00CF644A"/>
    <w:rsid w:val="00CF64E9"/>
    <w:rsid w:val="00CF660F"/>
    <w:rsid w:val="00CF6640"/>
    <w:rsid w:val="00CF6693"/>
    <w:rsid w:val="00CF66F8"/>
    <w:rsid w:val="00CF681A"/>
    <w:rsid w:val="00CF6876"/>
    <w:rsid w:val="00CF68BE"/>
    <w:rsid w:val="00CF68FC"/>
    <w:rsid w:val="00CF69A0"/>
    <w:rsid w:val="00CF6C73"/>
    <w:rsid w:val="00CF6C84"/>
    <w:rsid w:val="00CF6D0E"/>
    <w:rsid w:val="00CF6F0B"/>
    <w:rsid w:val="00CF7286"/>
    <w:rsid w:val="00CF72BB"/>
    <w:rsid w:val="00CF7309"/>
    <w:rsid w:val="00CF731E"/>
    <w:rsid w:val="00CF7341"/>
    <w:rsid w:val="00CF7435"/>
    <w:rsid w:val="00CF743D"/>
    <w:rsid w:val="00CF7507"/>
    <w:rsid w:val="00CF76B5"/>
    <w:rsid w:val="00CF77C0"/>
    <w:rsid w:val="00CF7806"/>
    <w:rsid w:val="00CF78CA"/>
    <w:rsid w:val="00CF791B"/>
    <w:rsid w:val="00CF798E"/>
    <w:rsid w:val="00CF7A9E"/>
    <w:rsid w:val="00CF7AFE"/>
    <w:rsid w:val="00CF7B2A"/>
    <w:rsid w:val="00CF7B48"/>
    <w:rsid w:val="00CF7D31"/>
    <w:rsid w:val="00CF7E21"/>
    <w:rsid w:val="00CF7E34"/>
    <w:rsid w:val="00CF7EEF"/>
    <w:rsid w:val="00CF7F28"/>
    <w:rsid w:val="00D00228"/>
    <w:rsid w:val="00D003BF"/>
    <w:rsid w:val="00D00707"/>
    <w:rsid w:val="00D00777"/>
    <w:rsid w:val="00D0084F"/>
    <w:rsid w:val="00D00897"/>
    <w:rsid w:val="00D008D7"/>
    <w:rsid w:val="00D008E6"/>
    <w:rsid w:val="00D00946"/>
    <w:rsid w:val="00D00B6F"/>
    <w:rsid w:val="00D00BEF"/>
    <w:rsid w:val="00D00C9F"/>
    <w:rsid w:val="00D00EE0"/>
    <w:rsid w:val="00D00F9A"/>
    <w:rsid w:val="00D011F6"/>
    <w:rsid w:val="00D01262"/>
    <w:rsid w:val="00D01481"/>
    <w:rsid w:val="00D01482"/>
    <w:rsid w:val="00D015E4"/>
    <w:rsid w:val="00D01661"/>
    <w:rsid w:val="00D019D5"/>
    <w:rsid w:val="00D01A51"/>
    <w:rsid w:val="00D01B3E"/>
    <w:rsid w:val="00D01C5F"/>
    <w:rsid w:val="00D01CD5"/>
    <w:rsid w:val="00D01E7A"/>
    <w:rsid w:val="00D01ED1"/>
    <w:rsid w:val="00D01F20"/>
    <w:rsid w:val="00D0210D"/>
    <w:rsid w:val="00D02165"/>
    <w:rsid w:val="00D021D9"/>
    <w:rsid w:val="00D022B9"/>
    <w:rsid w:val="00D02335"/>
    <w:rsid w:val="00D027BD"/>
    <w:rsid w:val="00D02805"/>
    <w:rsid w:val="00D02834"/>
    <w:rsid w:val="00D028A6"/>
    <w:rsid w:val="00D028AE"/>
    <w:rsid w:val="00D02B13"/>
    <w:rsid w:val="00D02D32"/>
    <w:rsid w:val="00D03146"/>
    <w:rsid w:val="00D0334E"/>
    <w:rsid w:val="00D03537"/>
    <w:rsid w:val="00D035F9"/>
    <w:rsid w:val="00D03695"/>
    <w:rsid w:val="00D03893"/>
    <w:rsid w:val="00D038E3"/>
    <w:rsid w:val="00D03985"/>
    <w:rsid w:val="00D03BE5"/>
    <w:rsid w:val="00D03C6E"/>
    <w:rsid w:val="00D03CD6"/>
    <w:rsid w:val="00D03E06"/>
    <w:rsid w:val="00D03EEE"/>
    <w:rsid w:val="00D04010"/>
    <w:rsid w:val="00D04025"/>
    <w:rsid w:val="00D040B2"/>
    <w:rsid w:val="00D040B8"/>
    <w:rsid w:val="00D040F9"/>
    <w:rsid w:val="00D04214"/>
    <w:rsid w:val="00D042BD"/>
    <w:rsid w:val="00D042EF"/>
    <w:rsid w:val="00D04335"/>
    <w:rsid w:val="00D0433C"/>
    <w:rsid w:val="00D043CF"/>
    <w:rsid w:val="00D04577"/>
    <w:rsid w:val="00D04874"/>
    <w:rsid w:val="00D049FD"/>
    <w:rsid w:val="00D04D8E"/>
    <w:rsid w:val="00D05001"/>
    <w:rsid w:val="00D0512B"/>
    <w:rsid w:val="00D051BC"/>
    <w:rsid w:val="00D05585"/>
    <w:rsid w:val="00D056A1"/>
    <w:rsid w:val="00D058F1"/>
    <w:rsid w:val="00D05AE4"/>
    <w:rsid w:val="00D05D21"/>
    <w:rsid w:val="00D05E1E"/>
    <w:rsid w:val="00D05F21"/>
    <w:rsid w:val="00D05FE1"/>
    <w:rsid w:val="00D061CA"/>
    <w:rsid w:val="00D063C7"/>
    <w:rsid w:val="00D064A0"/>
    <w:rsid w:val="00D064E8"/>
    <w:rsid w:val="00D0650F"/>
    <w:rsid w:val="00D0678A"/>
    <w:rsid w:val="00D067F6"/>
    <w:rsid w:val="00D0692A"/>
    <w:rsid w:val="00D06B17"/>
    <w:rsid w:val="00D06D16"/>
    <w:rsid w:val="00D06EE0"/>
    <w:rsid w:val="00D06FC9"/>
    <w:rsid w:val="00D06FD3"/>
    <w:rsid w:val="00D07096"/>
    <w:rsid w:val="00D07103"/>
    <w:rsid w:val="00D071A4"/>
    <w:rsid w:val="00D073BB"/>
    <w:rsid w:val="00D0758A"/>
    <w:rsid w:val="00D075D8"/>
    <w:rsid w:val="00D07609"/>
    <w:rsid w:val="00D0766B"/>
    <w:rsid w:val="00D07B9E"/>
    <w:rsid w:val="00D07C3A"/>
    <w:rsid w:val="00D07DA4"/>
    <w:rsid w:val="00D07E22"/>
    <w:rsid w:val="00D1004A"/>
    <w:rsid w:val="00D102E4"/>
    <w:rsid w:val="00D10305"/>
    <w:rsid w:val="00D10374"/>
    <w:rsid w:val="00D10539"/>
    <w:rsid w:val="00D106BA"/>
    <w:rsid w:val="00D108BD"/>
    <w:rsid w:val="00D10AAD"/>
    <w:rsid w:val="00D10E4C"/>
    <w:rsid w:val="00D10FA5"/>
    <w:rsid w:val="00D10FC6"/>
    <w:rsid w:val="00D112E8"/>
    <w:rsid w:val="00D11461"/>
    <w:rsid w:val="00D115A9"/>
    <w:rsid w:val="00D11997"/>
    <w:rsid w:val="00D11C1F"/>
    <w:rsid w:val="00D11C59"/>
    <w:rsid w:val="00D11EEE"/>
    <w:rsid w:val="00D11F54"/>
    <w:rsid w:val="00D122BC"/>
    <w:rsid w:val="00D12375"/>
    <w:rsid w:val="00D123C3"/>
    <w:rsid w:val="00D124DE"/>
    <w:rsid w:val="00D12569"/>
    <w:rsid w:val="00D126AD"/>
    <w:rsid w:val="00D128F4"/>
    <w:rsid w:val="00D12B14"/>
    <w:rsid w:val="00D12DCE"/>
    <w:rsid w:val="00D12E6C"/>
    <w:rsid w:val="00D130C2"/>
    <w:rsid w:val="00D1310D"/>
    <w:rsid w:val="00D13148"/>
    <w:rsid w:val="00D13182"/>
    <w:rsid w:val="00D1336D"/>
    <w:rsid w:val="00D133CF"/>
    <w:rsid w:val="00D13496"/>
    <w:rsid w:val="00D13551"/>
    <w:rsid w:val="00D135CA"/>
    <w:rsid w:val="00D13716"/>
    <w:rsid w:val="00D13AEC"/>
    <w:rsid w:val="00D13BDB"/>
    <w:rsid w:val="00D13F3C"/>
    <w:rsid w:val="00D13F63"/>
    <w:rsid w:val="00D13FEC"/>
    <w:rsid w:val="00D14031"/>
    <w:rsid w:val="00D140A1"/>
    <w:rsid w:val="00D14182"/>
    <w:rsid w:val="00D14183"/>
    <w:rsid w:val="00D141E3"/>
    <w:rsid w:val="00D14287"/>
    <w:rsid w:val="00D142CE"/>
    <w:rsid w:val="00D143E6"/>
    <w:rsid w:val="00D1452F"/>
    <w:rsid w:val="00D14722"/>
    <w:rsid w:val="00D148B9"/>
    <w:rsid w:val="00D14B56"/>
    <w:rsid w:val="00D14C3F"/>
    <w:rsid w:val="00D15007"/>
    <w:rsid w:val="00D15083"/>
    <w:rsid w:val="00D150FD"/>
    <w:rsid w:val="00D151D1"/>
    <w:rsid w:val="00D1525C"/>
    <w:rsid w:val="00D1528A"/>
    <w:rsid w:val="00D15309"/>
    <w:rsid w:val="00D153AF"/>
    <w:rsid w:val="00D153B8"/>
    <w:rsid w:val="00D15451"/>
    <w:rsid w:val="00D15525"/>
    <w:rsid w:val="00D1553E"/>
    <w:rsid w:val="00D15684"/>
    <w:rsid w:val="00D15795"/>
    <w:rsid w:val="00D15AF0"/>
    <w:rsid w:val="00D15D18"/>
    <w:rsid w:val="00D15E9F"/>
    <w:rsid w:val="00D1600E"/>
    <w:rsid w:val="00D161A8"/>
    <w:rsid w:val="00D16574"/>
    <w:rsid w:val="00D168DF"/>
    <w:rsid w:val="00D169E7"/>
    <w:rsid w:val="00D16B6B"/>
    <w:rsid w:val="00D16C90"/>
    <w:rsid w:val="00D16E9D"/>
    <w:rsid w:val="00D16ECB"/>
    <w:rsid w:val="00D1718D"/>
    <w:rsid w:val="00D171FF"/>
    <w:rsid w:val="00D17239"/>
    <w:rsid w:val="00D172EE"/>
    <w:rsid w:val="00D17599"/>
    <w:rsid w:val="00D175A3"/>
    <w:rsid w:val="00D176EA"/>
    <w:rsid w:val="00D17955"/>
    <w:rsid w:val="00D179EA"/>
    <w:rsid w:val="00D17CF6"/>
    <w:rsid w:val="00D17D51"/>
    <w:rsid w:val="00D2010C"/>
    <w:rsid w:val="00D20140"/>
    <w:rsid w:val="00D20151"/>
    <w:rsid w:val="00D2019E"/>
    <w:rsid w:val="00D2025A"/>
    <w:rsid w:val="00D20383"/>
    <w:rsid w:val="00D2047B"/>
    <w:rsid w:val="00D204F3"/>
    <w:rsid w:val="00D2055A"/>
    <w:rsid w:val="00D2065F"/>
    <w:rsid w:val="00D206B5"/>
    <w:rsid w:val="00D207B3"/>
    <w:rsid w:val="00D208DD"/>
    <w:rsid w:val="00D20A07"/>
    <w:rsid w:val="00D20A4C"/>
    <w:rsid w:val="00D20A8D"/>
    <w:rsid w:val="00D20BFB"/>
    <w:rsid w:val="00D20C43"/>
    <w:rsid w:val="00D20D0F"/>
    <w:rsid w:val="00D20E5D"/>
    <w:rsid w:val="00D20F2C"/>
    <w:rsid w:val="00D20F38"/>
    <w:rsid w:val="00D21340"/>
    <w:rsid w:val="00D21690"/>
    <w:rsid w:val="00D21727"/>
    <w:rsid w:val="00D2184C"/>
    <w:rsid w:val="00D218EE"/>
    <w:rsid w:val="00D21A4A"/>
    <w:rsid w:val="00D21A5F"/>
    <w:rsid w:val="00D21B83"/>
    <w:rsid w:val="00D21B98"/>
    <w:rsid w:val="00D21C04"/>
    <w:rsid w:val="00D21CBE"/>
    <w:rsid w:val="00D21D11"/>
    <w:rsid w:val="00D21DA4"/>
    <w:rsid w:val="00D21DD8"/>
    <w:rsid w:val="00D21E5E"/>
    <w:rsid w:val="00D21EC1"/>
    <w:rsid w:val="00D21FEF"/>
    <w:rsid w:val="00D221DA"/>
    <w:rsid w:val="00D22304"/>
    <w:rsid w:val="00D223A4"/>
    <w:rsid w:val="00D22498"/>
    <w:rsid w:val="00D22552"/>
    <w:rsid w:val="00D2255E"/>
    <w:rsid w:val="00D22809"/>
    <w:rsid w:val="00D22814"/>
    <w:rsid w:val="00D2283F"/>
    <w:rsid w:val="00D22C38"/>
    <w:rsid w:val="00D22C3F"/>
    <w:rsid w:val="00D22C61"/>
    <w:rsid w:val="00D22C8A"/>
    <w:rsid w:val="00D22D6B"/>
    <w:rsid w:val="00D22F5D"/>
    <w:rsid w:val="00D2310B"/>
    <w:rsid w:val="00D233E1"/>
    <w:rsid w:val="00D235CB"/>
    <w:rsid w:val="00D235CF"/>
    <w:rsid w:val="00D236DE"/>
    <w:rsid w:val="00D237AD"/>
    <w:rsid w:val="00D237CF"/>
    <w:rsid w:val="00D238AC"/>
    <w:rsid w:val="00D239C2"/>
    <w:rsid w:val="00D239F9"/>
    <w:rsid w:val="00D23BF5"/>
    <w:rsid w:val="00D23C17"/>
    <w:rsid w:val="00D23E58"/>
    <w:rsid w:val="00D23E9E"/>
    <w:rsid w:val="00D24056"/>
    <w:rsid w:val="00D24622"/>
    <w:rsid w:val="00D24667"/>
    <w:rsid w:val="00D24752"/>
    <w:rsid w:val="00D24813"/>
    <w:rsid w:val="00D24D4C"/>
    <w:rsid w:val="00D24D60"/>
    <w:rsid w:val="00D24DBA"/>
    <w:rsid w:val="00D24E1E"/>
    <w:rsid w:val="00D24E7B"/>
    <w:rsid w:val="00D24F48"/>
    <w:rsid w:val="00D24FCC"/>
    <w:rsid w:val="00D252DC"/>
    <w:rsid w:val="00D254FB"/>
    <w:rsid w:val="00D25643"/>
    <w:rsid w:val="00D2576C"/>
    <w:rsid w:val="00D25795"/>
    <w:rsid w:val="00D257B3"/>
    <w:rsid w:val="00D25962"/>
    <w:rsid w:val="00D25A8B"/>
    <w:rsid w:val="00D25B17"/>
    <w:rsid w:val="00D25B4F"/>
    <w:rsid w:val="00D25CF1"/>
    <w:rsid w:val="00D25EFB"/>
    <w:rsid w:val="00D2608A"/>
    <w:rsid w:val="00D261D8"/>
    <w:rsid w:val="00D26801"/>
    <w:rsid w:val="00D2684A"/>
    <w:rsid w:val="00D26F5C"/>
    <w:rsid w:val="00D27146"/>
    <w:rsid w:val="00D271F1"/>
    <w:rsid w:val="00D272BC"/>
    <w:rsid w:val="00D2731D"/>
    <w:rsid w:val="00D27361"/>
    <w:rsid w:val="00D273C6"/>
    <w:rsid w:val="00D27428"/>
    <w:rsid w:val="00D2743E"/>
    <w:rsid w:val="00D274B4"/>
    <w:rsid w:val="00D2762C"/>
    <w:rsid w:val="00D27693"/>
    <w:rsid w:val="00D2770F"/>
    <w:rsid w:val="00D27761"/>
    <w:rsid w:val="00D27813"/>
    <w:rsid w:val="00D27899"/>
    <w:rsid w:val="00D278AE"/>
    <w:rsid w:val="00D27970"/>
    <w:rsid w:val="00D27AE1"/>
    <w:rsid w:val="00D27AF5"/>
    <w:rsid w:val="00D27BB7"/>
    <w:rsid w:val="00D27BD7"/>
    <w:rsid w:val="00D27D10"/>
    <w:rsid w:val="00D27E05"/>
    <w:rsid w:val="00D27E2B"/>
    <w:rsid w:val="00D27E54"/>
    <w:rsid w:val="00D27E94"/>
    <w:rsid w:val="00D30066"/>
    <w:rsid w:val="00D300A0"/>
    <w:rsid w:val="00D3010A"/>
    <w:rsid w:val="00D301C9"/>
    <w:rsid w:val="00D301CB"/>
    <w:rsid w:val="00D309DB"/>
    <w:rsid w:val="00D30A0B"/>
    <w:rsid w:val="00D30B0C"/>
    <w:rsid w:val="00D30C6A"/>
    <w:rsid w:val="00D30D5D"/>
    <w:rsid w:val="00D30DC4"/>
    <w:rsid w:val="00D30EFF"/>
    <w:rsid w:val="00D31021"/>
    <w:rsid w:val="00D3106A"/>
    <w:rsid w:val="00D31135"/>
    <w:rsid w:val="00D312C4"/>
    <w:rsid w:val="00D319D6"/>
    <w:rsid w:val="00D31C7C"/>
    <w:rsid w:val="00D31D5B"/>
    <w:rsid w:val="00D31D98"/>
    <w:rsid w:val="00D31E27"/>
    <w:rsid w:val="00D31F71"/>
    <w:rsid w:val="00D32149"/>
    <w:rsid w:val="00D3235C"/>
    <w:rsid w:val="00D323DB"/>
    <w:rsid w:val="00D3252F"/>
    <w:rsid w:val="00D32692"/>
    <w:rsid w:val="00D3288D"/>
    <w:rsid w:val="00D3298D"/>
    <w:rsid w:val="00D32BDA"/>
    <w:rsid w:val="00D32C8D"/>
    <w:rsid w:val="00D32E96"/>
    <w:rsid w:val="00D32EEE"/>
    <w:rsid w:val="00D3303D"/>
    <w:rsid w:val="00D330DB"/>
    <w:rsid w:val="00D3327E"/>
    <w:rsid w:val="00D33411"/>
    <w:rsid w:val="00D338AC"/>
    <w:rsid w:val="00D338E4"/>
    <w:rsid w:val="00D33B1E"/>
    <w:rsid w:val="00D33B36"/>
    <w:rsid w:val="00D33E61"/>
    <w:rsid w:val="00D33ED1"/>
    <w:rsid w:val="00D33F77"/>
    <w:rsid w:val="00D33FA8"/>
    <w:rsid w:val="00D34240"/>
    <w:rsid w:val="00D34363"/>
    <w:rsid w:val="00D3451A"/>
    <w:rsid w:val="00D345C1"/>
    <w:rsid w:val="00D3461B"/>
    <w:rsid w:val="00D347D9"/>
    <w:rsid w:val="00D34805"/>
    <w:rsid w:val="00D3486A"/>
    <w:rsid w:val="00D34A4B"/>
    <w:rsid w:val="00D34B46"/>
    <w:rsid w:val="00D34CBB"/>
    <w:rsid w:val="00D34F0C"/>
    <w:rsid w:val="00D34F78"/>
    <w:rsid w:val="00D34FA4"/>
    <w:rsid w:val="00D35009"/>
    <w:rsid w:val="00D3513A"/>
    <w:rsid w:val="00D3519D"/>
    <w:rsid w:val="00D351B8"/>
    <w:rsid w:val="00D35222"/>
    <w:rsid w:val="00D35286"/>
    <w:rsid w:val="00D352B7"/>
    <w:rsid w:val="00D35302"/>
    <w:rsid w:val="00D353F2"/>
    <w:rsid w:val="00D3542A"/>
    <w:rsid w:val="00D3549C"/>
    <w:rsid w:val="00D35A1E"/>
    <w:rsid w:val="00D35B22"/>
    <w:rsid w:val="00D35DA9"/>
    <w:rsid w:val="00D35EE9"/>
    <w:rsid w:val="00D35F99"/>
    <w:rsid w:val="00D3602D"/>
    <w:rsid w:val="00D3603D"/>
    <w:rsid w:val="00D36067"/>
    <w:rsid w:val="00D36073"/>
    <w:rsid w:val="00D3607C"/>
    <w:rsid w:val="00D361DD"/>
    <w:rsid w:val="00D3624D"/>
    <w:rsid w:val="00D364F1"/>
    <w:rsid w:val="00D365A3"/>
    <w:rsid w:val="00D365B0"/>
    <w:rsid w:val="00D36C36"/>
    <w:rsid w:val="00D36CF7"/>
    <w:rsid w:val="00D36DEE"/>
    <w:rsid w:val="00D36EB7"/>
    <w:rsid w:val="00D36F1D"/>
    <w:rsid w:val="00D3714E"/>
    <w:rsid w:val="00D37584"/>
    <w:rsid w:val="00D376DF"/>
    <w:rsid w:val="00D37765"/>
    <w:rsid w:val="00D377E9"/>
    <w:rsid w:val="00D37832"/>
    <w:rsid w:val="00D3791F"/>
    <w:rsid w:val="00D379BE"/>
    <w:rsid w:val="00D37A96"/>
    <w:rsid w:val="00D37A9E"/>
    <w:rsid w:val="00D37C04"/>
    <w:rsid w:val="00D37C8D"/>
    <w:rsid w:val="00D37D0F"/>
    <w:rsid w:val="00D37DCF"/>
    <w:rsid w:val="00D37E05"/>
    <w:rsid w:val="00D37E22"/>
    <w:rsid w:val="00D400DC"/>
    <w:rsid w:val="00D40292"/>
    <w:rsid w:val="00D402F2"/>
    <w:rsid w:val="00D4034E"/>
    <w:rsid w:val="00D4037C"/>
    <w:rsid w:val="00D404BE"/>
    <w:rsid w:val="00D404D1"/>
    <w:rsid w:val="00D40545"/>
    <w:rsid w:val="00D405EE"/>
    <w:rsid w:val="00D4079A"/>
    <w:rsid w:val="00D4084F"/>
    <w:rsid w:val="00D40C0E"/>
    <w:rsid w:val="00D40D96"/>
    <w:rsid w:val="00D40EDB"/>
    <w:rsid w:val="00D41083"/>
    <w:rsid w:val="00D41360"/>
    <w:rsid w:val="00D413C8"/>
    <w:rsid w:val="00D4155F"/>
    <w:rsid w:val="00D415D6"/>
    <w:rsid w:val="00D415F3"/>
    <w:rsid w:val="00D417FD"/>
    <w:rsid w:val="00D4190E"/>
    <w:rsid w:val="00D41AF0"/>
    <w:rsid w:val="00D41BB7"/>
    <w:rsid w:val="00D41C95"/>
    <w:rsid w:val="00D41F5E"/>
    <w:rsid w:val="00D41FC1"/>
    <w:rsid w:val="00D42155"/>
    <w:rsid w:val="00D4215B"/>
    <w:rsid w:val="00D42244"/>
    <w:rsid w:val="00D42426"/>
    <w:rsid w:val="00D424F3"/>
    <w:rsid w:val="00D42702"/>
    <w:rsid w:val="00D429A5"/>
    <w:rsid w:val="00D429EE"/>
    <w:rsid w:val="00D42B93"/>
    <w:rsid w:val="00D42CA3"/>
    <w:rsid w:val="00D42D55"/>
    <w:rsid w:val="00D42D5C"/>
    <w:rsid w:val="00D42E88"/>
    <w:rsid w:val="00D42F72"/>
    <w:rsid w:val="00D4300C"/>
    <w:rsid w:val="00D4313D"/>
    <w:rsid w:val="00D433A0"/>
    <w:rsid w:val="00D433C5"/>
    <w:rsid w:val="00D433D3"/>
    <w:rsid w:val="00D43410"/>
    <w:rsid w:val="00D43542"/>
    <w:rsid w:val="00D43550"/>
    <w:rsid w:val="00D43557"/>
    <w:rsid w:val="00D438D5"/>
    <w:rsid w:val="00D43AF3"/>
    <w:rsid w:val="00D43D65"/>
    <w:rsid w:val="00D43DA3"/>
    <w:rsid w:val="00D43F63"/>
    <w:rsid w:val="00D44167"/>
    <w:rsid w:val="00D44396"/>
    <w:rsid w:val="00D4442D"/>
    <w:rsid w:val="00D44486"/>
    <w:rsid w:val="00D44502"/>
    <w:rsid w:val="00D445D1"/>
    <w:rsid w:val="00D4462F"/>
    <w:rsid w:val="00D447B3"/>
    <w:rsid w:val="00D448F6"/>
    <w:rsid w:val="00D44999"/>
    <w:rsid w:val="00D44AD0"/>
    <w:rsid w:val="00D44B04"/>
    <w:rsid w:val="00D44C53"/>
    <w:rsid w:val="00D44CB8"/>
    <w:rsid w:val="00D44CEA"/>
    <w:rsid w:val="00D44D47"/>
    <w:rsid w:val="00D44ED2"/>
    <w:rsid w:val="00D44F00"/>
    <w:rsid w:val="00D44F70"/>
    <w:rsid w:val="00D45011"/>
    <w:rsid w:val="00D4504C"/>
    <w:rsid w:val="00D4513E"/>
    <w:rsid w:val="00D451AC"/>
    <w:rsid w:val="00D452C3"/>
    <w:rsid w:val="00D453A0"/>
    <w:rsid w:val="00D454DE"/>
    <w:rsid w:val="00D454EB"/>
    <w:rsid w:val="00D45581"/>
    <w:rsid w:val="00D455DB"/>
    <w:rsid w:val="00D455F0"/>
    <w:rsid w:val="00D45943"/>
    <w:rsid w:val="00D45C4F"/>
    <w:rsid w:val="00D45D27"/>
    <w:rsid w:val="00D46022"/>
    <w:rsid w:val="00D46085"/>
    <w:rsid w:val="00D460A2"/>
    <w:rsid w:val="00D460D3"/>
    <w:rsid w:val="00D46178"/>
    <w:rsid w:val="00D46284"/>
    <w:rsid w:val="00D462A8"/>
    <w:rsid w:val="00D4648E"/>
    <w:rsid w:val="00D466A8"/>
    <w:rsid w:val="00D466B4"/>
    <w:rsid w:val="00D467C9"/>
    <w:rsid w:val="00D46800"/>
    <w:rsid w:val="00D46825"/>
    <w:rsid w:val="00D4685E"/>
    <w:rsid w:val="00D468A4"/>
    <w:rsid w:val="00D46A6A"/>
    <w:rsid w:val="00D46E53"/>
    <w:rsid w:val="00D46E95"/>
    <w:rsid w:val="00D46F8E"/>
    <w:rsid w:val="00D46FCF"/>
    <w:rsid w:val="00D46FFF"/>
    <w:rsid w:val="00D47015"/>
    <w:rsid w:val="00D4701A"/>
    <w:rsid w:val="00D474D2"/>
    <w:rsid w:val="00D474E6"/>
    <w:rsid w:val="00D4752B"/>
    <w:rsid w:val="00D4755D"/>
    <w:rsid w:val="00D47A36"/>
    <w:rsid w:val="00D47A3B"/>
    <w:rsid w:val="00D47C74"/>
    <w:rsid w:val="00D47D19"/>
    <w:rsid w:val="00D47E2B"/>
    <w:rsid w:val="00D47F24"/>
    <w:rsid w:val="00D50029"/>
    <w:rsid w:val="00D5006F"/>
    <w:rsid w:val="00D50233"/>
    <w:rsid w:val="00D5067C"/>
    <w:rsid w:val="00D507CD"/>
    <w:rsid w:val="00D50A69"/>
    <w:rsid w:val="00D50C96"/>
    <w:rsid w:val="00D50DD1"/>
    <w:rsid w:val="00D50E6A"/>
    <w:rsid w:val="00D50F98"/>
    <w:rsid w:val="00D5153F"/>
    <w:rsid w:val="00D51890"/>
    <w:rsid w:val="00D518D6"/>
    <w:rsid w:val="00D518E0"/>
    <w:rsid w:val="00D51B57"/>
    <w:rsid w:val="00D51C5E"/>
    <w:rsid w:val="00D51EFA"/>
    <w:rsid w:val="00D51FA7"/>
    <w:rsid w:val="00D52148"/>
    <w:rsid w:val="00D521B7"/>
    <w:rsid w:val="00D5227A"/>
    <w:rsid w:val="00D52586"/>
    <w:rsid w:val="00D525E1"/>
    <w:rsid w:val="00D52672"/>
    <w:rsid w:val="00D526A6"/>
    <w:rsid w:val="00D52787"/>
    <w:rsid w:val="00D5282C"/>
    <w:rsid w:val="00D52954"/>
    <w:rsid w:val="00D52A83"/>
    <w:rsid w:val="00D52ACE"/>
    <w:rsid w:val="00D52AD6"/>
    <w:rsid w:val="00D52B93"/>
    <w:rsid w:val="00D52CA2"/>
    <w:rsid w:val="00D52D68"/>
    <w:rsid w:val="00D52D9F"/>
    <w:rsid w:val="00D52F02"/>
    <w:rsid w:val="00D53127"/>
    <w:rsid w:val="00D5326C"/>
    <w:rsid w:val="00D534DB"/>
    <w:rsid w:val="00D538C7"/>
    <w:rsid w:val="00D53903"/>
    <w:rsid w:val="00D539A0"/>
    <w:rsid w:val="00D53BC5"/>
    <w:rsid w:val="00D53C4F"/>
    <w:rsid w:val="00D53C76"/>
    <w:rsid w:val="00D53DD4"/>
    <w:rsid w:val="00D53E73"/>
    <w:rsid w:val="00D53E7F"/>
    <w:rsid w:val="00D53F91"/>
    <w:rsid w:val="00D53FB4"/>
    <w:rsid w:val="00D540BB"/>
    <w:rsid w:val="00D540E3"/>
    <w:rsid w:val="00D540F5"/>
    <w:rsid w:val="00D5414D"/>
    <w:rsid w:val="00D541AE"/>
    <w:rsid w:val="00D54219"/>
    <w:rsid w:val="00D54374"/>
    <w:rsid w:val="00D5442F"/>
    <w:rsid w:val="00D54475"/>
    <w:rsid w:val="00D54517"/>
    <w:rsid w:val="00D545F8"/>
    <w:rsid w:val="00D547F5"/>
    <w:rsid w:val="00D54B7D"/>
    <w:rsid w:val="00D54BCD"/>
    <w:rsid w:val="00D54BE8"/>
    <w:rsid w:val="00D54C4A"/>
    <w:rsid w:val="00D54CC0"/>
    <w:rsid w:val="00D54D56"/>
    <w:rsid w:val="00D54DCE"/>
    <w:rsid w:val="00D54DD4"/>
    <w:rsid w:val="00D54ECD"/>
    <w:rsid w:val="00D55156"/>
    <w:rsid w:val="00D5532A"/>
    <w:rsid w:val="00D55332"/>
    <w:rsid w:val="00D55388"/>
    <w:rsid w:val="00D5546C"/>
    <w:rsid w:val="00D554B2"/>
    <w:rsid w:val="00D555BD"/>
    <w:rsid w:val="00D5569E"/>
    <w:rsid w:val="00D55726"/>
    <w:rsid w:val="00D55925"/>
    <w:rsid w:val="00D5595B"/>
    <w:rsid w:val="00D55969"/>
    <w:rsid w:val="00D5597D"/>
    <w:rsid w:val="00D55C8E"/>
    <w:rsid w:val="00D55D65"/>
    <w:rsid w:val="00D55E54"/>
    <w:rsid w:val="00D55F75"/>
    <w:rsid w:val="00D5604F"/>
    <w:rsid w:val="00D56423"/>
    <w:rsid w:val="00D56719"/>
    <w:rsid w:val="00D567D1"/>
    <w:rsid w:val="00D569B4"/>
    <w:rsid w:val="00D569E8"/>
    <w:rsid w:val="00D56A5B"/>
    <w:rsid w:val="00D56A5E"/>
    <w:rsid w:val="00D56B6B"/>
    <w:rsid w:val="00D56B7B"/>
    <w:rsid w:val="00D56C2D"/>
    <w:rsid w:val="00D56C8F"/>
    <w:rsid w:val="00D56D34"/>
    <w:rsid w:val="00D56D8D"/>
    <w:rsid w:val="00D56DF1"/>
    <w:rsid w:val="00D56E6B"/>
    <w:rsid w:val="00D57045"/>
    <w:rsid w:val="00D570E5"/>
    <w:rsid w:val="00D571D0"/>
    <w:rsid w:val="00D572CB"/>
    <w:rsid w:val="00D575D3"/>
    <w:rsid w:val="00D577EE"/>
    <w:rsid w:val="00D57C14"/>
    <w:rsid w:val="00D57C3F"/>
    <w:rsid w:val="00D57C75"/>
    <w:rsid w:val="00D57C9B"/>
    <w:rsid w:val="00D57E05"/>
    <w:rsid w:val="00D57E8E"/>
    <w:rsid w:val="00D6010B"/>
    <w:rsid w:val="00D605E8"/>
    <w:rsid w:val="00D60968"/>
    <w:rsid w:val="00D609AD"/>
    <w:rsid w:val="00D609CE"/>
    <w:rsid w:val="00D60C0C"/>
    <w:rsid w:val="00D60D2A"/>
    <w:rsid w:val="00D61027"/>
    <w:rsid w:val="00D611A0"/>
    <w:rsid w:val="00D611F6"/>
    <w:rsid w:val="00D6125E"/>
    <w:rsid w:val="00D612F7"/>
    <w:rsid w:val="00D61320"/>
    <w:rsid w:val="00D613DE"/>
    <w:rsid w:val="00D61485"/>
    <w:rsid w:val="00D614FF"/>
    <w:rsid w:val="00D61569"/>
    <w:rsid w:val="00D615FE"/>
    <w:rsid w:val="00D6178E"/>
    <w:rsid w:val="00D61860"/>
    <w:rsid w:val="00D61996"/>
    <w:rsid w:val="00D61B80"/>
    <w:rsid w:val="00D61E47"/>
    <w:rsid w:val="00D61FE6"/>
    <w:rsid w:val="00D6207C"/>
    <w:rsid w:val="00D62117"/>
    <w:rsid w:val="00D621EF"/>
    <w:rsid w:val="00D6224E"/>
    <w:rsid w:val="00D6227F"/>
    <w:rsid w:val="00D625E0"/>
    <w:rsid w:val="00D62640"/>
    <w:rsid w:val="00D626BE"/>
    <w:rsid w:val="00D628AB"/>
    <w:rsid w:val="00D628CC"/>
    <w:rsid w:val="00D629BB"/>
    <w:rsid w:val="00D62A03"/>
    <w:rsid w:val="00D62D52"/>
    <w:rsid w:val="00D62D80"/>
    <w:rsid w:val="00D62F9C"/>
    <w:rsid w:val="00D63102"/>
    <w:rsid w:val="00D6338F"/>
    <w:rsid w:val="00D633B7"/>
    <w:rsid w:val="00D63783"/>
    <w:rsid w:val="00D637E0"/>
    <w:rsid w:val="00D6396A"/>
    <w:rsid w:val="00D6397C"/>
    <w:rsid w:val="00D63A57"/>
    <w:rsid w:val="00D63D24"/>
    <w:rsid w:val="00D6408B"/>
    <w:rsid w:val="00D640FF"/>
    <w:rsid w:val="00D641BC"/>
    <w:rsid w:val="00D64211"/>
    <w:rsid w:val="00D642B5"/>
    <w:rsid w:val="00D64387"/>
    <w:rsid w:val="00D64391"/>
    <w:rsid w:val="00D6445F"/>
    <w:rsid w:val="00D645E5"/>
    <w:rsid w:val="00D64796"/>
    <w:rsid w:val="00D647FE"/>
    <w:rsid w:val="00D64A4A"/>
    <w:rsid w:val="00D64AD0"/>
    <w:rsid w:val="00D64C10"/>
    <w:rsid w:val="00D64CD1"/>
    <w:rsid w:val="00D64E1A"/>
    <w:rsid w:val="00D64E4A"/>
    <w:rsid w:val="00D64F24"/>
    <w:rsid w:val="00D64F5F"/>
    <w:rsid w:val="00D65023"/>
    <w:rsid w:val="00D652DF"/>
    <w:rsid w:val="00D65539"/>
    <w:rsid w:val="00D65734"/>
    <w:rsid w:val="00D65ACE"/>
    <w:rsid w:val="00D65EFC"/>
    <w:rsid w:val="00D65FA2"/>
    <w:rsid w:val="00D66058"/>
    <w:rsid w:val="00D66221"/>
    <w:rsid w:val="00D6625F"/>
    <w:rsid w:val="00D66285"/>
    <w:rsid w:val="00D66363"/>
    <w:rsid w:val="00D665F7"/>
    <w:rsid w:val="00D66664"/>
    <w:rsid w:val="00D6678A"/>
    <w:rsid w:val="00D668AA"/>
    <w:rsid w:val="00D66A62"/>
    <w:rsid w:val="00D66B4A"/>
    <w:rsid w:val="00D66C3C"/>
    <w:rsid w:val="00D66CC4"/>
    <w:rsid w:val="00D6714B"/>
    <w:rsid w:val="00D671C9"/>
    <w:rsid w:val="00D67314"/>
    <w:rsid w:val="00D6738B"/>
    <w:rsid w:val="00D67431"/>
    <w:rsid w:val="00D6754D"/>
    <w:rsid w:val="00D675C0"/>
    <w:rsid w:val="00D67684"/>
    <w:rsid w:val="00D677AB"/>
    <w:rsid w:val="00D67896"/>
    <w:rsid w:val="00D67A1F"/>
    <w:rsid w:val="00D67A4A"/>
    <w:rsid w:val="00D67A5F"/>
    <w:rsid w:val="00D67B66"/>
    <w:rsid w:val="00D67B77"/>
    <w:rsid w:val="00D67CF9"/>
    <w:rsid w:val="00D67E77"/>
    <w:rsid w:val="00D67EC4"/>
    <w:rsid w:val="00D67FEB"/>
    <w:rsid w:val="00D70017"/>
    <w:rsid w:val="00D700DA"/>
    <w:rsid w:val="00D7074A"/>
    <w:rsid w:val="00D70750"/>
    <w:rsid w:val="00D70768"/>
    <w:rsid w:val="00D70876"/>
    <w:rsid w:val="00D708B8"/>
    <w:rsid w:val="00D7092E"/>
    <w:rsid w:val="00D70C90"/>
    <w:rsid w:val="00D70CC4"/>
    <w:rsid w:val="00D70EEB"/>
    <w:rsid w:val="00D71510"/>
    <w:rsid w:val="00D715DD"/>
    <w:rsid w:val="00D715F6"/>
    <w:rsid w:val="00D71660"/>
    <w:rsid w:val="00D71A87"/>
    <w:rsid w:val="00D71BDD"/>
    <w:rsid w:val="00D71FF7"/>
    <w:rsid w:val="00D72180"/>
    <w:rsid w:val="00D7218C"/>
    <w:rsid w:val="00D72217"/>
    <w:rsid w:val="00D72236"/>
    <w:rsid w:val="00D7236A"/>
    <w:rsid w:val="00D725F1"/>
    <w:rsid w:val="00D72641"/>
    <w:rsid w:val="00D726A7"/>
    <w:rsid w:val="00D72706"/>
    <w:rsid w:val="00D72A2E"/>
    <w:rsid w:val="00D72AFC"/>
    <w:rsid w:val="00D72B13"/>
    <w:rsid w:val="00D72CB0"/>
    <w:rsid w:val="00D730CA"/>
    <w:rsid w:val="00D7317B"/>
    <w:rsid w:val="00D737C5"/>
    <w:rsid w:val="00D73878"/>
    <w:rsid w:val="00D73A33"/>
    <w:rsid w:val="00D73B1B"/>
    <w:rsid w:val="00D73F2B"/>
    <w:rsid w:val="00D7417D"/>
    <w:rsid w:val="00D741CB"/>
    <w:rsid w:val="00D74328"/>
    <w:rsid w:val="00D744BE"/>
    <w:rsid w:val="00D74659"/>
    <w:rsid w:val="00D746CF"/>
    <w:rsid w:val="00D746D2"/>
    <w:rsid w:val="00D746DE"/>
    <w:rsid w:val="00D746F4"/>
    <w:rsid w:val="00D74762"/>
    <w:rsid w:val="00D7487E"/>
    <w:rsid w:val="00D74888"/>
    <w:rsid w:val="00D7489E"/>
    <w:rsid w:val="00D748BD"/>
    <w:rsid w:val="00D74940"/>
    <w:rsid w:val="00D74ABC"/>
    <w:rsid w:val="00D74ADE"/>
    <w:rsid w:val="00D74C1B"/>
    <w:rsid w:val="00D74D6B"/>
    <w:rsid w:val="00D74E21"/>
    <w:rsid w:val="00D75016"/>
    <w:rsid w:val="00D750D8"/>
    <w:rsid w:val="00D750DC"/>
    <w:rsid w:val="00D750F5"/>
    <w:rsid w:val="00D751E8"/>
    <w:rsid w:val="00D75256"/>
    <w:rsid w:val="00D7527F"/>
    <w:rsid w:val="00D75333"/>
    <w:rsid w:val="00D7563A"/>
    <w:rsid w:val="00D7566A"/>
    <w:rsid w:val="00D757F1"/>
    <w:rsid w:val="00D758E8"/>
    <w:rsid w:val="00D75973"/>
    <w:rsid w:val="00D75B70"/>
    <w:rsid w:val="00D75B77"/>
    <w:rsid w:val="00D75BB0"/>
    <w:rsid w:val="00D75E8D"/>
    <w:rsid w:val="00D76088"/>
    <w:rsid w:val="00D760E9"/>
    <w:rsid w:val="00D7627F"/>
    <w:rsid w:val="00D763F4"/>
    <w:rsid w:val="00D766F5"/>
    <w:rsid w:val="00D76872"/>
    <w:rsid w:val="00D768A0"/>
    <w:rsid w:val="00D769FE"/>
    <w:rsid w:val="00D76DB3"/>
    <w:rsid w:val="00D76F53"/>
    <w:rsid w:val="00D76F82"/>
    <w:rsid w:val="00D76FD0"/>
    <w:rsid w:val="00D77109"/>
    <w:rsid w:val="00D7717D"/>
    <w:rsid w:val="00D773E7"/>
    <w:rsid w:val="00D7758F"/>
    <w:rsid w:val="00D77592"/>
    <w:rsid w:val="00D776FD"/>
    <w:rsid w:val="00D77813"/>
    <w:rsid w:val="00D77A97"/>
    <w:rsid w:val="00D77CD7"/>
    <w:rsid w:val="00D77CE9"/>
    <w:rsid w:val="00D77E61"/>
    <w:rsid w:val="00D8026F"/>
    <w:rsid w:val="00D802C1"/>
    <w:rsid w:val="00D8035C"/>
    <w:rsid w:val="00D80400"/>
    <w:rsid w:val="00D8040E"/>
    <w:rsid w:val="00D804F8"/>
    <w:rsid w:val="00D80579"/>
    <w:rsid w:val="00D805A5"/>
    <w:rsid w:val="00D80683"/>
    <w:rsid w:val="00D80927"/>
    <w:rsid w:val="00D80C0A"/>
    <w:rsid w:val="00D80D28"/>
    <w:rsid w:val="00D80F17"/>
    <w:rsid w:val="00D81011"/>
    <w:rsid w:val="00D8116A"/>
    <w:rsid w:val="00D81189"/>
    <w:rsid w:val="00D815A5"/>
    <w:rsid w:val="00D81682"/>
    <w:rsid w:val="00D8168A"/>
    <w:rsid w:val="00D817F5"/>
    <w:rsid w:val="00D8193E"/>
    <w:rsid w:val="00D81C41"/>
    <w:rsid w:val="00D81C7A"/>
    <w:rsid w:val="00D81CD9"/>
    <w:rsid w:val="00D81E4C"/>
    <w:rsid w:val="00D82034"/>
    <w:rsid w:val="00D8210C"/>
    <w:rsid w:val="00D8210E"/>
    <w:rsid w:val="00D82312"/>
    <w:rsid w:val="00D8233A"/>
    <w:rsid w:val="00D826E4"/>
    <w:rsid w:val="00D82735"/>
    <w:rsid w:val="00D8280F"/>
    <w:rsid w:val="00D82ECD"/>
    <w:rsid w:val="00D8329A"/>
    <w:rsid w:val="00D832DB"/>
    <w:rsid w:val="00D833EE"/>
    <w:rsid w:val="00D8359D"/>
    <w:rsid w:val="00D836F9"/>
    <w:rsid w:val="00D8374B"/>
    <w:rsid w:val="00D8380F"/>
    <w:rsid w:val="00D83B5B"/>
    <w:rsid w:val="00D83B8B"/>
    <w:rsid w:val="00D83B9C"/>
    <w:rsid w:val="00D83BFC"/>
    <w:rsid w:val="00D83C7E"/>
    <w:rsid w:val="00D83D62"/>
    <w:rsid w:val="00D83D99"/>
    <w:rsid w:val="00D83E22"/>
    <w:rsid w:val="00D83E51"/>
    <w:rsid w:val="00D83F33"/>
    <w:rsid w:val="00D83F66"/>
    <w:rsid w:val="00D840EE"/>
    <w:rsid w:val="00D842B9"/>
    <w:rsid w:val="00D843E4"/>
    <w:rsid w:val="00D8444F"/>
    <w:rsid w:val="00D846BC"/>
    <w:rsid w:val="00D8474F"/>
    <w:rsid w:val="00D8498F"/>
    <w:rsid w:val="00D84ADD"/>
    <w:rsid w:val="00D84B29"/>
    <w:rsid w:val="00D84CA3"/>
    <w:rsid w:val="00D84EC2"/>
    <w:rsid w:val="00D84EC8"/>
    <w:rsid w:val="00D853C0"/>
    <w:rsid w:val="00D85501"/>
    <w:rsid w:val="00D8551E"/>
    <w:rsid w:val="00D85809"/>
    <w:rsid w:val="00D859CA"/>
    <w:rsid w:val="00D85A37"/>
    <w:rsid w:val="00D85B17"/>
    <w:rsid w:val="00D85C19"/>
    <w:rsid w:val="00D85E53"/>
    <w:rsid w:val="00D85F2D"/>
    <w:rsid w:val="00D85F76"/>
    <w:rsid w:val="00D85FCA"/>
    <w:rsid w:val="00D85FE4"/>
    <w:rsid w:val="00D860DA"/>
    <w:rsid w:val="00D861B6"/>
    <w:rsid w:val="00D86201"/>
    <w:rsid w:val="00D86291"/>
    <w:rsid w:val="00D863C2"/>
    <w:rsid w:val="00D86419"/>
    <w:rsid w:val="00D86573"/>
    <w:rsid w:val="00D86652"/>
    <w:rsid w:val="00D86662"/>
    <w:rsid w:val="00D86676"/>
    <w:rsid w:val="00D866EF"/>
    <w:rsid w:val="00D86781"/>
    <w:rsid w:val="00D86788"/>
    <w:rsid w:val="00D86A28"/>
    <w:rsid w:val="00D86DAF"/>
    <w:rsid w:val="00D86E42"/>
    <w:rsid w:val="00D86E68"/>
    <w:rsid w:val="00D86E8E"/>
    <w:rsid w:val="00D86EB4"/>
    <w:rsid w:val="00D87077"/>
    <w:rsid w:val="00D871FB"/>
    <w:rsid w:val="00D8725B"/>
    <w:rsid w:val="00D8728B"/>
    <w:rsid w:val="00D87737"/>
    <w:rsid w:val="00D87BB4"/>
    <w:rsid w:val="00D87E67"/>
    <w:rsid w:val="00D87ED7"/>
    <w:rsid w:val="00D87F47"/>
    <w:rsid w:val="00D87F72"/>
    <w:rsid w:val="00D9028E"/>
    <w:rsid w:val="00D9032C"/>
    <w:rsid w:val="00D903D2"/>
    <w:rsid w:val="00D90794"/>
    <w:rsid w:val="00D90850"/>
    <w:rsid w:val="00D9093F"/>
    <w:rsid w:val="00D90A03"/>
    <w:rsid w:val="00D90A71"/>
    <w:rsid w:val="00D90C1F"/>
    <w:rsid w:val="00D90CF7"/>
    <w:rsid w:val="00D90D11"/>
    <w:rsid w:val="00D90D65"/>
    <w:rsid w:val="00D90F18"/>
    <w:rsid w:val="00D90FFA"/>
    <w:rsid w:val="00D910BB"/>
    <w:rsid w:val="00D911C8"/>
    <w:rsid w:val="00D9135D"/>
    <w:rsid w:val="00D91480"/>
    <w:rsid w:val="00D916A9"/>
    <w:rsid w:val="00D9178A"/>
    <w:rsid w:val="00D9195F"/>
    <w:rsid w:val="00D9196C"/>
    <w:rsid w:val="00D91B59"/>
    <w:rsid w:val="00D91DF8"/>
    <w:rsid w:val="00D91E8B"/>
    <w:rsid w:val="00D91FCD"/>
    <w:rsid w:val="00D92193"/>
    <w:rsid w:val="00D9230B"/>
    <w:rsid w:val="00D924D4"/>
    <w:rsid w:val="00D9259B"/>
    <w:rsid w:val="00D9270A"/>
    <w:rsid w:val="00D9281A"/>
    <w:rsid w:val="00D92C47"/>
    <w:rsid w:val="00D92C4C"/>
    <w:rsid w:val="00D92F13"/>
    <w:rsid w:val="00D930EB"/>
    <w:rsid w:val="00D93187"/>
    <w:rsid w:val="00D931D5"/>
    <w:rsid w:val="00D9330D"/>
    <w:rsid w:val="00D933B5"/>
    <w:rsid w:val="00D934ED"/>
    <w:rsid w:val="00D93547"/>
    <w:rsid w:val="00D93594"/>
    <w:rsid w:val="00D937BB"/>
    <w:rsid w:val="00D937D6"/>
    <w:rsid w:val="00D9392E"/>
    <w:rsid w:val="00D93BBF"/>
    <w:rsid w:val="00D93CAF"/>
    <w:rsid w:val="00D93CCA"/>
    <w:rsid w:val="00D94024"/>
    <w:rsid w:val="00D943C8"/>
    <w:rsid w:val="00D9449D"/>
    <w:rsid w:val="00D9453E"/>
    <w:rsid w:val="00D94590"/>
    <w:rsid w:val="00D94596"/>
    <w:rsid w:val="00D945CF"/>
    <w:rsid w:val="00D94886"/>
    <w:rsid w:val="00D94A46"/>
    <w:rsid w:val="00D94AEF"/>
    <w:rsid w:val="00D94EA9"/>
    <w:rsid w:val="00D94F10"/>
    <w:rsid w:val="00D94FA8"/>
    <w:rsid w:val="00D94FB1"/>
    <w:rsid w:val="00D94FB2"/>
    <w:rsid w:val="00D950CF"/>
    <w:rsid w:val="00D95247"/>
    <w:rsid w:val="00D955F0"/>
    <w:rsid w:val="00D9598F"/>
    <w:rsid w:val="00D95B09"/>
    <w:rsid w:val="00D95D7A"/>
    <w:rsid w:val="00D95D89"/>
    <w:rsid w:val="00D95D8F"/>
    <w:rsid w:val="00D95DF2"/>
    <w:rsid w:val="00D95F03"/>
    <w:rsid w:val="00D9608D"/>
    <w:rsid w:val="00D960B6"/>
    <w:rsid w:val="00D961DA"/>
    <w:rsid w:val="00D96263"/>
    <w:rsid w:val="00D96389"/>
    <w:rsid w:val="00D96535"/>
    <w:rsid w:val="00D9656D"/>
    <w:rsid w:val="00D965D9"/>
    <w:rsid w:val="00D965EF"/>
    <w:rsid w:val="00D96617"/>
    <w:rsid w:val="00D96ABE"/>
    <w:rsid w:val="00D96B05"/>
    <w:rsid w:val="00D96F12"/>
    <w:rsid w:val="00D97650"/>
    <w:rsid w:val="00D97680"/>
    <w:rsid w:val="00D976C1"/>
    <w:rsid w:val="00D97747"/>
    <w:rsid w:val="00D97886"/>
    <w:rsid w:val="00D97980"/>
    <w:rsid w:val="00D9798F"/>
    <w:rsid w:val="00D979C2"/>
    <w:rsid w:val="00D97C78"/>
    <w:rsid w:val="00D97CE0"/>
    <w:rsid w:val="00D97D4A"/>
    <w:rsid w:val="00D97DCF"/>
    <w:rsid w:val="00D97DE4"/>
    <w:rsid w:val="00D97F83"/>
    <w:rsid w:val="00DA011E"/>
    <w:rsid w:val="00DA012E"/>
    <w:rsid w:val="00DA020F"/>
    <w:rsid w:val="00DA02B7"/>
    <w:rsid w:val="00DA036B"/>
    <w:rsid w:val="00DA04CB"/>
    <w:rsid w:val="00DA072C"/>
    <w:rsid w:val="00DA0734"/>
    <w:rsid w:val="00DA0A1D"/>
    <w:rsid w:val="00DA0B0F"/>
    <w:rsid w:val="00DA0B38"/>
    <w:rsid w:val="00DA0BF1"/>
    <w:rsid w:val="00DA0C30"/>
    <w:rsid w:val="00DA0C82"/>
    <w:rsid w:val="00DA0CB3"/>
    <w:rsid w:val="00DA0D04"/>
    <w:rsid w:val="00DA0D75"/>
    <w:rsid w:val="00DA0EA4"/>
    <w:rsid w:val="00DA0FBA"/>
    <w:rsid w:val="00DA11F8"/>
    <w:rsid w:val="00DA1368"/>
    <w:rsid w:val="00DA1602"/>
    <w:rsid w:val="00DA1738"/>
    <w:rsid w:val="00DA192D"/>
    <w:rsid w:val="00DA1974"/>
    <w:rsid w:val="00DA1B9E"/>
    <w:rsid w:val="00DA1D4C"/>
    <w:rsid w:val="00DA1E02"/>
    <w:rsid w:val="00DA1E47"/>
    <w:rsid w:val="00DA1F9C"/>
    <w:rsid w:val="00DA205B"/>
    <w:rsid w:val="00DA20BE"/>
    <w:rsid w:val="00DA239D"/>
    <w:rsid w:val="00DA24B9"/>
    <w:rsid w:val="00DA2580"/>
    <w:rsid w:val="00DA25B2"/>
    <w:rsid w:val="00DA270C"/>
    <w:rsid w:val="00DA273B"/>
    <w:rsid w:val="00DA2A87"/>
    <w:rsid w:val="00DA2B76"/>
    <w:rsid w:val="00DA2D1F"/>
    <w:rsid w:val="00DA2DFC"/>
    <w:rsid w:val="00DA2EA3"/>
    <w:rsid w:val="00DA30B9"/>
    <w:rsid w:val="00DA30EC"/>
    <w:rsid w:val="00DA31A7"/>
    <w:rsid w:val="00DA3298"/>
    <w:rsid w:val="00DA3324"/>
    <w:rsid w:val="00DA3466"/>
    <w:rsid w:val="00DA349D"/>
    <w:rsid w:val="00DA35DB"/>
    <w:rsid w:val="00DA3649"/>
    <w:rsid w:val="00DA36C4"/>
    <w:rsid w:val="00DA3803"/>
    <w:rsid w:val="00DA381B"/>
    <w:rsid w:val="00DA3952"/>
    <w:rsid w:val="00DA3A37"/>
    <w:rsid w:val="00DA402A"/>
    <w:rsid w:val="00DA4030"/>
    <w:rsid w:val="00DA4195"/>
    <w:rsid w:val="00DA45E6"/>
    <w:rsid w:val="00DA4633"/>
    <w:rsid w:val="00DA480A"/>
    <w:rsid w:val="00DA4B9C"/>
    <w:rsid w:val="00DA4C50"/>
    <w:rsid w:val="00DA4D70"/>
    <w:rsid w:val="00DA4D93"/>
    <w:rsid w:val="00DA4DE5"/>
    <w:rsid w:val="00DA4E55"/>
    <w:rsid w:val="00DA4E83"/>
    <w:rsid w:val="00DA4F69"/>
    <w:rsid w:val="00DA4FF7"/>
    <w:rsid w:val="00DA529A"/>
    <w:rsid w:val="00DA53BF"/>
    <w:rsid w:val="00DA5497"/>
    <w:rsid w:val="00DA549E"/>
    <w:rsid w:val="00DA55D5"/>
    <w:rsid w:val="00DA5695"/>
    <w:rsid w:val="00DA5743"/>
    <w:rsid w:val="00DA5785"/>
    <w:rsid w:val="00DA57EA"/>
    <w:rsid w:val="00DA57FE"/>
    <w:rsid w:val="00DA5AEE"/>
    <w:rsid w:val="00DA5B1C"/>
    <w:rsid w:val="00DA5B49"/>
    <w:rsid w:val="00DA5D31"/>
    <w:rsid w:val="00DA5DDD"/>
    <w:rsid w:val="00DA5E34"/>
    <w:rsid w:val="00DA6214"/>
    <w:rsid w:val="00DA623F"/>
    <w:rsid w:val="00DA63E5"/>
    <w:rsid w:val="00DA63F2"/>
    <w:rsid w:val="00DA6430"/>
    <w:rsid w:val="00DA6634"/>
    <w:rsid w:val="00DA6647"/>
    <w:rsid w:val="00DA6846"/>
    <w:rsid w:val="00DA68D5"/>
    <w:rsid w:val="00DA68F5"/>
    <w:rsid w:val="00DA694B"/>
    <w:rsid w:val="00DA6AF6"/>
    <w:rsid w:val="00DA6C45"/>
    <w:rsid w:val="00DA6CD3"/>
    <w:rsid w:val="00DA6D04"/>
    <w:rsid w:val="00DA6D2A"/>
    <w:rsid w:val="00DA6D81"/>
    <w:rsid w:val="00DA6E8C"/>
    <w:rsid w:val="00DA6FBB"/>
    <w:rsid w:val="00DA6FCC"/>
    <w:rsid w:val="00DA7091"/>
    <w:rsid w:val="00DA7097"/>
    <w:rsid w:val="00DA711C"/>
    <w:rsid w:val="00DA7338"/>
    <w:rsid w:val="00DA73C6"/>
    <w:rsid w:val="00DA73EE"/>
    <w:rsid w:val="00DA75E4"/>
    <w:rsid w:val="00DA792A"/>
    <w:rsid w:val="00DB0069"/>
    <w:rsid w:val="00DB007C"/>
    <w:rsid w:val="00DB00F9"/>
    <w:rsid w:val="00DB0164"/>
    <w:rsid w:val="00DB04F0"/>
    <w:rsid w:val="00DB0539"/>
    <w:rsid w:val="00DB0554"/>
    <w:rsid w:val="00DB0567"/>
    <w:rsid w:val="00DB0B49"/>
    <w:rsid w:val="00DB0D9A"/>
    <w:rsid w:val="00DB0DDB"/>
    <w:rsid w:val="00DB0E7D"/>
    <w:rsid w:val="00DB0E8C"/>
    <w:rsid w:val="00DB1100"/>
    <w:rsid w:val="00DB111F"/>
    <w:rsid w:val="00DB1477"/>
    <w:rsid w:val="00DB1661"/>
    <w:rsid w:val="00DB16A0"/>
    <w:rsid w:val="00DB16DF"/>
    <w:rsid w:val="00DB1700"/>
    <w:rsid w:val="00DB172C"/>
    <w:rsid w:val="00DB1798"/>
    <w:rsid w:val="00DB1A0F"/>
    <w:rsid w:val="00DB1BD1"/>
    <w:rsid w:val="00DB1DFC"/>
    <w:rsid w:val="00DB1E12"/>
    <w:rsid w:val="00DB206E"/>
    <w:rsid w:val="00DB20F4"/>
    <w:rsid w:val="00DB239C"/>
    <w:rsid w:val="00DB27BD"/>
    <w:rsid w:val="00DB291B"/>
    <w:rsid w:val="00DB299B"/>
    <w:rsid w:val="00DB2A53"/>
    <w:rsid w:val="00DB2B40"/>
    <w:rsid w:val="00DB2C64"/>
    <w:rsid w:val="00DB2E3D"/>
    <w:rsid w:val="00DB2FED"/>
    <w:rsid w:val="00DB3306"/>
    <w:rsid w:val="00DB3336"/>
    <w:rsid w:val="00DB3340"/>
    <w:rsid w:val="00DB34BE"/>
    <w:rsid w:val="00DB3607"/>
    <w:rsid w:val="00DB373F"/>
    <w:rsid w:val="00DB3BB6"/>
    <w:rsid w:val="00DB4172"/>
    <w:rsid w:val="00DB4195"/>
    <w:rsid w:val="00DB42D5"/>
    <w:rsid w:val="00DB4939"/>
    <w:rsid w:val="00DB4C60"/>
    <w:rsid w:val="00DB4C7A"/>
    <w:rsid w:val="00DB4D10"/>
    <w:rsid w:val="00DB4D13"/>
    <w:rsid w:val="00DB4E0C"/>
    <w:rsid w:val="00DB4E9E"/>
    <w:rsid w:val="00DB50DC"/>
    <w:rsid w:val="00DB51EE"/>
    <w:rsid w:val="00DB52A6"/>
    <w:rsid w:val="00DB53EA"/>
    <w:rsid w:val="00DB54ED"/>
    <w:rsid w:val="00DB55BF"/>
    <w:rsid w:val="00DB5655"/>
    <w:rsid w:val="00DB57C3"/>
    <w:rsid w:val="00DB5830"/>
    <w:rsid w:val="00DB58AC"/>
    <w:rsid w:val="00DB5AEE"/>
    <w:rsid w:val="00DB5B23"/>
    <w:rsid w:val="00DB5C1B"/>
    <w:rsid w:val="00DB5D9B"/>
    <w:rsid w:val="00DB5E86"/>
    <w:rsid w:val="00DB5E8F"/>
    <w:rsid w:val="00DB5EAC"/>
    <w:rsid w:val="00DB625A"/>
    <w:rsid w:val="00DB6343"/>
    <w:rsid w:val="00DB6376"/>
    <w:rsid w:val="00DB63E1"/>
    <w:rsid w:val="00DB6567"/>
    <w:rsid w:val="00DB670D"/>
    <w:rsid w:val="00DB67EC"/>
    <w:rsid w:val="00DB6893"/>
    <w:rsid w:val="00DB6B89"/>
    <w:rsid w:val="00DB6EE9"/>
    <w:rsid w:val="00DB6EEB"/>
    <w:rsid w:val="00DB7008"/>
    <w:rsid w:val="00DB7054"/>
    <w:rsid w:val="00DB7191"/>
    <w:rsid w:val="00DB71D7"/>
    <w:rsid w:val="00DB7326"/>
    <w:rsid w:val="00DB73E2"/>
    <w:rsid w:val="00DB7575"/>
    <w:rsid w:val="00DB7695"/>
    <w:rsid w:val="00DB781D"/>
    <w:rsid w:val="00DB79D2"/>
    <w:rsid w:val="00DB7A65"/>
    <w:rsid w:val="00DB7B29"/>
    <w:rsid w:val="00DB7BB1"/>
    <w:rsid w:val="00DB7BF2"/>
    <w:rsid w:val="00DB7D51"/>
    <w:rsid w:val="00DB7F09"/>
    <w:rsid w:val="00DB7FE2"/>
    <w:rsid w:val="00DC0371"/>
    <w:rsid w:val="00DC08E7"/>
    <w:rsid w:val="00DC09B5"/>
    <w:rsid w:val="00DC0A4E"/>
    <w:rsid w:val="00DC0AAA"/>
    <w:rsid w:val="00DC0B62"/>
    <w:rsid w:val="00DC0C82"/>
    <w:rsid w:val="00DC0CF8"/>
    <w:rsid w:val="00DC0EF0"/>
    <w:rsid w:val="00DC0F36"/>
    <w:rsid w:val="00DC0F6C"/>
    <w:rsid w:val="00DC0F7F"/>
    <w:rsid w:val="00DC0FFD"/>
    <w:rsid w:val="00DC11BD"/>
    <w:rsid w:val="00DC12E9"/>
    <w:rsid w:val="00DC12FB"/>
    <w:rsid w:val="00DC163A"/>
    <w:rsid w:val="00DC1800"/>
    <w:rsid w:val="00DC184C"/>
    <w:rsid w:val="00DC1A28"/>
    <w:rsid w:val="00DC1AFE"/>
    <w:rsid w:val="00DC1DCB"/>
    <w:rsid w:val="00DC1F1E"/>
    <w:rsid w:val="00DC20A1"/>
    <w:rsid w:val="00DC2316"/>
    <w:rsid w:val="00DC278A"/>
    <w:rsid w:val="00DC2AD2"/>
    <w:rsid w:val="00DC2B5E"/>
    <w:rsid w:val="00DC2C5A"/>
    <w:rsid w:val="00DC2CB5"/>
    <w:rsid w:val="00DC2EAE"/>
    <w:rsid w:val="00DC2F79"/>
    <w:rsid w:val="00DC300D"/>
    <w:rsid w:val="00DC300E"/>
    <w:rsid w:val="00DC30B2"/>
    <w:rsid w:val="00DC3192"/>
    <w:rsid w:val="00DC3249"/>
    <w:rsid w:val="00DC338B"/>
    <w:rsid w:val="00DC33A4"/>
    <w:rsid w:val="00DC3492"/>
    <w:rsid w:val="00DC34B5"/>
    <w:rsid w:val="00DC3657"/>
    <w:rsid w:val="00DC383E"/>
    <w:rsid w:val="00DC38F5"/>
    <w:rsid w:val="00DC390D"/>
    <w:rsid w:val="00DC392E"/>
    <w:rsid w:val="00DC3990"/>
    <w:rsid w:val="00DC3A9A"/>
    <w:rsid w:val="00DC3AAA"/>
    <w:rsid w:val="00DC3B63"/>
    <w:rsid w:val="00DC3C92"/>
    <w:rsid w:val="00DC42CC"/>
    <w:rsid w:val="00DC42DE"/>
    <w:rsid w:val="00DC43BC"/>
    <w:rsid w:val="00DC4614"/>
    <w:rsid w:val="00DC474C"/>
    <w:rsid w:val="00DC489D"/>
    <w:rsid w:val="00DC48B1"/>
    <w:rsid w:val="00DC4AC2"/>
    <w:rsid w:val="00DC4C18"/>
    <w:rsid w:val="00DC4C20"/>
    <w:rsid w:val="00DC51F7"/>
    <w:rsid w:val="00DC5247"/>
    <w:rsid w:val="00DC527F"/>
    <w:rsid w:val="00DC52C8"/>
    <w:rsid w:val="00DC5503"/>
    <w:rsid w:val="00DC558C"/>
    <w:rsid w:val="00DC58B5"/>
    <w:rsid w:val="00DC58C4"/>
    <w:rsid w:val="00DC5980"/>
    <w:rsid w:val="00DC5AB7"/>
    <w:rsid w:val="00DC5BF9"/>
    <w:rsid w:val="00DC5E7C"/>
    <w:rsid w:val="00DC5EA0"/>
    <w:rsid w:val="00DC6114"/>
    <w:rsid w:val="00DC6216"/>
    <w:rsid w:val="00DC6466"/>
    <w:rsid w:val="00DC64E3"/>
    <w:rsid w:val="00DC681D"/>
    <w:rsid w:val="00DC683B"/>
    <w:rsid w:val="00DC6F4A"/>
    <w:rsid w:val="00DC7035"/>
    <w:rsid w:val="00DC71E3"/>
    <w:rsid w:val="00DC74E9"/>
    <w:rsid w:val="00DC75C3"/>
    <w:rsid w:val="00DC78BB"/>
    <w:rsid w:val="00DC7974"/>
    <w:rsid w:val="00DC7A5C"/>
    <w:rsid w:val="00DC7E4F"/>
    <w:rsid w:val="00DC7EE5"/>
    <w:rsid w:val="00DD00DF"/>
    <w:rsid w:val="00DD0138"/>
    <w:rsid w:val="00DD01B4"/>
    <w:rsid w:val="00DD04B7"/>
    <w:rsid w:val="00DD04D6"/>
    <w:rsid w:val="00DD0542"/>
    <w:rsid w:val="00DD0593"/>
    <w:rsid w:val="00DD0785"/>
    <w:rsid w:val="00DD07A9"/>
    <w:rsid w:val="00DD09F3"/>
    <w:rsid w:val="00DD0A86"/>
    <w:rsid w:val="00DD0C0E"/>
    <w:rsid w:val="00DD0C5E"/>
    <w:rsid w:val="00DD0D27"/>
    <w:rsid w:val="00DD0E66"/>
    <w:rsid w:val="00DD0E87"/>
    <w:rsid w:val="00DD12A8"/>
    <w:rsid w:val="00DD12A9"/>
    <w:rsid w:val="00DD1508"/>
    <w:rsid w:val="00DD155E"/>
    <w:rsid w:val="00DD1565"/>
    <w:rsid w:val="00DD1605"/>
    <w:rsid w:val="00DD16C5"/>
    <w:rsid w:val="00DD1926"/>
    <w:rsid w:val="00DD192F"/>
    <w:rsid w:val="00DD1CDC"/>
    <w:rsid w:val="00DD1E9A"/>
    <w:rsid w:val="00DD1FD6"/>
    <w:rsid w:val="00DD205A"/>
    <w:rsid w:val="00DD215E"/>
    <w:rsid w:val="00DD242D"/>
    <w:rsid w:val="00DD2A4D"/>
    <w:rsid w:val="00DD2A6D"/>
    <w:rsid w:val="00DD2AEB"/>
    <w:rsid w:val="00DD2AF3"/>
    <w:rsid w:val="00DD2D61"/>
    <w:rsid w:val="00DD2D9D"/>
    <w:rsid w:val="00DD2E20"/>
    <w:rsid w:val="00DD31A0"/>
    <w:rsid w:val="00DD3343"/>
    <w:rsid w:val="00DD337C"/>
    <w:rsid w:val="00DD3381"/>
    <w:rsid w:val="00DD3537"/>
    <w:rsid w:val="00DD35B4"/>
    <w:rsid w:val="00DD35C0"/>
    <w:rsid w:val="00DD3801"/>
    <w:rsid w:val="00DD3807"/>
    <w:rsid w:val="00DD38AE"/>
    <w:rsid w:val="00DD3B46"/>
    <w:rsid w:val="00DD3B96"/>
    <w:rsid w:val="00DD3BB1"/>
    <w:rsid w:val="00DD3CBD"/>
    <w:rsid w:val="00DD3ECC"/>
    <w:rsid w:val="00DD412A"/>
    <w:rsid w:val="00DD4166"/>
    <w:rsid w:val="00DD41E0"/>
    <w:rsid w:val="00DD4288"/>
    <w:rsid w:val="00DD4408"/>
    <w:rsid w:val="00DD45D0"/>
    <w:rsid w:val="00DD45EC"/>
    <w:rsid w:val="00DD4634"/>
    <w:rsid w:val="00DD465C"/>
    <w:rsid w:val="00DD4795"/>
    <w:rsid w:val="00DD4A52"/>
    <w:rsid w:val="00DD4C1F"/>
    <w:rsid w:val="00DD4D6B"/>
    <w:rsid w:val="00DD4D85"/>
    <w:rsid w:val="00DD4E17"/>
    <w:rsid w:val="00DD4E54"/>
    <w:rsid w:val="00DD5416"/>
    <w:rsid w:val="00DD5A13"/>
    <w:rsid w:val="00DD5B2E"/>
    <w:rsid w:val="00DD5C0A"/>
    <w:rsid w:val="00DD5CC7"/>
    <w:rsid w:val="00DD5D92"/>
    <w:rsid w:val="00DD5DF8"/>
    <w:rsid w:val="00DD62C4"/>
    <w:rsid w:val="00DD63B1"/>
    <w:rsid w:val="00DD63C1"/>
    <w:rsid w:val="00DD6476"/>
    <w:rsid w:val="00DD6510"/>
    <w:rsid w:val="00DD6513"/>
    <w:rsid w:val="00DD6595"/>
    <w:rsid w:val="00DD65B0"/>
    <w:rsid w:val="00DD6670"/>
    <w:rsid w:val="00DD6917"/>
    <w:rsid w:val="00DD6953"/>
    <w:rsid w:val="00DD6A11"/>
    <w:rsid w:val="00DD6C69"/>
    <w:rsid w:val="00DD715A"/>
    <w:rsid w:val="00DD7440"/>
    <w:rsid w:val="00DD7783"/>
    <w:rsid w:val="00DD77C0"/>
    <w:rsid w:val="00DD7B47"/>
    <w:rsid w:val="00DD7BE9"/>
    <w:rsid w:val="00DD7CD6"/>
    <w:rsid w:val="00DD7D36"/>
    <w:rsid w:val="00DD7DE1"/>
    <w:rsid w:val="00DD7E1C"/>
    <w:rsid w:val="00DD7E49"/>
    <w:rsid w:val="00DD7FD5"/>
    <w:rsid w:val="00DE0028"/>
    <w:rsid w:val="00DE052D"/>
    <w:rsid w:val="00DE064C"/>
    <w:rsid w:val="00DE088B"/>
    <w:rsid w:val="00DE0A1F"/>
    <w:rsid w:val="00DE0A87"/>
    <w:rsid w:val="00DE0ACC"/>
    <w:rsid w:val="00DE0DF8"/>
    <w:rsid w:val="00DE0E4D"/>
    <w:rsid w:val="00DE0EAD"/>
    <w:rsid w:val="00DE1184"/>
    <w:rsid w:val="00DE1326"/>
    <w:rsid w:val="00DE158D"/>
    <w:rsid w:val="00DE1594"/>
    <w:rsid w:val="00DE159F"/>
    <w:rsid w:val="00DE1720"/>
    <w:rsid w:val="00DE19F1"/>
    <w:rsid w:val="00DE1A7F"/>
    <w:rsid w:val="00DE1B27"/>
    <w:rsid w:val="00DE1BAC"/>
    <w:rsid w:val="00DE1CBC"/>
    <w:rsid w:val="00DE1CF5"/>
    <w:rsid w:val="00DE1D12"/>
    <w:rsid w:val="00DE1E16"/>
    <w:rsid w:val="00DE1E56"/>
    <w:rsid w:val="00DE1FD7"/>
    <w:rsid w:val="00DE2075"/>
    <w:rsid w:val="00DE2106"/>
    <w:rsid w:val="00DE2164"/>
    <w:rsid w:val="00DE22AA"/>
    <w:rsid w:val="00DE22C4"/>
    <w:rsid w:val="00DE2737"/>
    <w:rsid w:val="00DE2777"/>
    <w:rsid w:val="00DE27DD"/>
    <w:rsid w:val="00DE2959"/>
    <w:rsid w:val="00DE2986"/>
    <w:rsid w:val="00DE29E6"/>
    <w:rsid w:val="00DE2A9D"/>
    <w:rsid w:val="00DE2C6F"/>
    <w:rsid w:val="00DE2CE0"/>
    <w:rsid w:val="00DE2DB3"/>
    <w:rsid w:val="00DE2DF7"/>
    <w:rsid w:val="00DE2E68"/>
    <w:rsid w:val="00DE310A"/>
    <w:rsid w:val="00DE329D"/>
    <w:rsid w:val="00DE32CC"/>
    <w:rsid w:val="00DE32F3"/>
    <w:rsid w:val="00DE3436"/>
    <w:rsid w:val="00DE3517"/>
    <w:rsid w:val="00DE3519"/>
    <w:rsid w:val="00DE37DB"/>
    <w:rsid w:val="00DE3889"/>
    <w:rsid w:val="00DE3C54"/>
    <w:rsid w:val="00DE3DEE"/>
    <w:rsid w:val="00DE4016"/>
    <w:rsid w:val="00DE4064"/>
    <w:rsid w:val="00DE4155"/>
    <w:rsid w:val="00DE434D"/>
    <w:rsid w:val="00DE4390"/>
    <w:rsid w:val="00DE455B"/>
    <w:rsid w:val="00DE4751"/>
    <w:rsid w:val="00DE47C7"/>
    <w:rsid w:val="00DE4817"/>
    <w:rsid w:val="00DE4A1E"/>
    <w:rsid w:val="00DE4AA8"/>
    <w:rsid w:val="00DE4C7D"/>
    <w:rsid w:val="00DE4DD0"/>
    <w:rsid w:val="00DE4F6E"/>
    <w:rsid w:val="00DE4F95"/>
    <w:rsid w:val="00DE5224"/>
    <w:rsid w:val="00DE527D"/>
    <w:rsid w:val="00DE5289"/>
    <w:rsid w:val="00DE5319"/>
    <w:rsid w:val="00DE5328"/>
    <w:rsid w:val="00DE53A6"/>
    <w:rsid w:val="00DE5433"/>
    <w:rsid w:val="00DE55F4"/>
    <w:rsid w:val="00DE5625"/>
    <w:rsid w:val="00DE56F7"/>
    <w:rsid w:val="00DE57AB"/>
    <w:rsid w:val="00DE58D0"/>
    <w:rsid w:val="00DE5A55"/>
    <w:rsid w:val="00DE5CC1"/>
    <w:rsid w:val="00DE5CF4"/>
    <w:rsid w:val="00DE5E6C"/>
    <w:rsid w:val="00DE6052"/>
    <w:rsid w:val="00DE606E"/>
    <w:rsid w:val="00DE61DE"/>
    <w:rsid w:val="00DE625E"/>
    <w:rsid w:val="00DE63AF"/>
    <w:rsid w:val="00DE6497"/>
    <w:rsid w:val="00DE650B"/>
    <w:rsid w:val="00DE673A"/>
    <w:rsid w:val="00DE68E2"/>
    <w:rsid w:val="00DE6931"/>
    <w:rsid w:val="00DE6CC4"/>
    <w:rsid w:val="00DE6D83"/>
    <w:rsid w:val="00DE6DBB"/>
    <w:rsid w:val="00DE6FB7"/>
    <w:rsid w:val="00DE700B"/>
    <w:rsid w:val="00DE7039"/>
    <w:rsid w:val="00DE704F"/>
    <w:rsid w:val="00DE7059"/>
    <w:rsid w:val="00DE7214"/>
    <w:rsid w:val="00DE7319"/>
    <w:rsid w:val="00DE7375"/>
    <w:rsid w:val="00DE73A5"/>
    <w:rsid w:val="00DE7403"/>
    <w:rsid w:val="00DE745A"/>
    <w:rsid w:val="00DE748A"/>
    <w:rsid w:val="00DE755A"/>
    <w:rsid w:val="00DE7606"/>
    <w:rsid w:val="00DE7644"/>
    <w:rsid w:val="00DE766C"/>
    <w:rsid w:val="00DE797B"/>
    <w:rsid w:val="00DE7A1D"/>
    <w:rsid w:val="00DE7B3E"/>
    <w:rsid w:val="00DE7B6D"/>
    <w:rsid w:val="00DE7C75"/>
    <w:rsid w:val="00DE7CDD"/>
    <w:rsid w:val="00DE7D70"/>
    <w:rsid w:val="00DF022C"/>
    <w:rsid w:val="00DF044B"/>
    <w:rsid w:val="00DF049F"/>
    <w:rsid w:val="00DF064E"/>
    <w:rsid w:val="00DF0679"/>
    <w:rsid w:val="00DF0685"/>
    <w:rsid w:val="00DF0852"/>
    <w:rsid w:val="00DF0ACE"/>
    <w:rsid w:val="00DF0B5D"/>
    <w:rsid w:val="00DF0D1E"/>
    <w:rsid w:val="00DF0D46"/>
    <w:rsid w:val="00DF0E6B"/>
    <w:rsid w:val="00DF0F45"/>
    <w:rsid w:val="00DF0FAF"/>
    <w:rsid w:val="00DF10AC"/>
    <w:rsid w:val="00DF12CC"/>
    <w:rsid w:val="00DF135B"/>
    <w:rsid w:val="00DF142B"/>
    <w:rsid w:val="00DF143C"/>
    <w:rsid w:val="00DF153B"/>
    <w:rsid w:val="00DF15C2"/>
    <w:rsid w:val="00DF166C"/>
    <w:rsid w:val="00DF1712"/>
    <w:rsid w:val="00DF1732"/>
    <w:rsid w:val="00DF1941"/>
    <w:rsid w:val="00DF1A0F"/>
    <w:rsid w:val="00DF1B4E"/>
    <w:rsid w:val="00DF1EC4"/>
    <w:rsid w:val="00DF1F1D"/>
    <w:rsid w:val="00DF1F2C"/>
    <w:rsid w:val="00DF1FEA"/>
    <w:rsid w:val="00DF2231"/>
    <w:rsid w:val="00DF22A8"/>
    <w:rsid w:val="00DF22BC"/>
    <w:rsid w:val="00DF24BA"/>
    <w:rsid w:val="00DF276E"/>
    <w:rsid w:val="00DF27B7"/>
    <w:rsid w:val="00DF290C"/>
    <w:rsid w:val="00DF2938"/>
    <w:rsid w:val="00DF29CE"/>
    <w:rsid w:val="00DF2BE6"/>
    <w:rsid w:val="00DF2D3F"/>
    <w:rsid w:val="00DF2E07"/>
    <w:rsid w:val="00DF2E18"/>
    <w:rsid w:val="00DF2E7F"/>
    <w:rsid w:val="00DF2F36"/>
    <w:rsid w:val="00DF3004"/>
    <w:rsid w:val="00DF314B"/>
    <w:rsid w:val="00DF31BA"/>
    <w:rsid w:val="00DF3263"/>
    <w:rsid w:val="00DF32AF"/>
    <w:rsid w:val="00DF33B0"/>
    <w:rsid w:val="00DF33CA"/>
    <w:rsid w:val="00DF343D"/>
    <w:rsid w:val="00DF3460"/>
    <w:rsid w:val="00DF3592"/>
    <w:rsid w:val="00DF37BC"/>
    <w:rsid w:val="00DF395E"/>
    <w:rsid w:val="00DF3C6D"/>
    <w:rsid w:val="00DF3CF2"/>
    <w:rsid w:val="00DF3D72"/>
    <w:rsid w:val="00DF3DD6"/>
    <w:rsid w:val="00DF3E13"/>
    <w:rsid w:val="00DF3E72"/>
    <w:rsid w:val="00DF3E7C"/>
    <w:rsid w:val="00DF3F39"/>
    <w:rsid w:val="00DF42AA"/>
    <w:rsid w:val="00DF42E5"/>
    <w:rsid w:val="00DF439B"/>
    <w:rsid w:val="00DF44F0"/>
    <w:rsid w:val="00DF4500"/>
    <w:rsid w:val="00DF454E"/>
    <w:rsid w:val="00DF45F7"/>
    <w:rsid w:val="00DF482F"/>
    <w:rsid w:val="00DF48EA"/>
    <w:rsid w:val="00DF4AE4"/>
    <w:rsid w:val="00DF4C7F"/>
    <w:rsid w:val="00DF4CBC"/>
    <w:rsid w:val="00DF4D55"/>
    <w:rsid w:val="00DF4D69"/>
    <w:rsid w:val="00DF4EB9"/>
    <w:rsid w:val="00DF4ED8"/>
    <w:rsid w:val="00DF5283"/>
    <w:rsid w:val="00DF534D"/>
    <w:rsid w:val="00DF547E"/>
    <w:rsid w:val="00DF55E9"/>
    <w:rsid w:val="00DF56BE"/>
    <w:rsid w:val="00DF5B48"/>
    <w:rsid w:val="00DF5B8D"/>
    <w:rsid w:val="00DF5C4E"/>
    <w:rsid w:val="00DF5CD5"/>
    <w:rsid w:val="00DF5D06"/>
    <w:rsid w:val="00DF5E78"/>
    <w:rsid w:val="00DF5F24"/>
    <w:rsid w:val="00DF6000"/>
    <w:rsid w:val="00DF607E"/>
    <w:rsid w:val="00DF626B"/>
    <w:rsid w:val="00DF64BE"/>
    <w:rsid w:val="00DF65FE"/>
    <w:rsid w:val="00DF66C0"/>
    <w:rsid w:val="00DF6809"/>
    <w:rsid w:val="00DF68E1"/>
    <w:rsid w:val="00DF68F7"/>
    <w:rsid w:val="00DF698B"/>
    <w:rsid w:val="00DF6AB4"/>
    <w:rsid w:val="00DF6BB4"/>
    <w:rsid w:val="00DF6E56"/>
    <w:rsid w:val="00DF7333"/>
    <w:rsid w:val="00DF73BC"/>
    <w:rsid w:val="00DF73D2"/>
    <w:rsid w:val="00DF73FC"/>
    <w:rsid w:val="00DF741F"/>
    <w:rsid w:val="00DF7445"/>
    <w:rsid w:val="00DF7494"/>
    <w:rsid w:val="00DF74C9"/>
    <w:rsid w:val="00DF75A7"/>
    <w:rsid w:val="00DF7663"/>
    <w:rsid w:val="00DF784B"/>
    <w:rsid w:val="00DF79C6"/>
    <w:rsid w:val="00DF79E8"/>
    <w:rsid w:val="00DF7A31"/>
    <w:rsid w:val="00DF7C2E"/>
    <w:rsid w:val="00DF7C8F"/>
    <w:rsid w:val="00DF7F37"/>
    <w:rsid w:val="00DF7FC3"/>
    <w:rsid w:val="00E0001C"/>
    <w:rsid w:val="00E00117"/>
    <w:rsid w:val="00E0016C"/>
    <w:rsid w:val="00E00245"/>
    <w:rsid w:val="00E0033D"/>
    <w:rsid w:val="00E004AE"/>
    <w:rsid w:val="00E004C6"/>
    <w:rsid w:val="00E00664"/>
    <w:rsid w:val="00E00718"/>
    <w:rsid w:val="00E007F9"/>
    <w:rsid w:val="00E008ED"/>
    <w:rsid w:val="00E00968"/>
    <w:rsid w:val="00E009FC"/>
    <w:rsid w:val="00E00B3F"/>
    <w:rsid w:val="00E00B5C"/>
    <w:rsid w:val="00E00DDE"/>
    <w:rsid w:val="00E00DF2"/>
    <w:rsid w:val="00E00EE9"/>
    <w:rsid w:val="00E00F17"/>
    <w:rsid w:val="00E00FBE"/>
    <w:rsid w:val="00E0127C"/>
    <w:rsid w:val="00E013D1"/>
    <w:rsid w:val="00E013D9"/>
    <w:rsid w:val="00E01511"/>
    <w:rsid w:val="00E01B61"/>
    <w:rsid w:val="00E01DF7"/>
    <w:rsid w:val="00E021E9"/>
    <w:rsid w:val="00E02286"/>
    <w:rsid w:val="00E023A7"/>
    <w:rsid w:val="00E027C3"/>
    <w:rsid w:val="00E027D5"/>
    <w:rsid w:val="00E0289B"/>
    <w:rsid w:val="00E02BA2"/>
    <w:rsid w:val="00E02BC1"/>
    <w:rsid w:val="00E02CB0"/>
    <w:rsid w:val="00E02D4E"/>
    <w:rsid w:val="00E02EE3"/>
    <w:rsid w:val="00E03023"/>
    <w:rsid w:val="00E0304E"/>
    <w:rsid w:val="00E0305C"/>
    <w:rsid w:val="00E0308D"/>
    <w:rsid w:val="00E030EC"/>
    <w:rsid w:val="00E03102"/>
    <w:rsid w:val="00E03195"/>
    <w:rsid w:val="00E031A3"/>
    <w:rsid w:val="00E0342B"/>
    <w:rsid w:val="00E037AD"/>
    <w:rsid w:val="00E038F5"/>
    <w:rsid w:val="00E039B5"/>
    <w:rsid w:val="00E039C5"/>
    <w:rsid w:val="00E039EF"/>
    <w:rsid w:val="00E03AA2"/>
    <w:rsid w:val="00E03C57"/>
    <w:rsid w:val="00E03D0B"/>
    <w:rsid w:val="00E03E68"/>
    <w:rsid w:val="00E03E86"/>
    <w:rsid w:val="00E03E92"/>
    <w:rsid w:val="00E03F51"/>
    <w:rsid w:val="00E04170"/>
    <w:rsid w:val="00E04279"/>
    <w:rsid w:val="00E042C6"/>
    <w:rsid w:val="00E0435E"/>
    <w:rsid w:val="00E0440A"/>
    <w:rsid w:val="00E0451A"/>
    <w:rsid w:val="00E04759"/>
    <w:rsid w:val="00E047D1"/>
    <w:rsid w:val="00E047D5"/>
    <w:rsid w:val="00E04907"/>
    <w:rsid w:val="00E04951"/>
    <w:rsid w:val="00E04B18"/>
    <w:rsid w:val="00E04B3B"/>
    <w:rsid w:val="00E04BD0"/>
    <w:rsid w:val="00E04BFB"/>
    <w:rsid w:val="00E04EB2"/>
    <w:rsid w:val="00E04EC6"/>
    <w:rsid w:val="00E04EEF"/>
    <w:rsid w:val="00E052C7"/>
    <w:rsid w:val="00E0536F"/>
    <w:rsid w:val="00E05492"/>
    <w:rsid w:val="00E054A1"/>
    <w:rsid w:val="00E0551C"/>
    <w:rsid w:val="00E05534"/>
    <w:rsid w:val="00E05568"/>
    <w:rsid w:val="00E05586"/>
    <w:rsid w:val="00E05771"/>
    <w:rsid w:val="00E05906"/>
    <w:rsid w:val="00E05ACE"/>
    <w:rsid w:val="00E05D1F"/>
    <w:rsid w:val="00E05F61"/>
    <w:rsid w:val="00E05F91"/>
    <w:rsid w:val="00E0604B"/>
    <w:rsid w:val="00E06149"/>
    <w:rsid w:val="00E061FB"/>
    <w:rsid w:val="00E062E4"/>
    <w:rsid w:val="00E063D3"/>
    <w:rsid w:val="00E063F3"/>
    <w:rsid w:val="00E0643F"/>
    <w:rsid w:val="00E06458"/>
    <w:rsid w:val="00E0658C"/>
    <w:rsid w:val="00E06634"/>
    <w:rsid w:val="00E06718"/>
    <w:rsid w:val="00E06A2B"/>
    <w:rsid w:val="00E06A37"/>
    <w:rsid w:val="00E06B51"/>
    <w:rsid w:val="00E06C1E"/>
    <w:rsid w:val="00E06E26"/>
    <w:rsid w:val="00E06E92"/>
    <w:rsid w:val="00E06EB0"/>
    <w:rsid w:val="00E0726A"/>
    <w:rsid w:val="00E072D1"/>
    <w:rsid w:val="00E07409"/>
    <w:rsid w:val="00E07552"/>
    <w:rsid w:val="00E076B7"/>
    <w:rsid w:val="00E07875"/>
    <w:rsid w:val="00E07C68"/>
    <w:rsid w:val="00E07D5F"/>
    <w:rsid w:val="00E07DC3"/>
    <w:rsid w:val="00E07DD0"/>
    <w:rsid w:val="00E100EE"/>
    <w:rsid w:val="00E101B7"/>
    <w:rsid w:val="00E10200"/>
    <w:rsid w:val="00E1020B"/>
    <w:rsid w:val="00E10366"/>
    <w:rsid w:val="00E103D1"/>
    <w:rsid w:val="00E10444"/>
    <w:rsid w:val="00E10626"/>
    <w:rsid w:val="00E10686"/>
    <w:rsid w:val="00E106AF"/>
    <w:rsid w:val="00E106B6"/>
    <w:rsid w:val="00E1071C"/>
    <w:rsid w:val="00E107EE"/>
    <w:rsid w:val="00E1080E"/>
    <w:rsid w:val="00E1084E"/>
    <w:rsid w:val="00E108BA"/>
    <w:rsid w:val="00E10AB2"/>
    <w:rsid w:val="00E10B5B"/>
    <w:rsid w:val="00E10B79"/>
    <w:rsid w:val="00E10FF5"/>
    <w:rsid w:val="00E11012"/>
    <w:rsid w:val="00E111B4"/>
    <w:rsid w:val="00E11566"/>
    <w:rsid w:val="00E11572"/>
    <w:rsid w:val="00E115DE"/>
    <w:rsid w:val="00E116F9"/>
    <w:rsid w:val="00E11839"/>
    <w:rsid w:val="00E1197A"/>
    <w:rsid w:val="00E11A5A"/>
    <w:rsid w:val="00E11ABA"/>
    <w:rsid w:val="00E11C87"/>
    <w:rsid w:val="00E11CA8"/>
    <w:rsid w:val="00E11EA9"/>
    <w:rsid w:val="00E12049"/>
    <w:rsid w:val="00E12170"/>
    <w:rsid w:val="00E122E6"/>
    <w:rsid w:val="00E1230A"/>
    <w:rsid w:val="00E12327"/>
    <w:rsid w:val="00E126AE"/>
    <w:rsid w:val="00E1272C"/>
    <w:rsid w:val="00E1282B"/>
    <w:rsid w:val="00E128FF"/>
    <w:rsid w:val="00E12925"/>
    <w:rsid w:val="00E129AA"/>
    <w:rsid w:val="00E129FF"/>
    <w:rsid w:val="00E12A0C"/>
    <w:rsid w:val="00E12B28"/>
    <w:rsid w:val="00E12CB4"/>
    <w:rsid w:val="00E12E18"/>
    <w:rsid w:val="00E12E26"/>
    <w:rsid w:val="00E12EB6"/>
    <w:rsid w:val="00E12EED"/>
    <w:rsid w:val="00E12F47"/>
    <w:rsid w:val="00E12FB2"/>
    <w:rsid w:val="00E12FE1"/>
    <w:rsid w:val="00E13116"/>
    <w:rsid w:val="00E132CC"/>
    <w:rsid w:val="00E1336A"/>
    <w:rsid w:val="00E134BD"/>
    <w:rsid w:val="00E13519"/>
    <w:rsid w:val="00E13637"/>
    <w:rsid w:val="00E13650"/>
    <w:rsid w:val="00E136A7"/>
    <w:rsid w:val="00E1383F"/>
    <w:rsid w:val="00E13AFD"/>
    <w:rsid w:val="00E13C7B"/>
    <w:rsid w:val="00E13D23"/>
    <w:rsid w:val="00E13D58"/>
    <w:rsid w:val="00E13EA5"/>
    <w:rsid w:val="00E13EDA"/>
    <w:rsid w:val="00E13F45"/>
    <w:rsid w:val="00E14175"/>
    <w:rsid w:val="00E14357"/>
    <w:rsid w:val="00E1446B"/>
    <w:rsid w:val="00E147B8"/>
    <w:rsid w:val="00E14862"/>
    <w:rsid w:val="00E14A62"/>
    <w:rsid w:val="00E14C38"/>
    <w:rsid w:val="00E14E29"/>
    <w:rsid w:val="00E14F06"/>
    <w:rsid w:val="00E15056"/>
    <w:rsid w:val="00E150BD"/>
    <w:rsid w:val="00E1527D"/>
    <w:rsid w:val="00E15285"/>
    <w:rsid w:val="00E152AD"/>
    <w:rsid w:val="00E15405"/>
    <w:rsid w:val="00E15532"/>
    <w:rsid w:val="00E15799"/>
    <w:rsid w:val="00E159A9"/>
    <w:rsid w:val="00E15A76"/>
    <w:rsid w:val="00E15BC3"/>
    <w:rsid w:val="00E15C6D"/>
    <w:rsid w:val="00E15E6C"/>
    <w:rsid w:val="00E15F08"/>
    <w:rsid w:val="00E1607C"/>
    <w:rsid w:val="00E161DA"/>
    <w:rsid w:val="00E16262"/>
    <w:rsid w:val="00E16302"/>
    <w:rsid w:val="00E16672"/>
    <w:rsid w:val="00E167A6"/>
    <w:rsid w:val="00E16913"/>
    <w:rsid w:val="00E16AA8"/>
    <w:rsid w:val="00E16B18"/>
    <w:rsid w:val="00E16B93"/>
    <w:rsid w:val="00E16C0E"/>
    <w:rsid w:val="00E16C11"/>
    <w:rsid w:val="00E16C90"/>
    <w:rsid w:val="00E16E65"/>
    <w:rsid w:val="00E16E6D"/>
    <w:rsid w:val="00E1708E"/>
    <w:rsid w:val="00E1723A"/>
    <w:rsid w:val="00E17734"/>
    <w:rsid w:val="00E17809"/>
    <w:rsid w:val="00E178BF"/>
    <w:rsid w:val="00E179A9"/>
    <w:rsid w:val="00E17BE3"/>
    <w:rsid w:val="00E17CC4"/>
    <w:rsid w:val="00E20003"/>
    <w:rsid w:val="00E20210"/>
    <w:rsid w:val="00E202DA"/>
    <w:rsid w:val="00E204D7"/>
    <w:rsid w:val="00E20601"/>
    <w:rsid w:val="00E2067E"/>
    <w:rsid w:val="00E20693"/>
    <w:rsid w:val="00E207B9"/>
    <w:rsid w:val="00E207D4"/>
    <w:rsid w:val="00E20932"/>
    <w:rsid w:val="00E20A71"/>
    <w:rsid w:val="00E20AF4"/>
    <w:rsid w:val="00E20B3B"/>
    <w:rsid w:val="00E20BF5"/>
    <w:rsid w:val="00E20D25"/>
    <w:rsid w:val="00E211DE"/>
    <w:rsid w:val="00E212C0"/>
    <w:rsid w:val="00E21975"/>
    <w:rsid w:val="00E21BBC"/>
    <w:rsid w:val="00E21CB4"/>
    <w:rsid w:val="00E21D74"/>
    <w:rsid w:val="00E21F53"/>
    <w:rsid w:val="00E2223E"/>
    <w:rsid w:val="00E22596"/>
    <w:rsid w:val="00E2291A"/>
    <w:rsid w:val="00E22AC7"/>
    <w:rsid w:val="00E22CA3"/>
    <w:rsid w:val="00E22CE3"/>
    <w:rsid w:val="00E22DFA"/>
    <w:rsid w:val="00E22FC9"/>
    <w:rsid w:val="00E23176"/>
    <w:rsid w:val="00E23188"/>
    <w:rsid w:val="00E23223"/>
    <w:rsid w:val="00E23225"/>
    <w:rsid w:val="00E23240"/>
    <w:rsid w:val="00E233F7"/>
    <w:rsid w:val="00E2361C"/>
    <w:rsid w:val="00E236DB"/>
    <w:rsid w:val="00E23735"/>
    <w:rsid w:val="00E23800"/>
    <w:rsid w:val="00E23801"/>
    <w:rsid w:val="00E23868"/>
    <w:rsid w:val="00E23899"/>
    <w:rsid w:val="00E23AED"/>
    <w:rsid w:val="00E23B5D"/>
    <w:rsid w:val="00E23BD9"/>
    <w:rsid w:val="00E23ED4"/>
    <w:rsid w:val="00E24270"/>
    <w:rsid w:val="00E243E5"/>
    <w:rsid w:val="00E24707"/>
    <w:rsid w:val="00E2471D"/>
    <w:rsid w:val="00E24757"/>
    <w:rsid w:val="00E2475D"/>
    <w:rsid w:val="00E248E5"/>
    <w:rsid w:val="00E24956"/>
    <w:rsid w:val="00E24B4F"/>
    <w:rsid w:val="00E24BE0"/>
    <w:rsid w:val="00E24C7B"/>
    <w:rsid w:val="00E24E7D"/>
    <w:rsid w:val="00E24F16"/>
    <w:rsid w:val="00E25024"/>
    <w:rsid w:val="00E25081"/>
    <w:rsid w:val="00E251A4"/>
    <w:rsid w:val="00E2538B"/>
    <w:rsid w:val="00E253F2"/>
    <w:rsid w:val="00E2540E"/>
    <w:rsid w:val="00E25428"/>
    <w:rsid w:val="00E2554F"/>
    <w:rsid w:val="00E25790"/>
    <w:rsid w:val="00E25DA1"/>
    <w:rsid w:val="00E25E09"/>
    <w:rsid w:val="00E25F50"/>
    <w:rsid w:val="00E25F8A"/>
    <w:rsid w:val="00E25FC4"/>
    <w:rsid w:val="00E26085"/>
    <w:rsid w:val="00E26124"/>
    <w:rsid w:val="00E2616C"/>
    <w:rsid w:val="00E26659"/>
    <w:rsid w:val="00E26880"/>
    <w:rsid w:val="00E268D2"/>
    <w:rsid w:val="00E26CCE"/>
    <w:rsid w:val="00E26DA7"/>
    <w:rsid w:val="00E26DE7"/>
    <w:rsid w:val="00E26DEB"/>
    <w:rsid w:val="00E26F4A"/>
    <w:rsid w:val="00E27144"/>
    <w:rsid w:val="00E271AE"/>
    <w:rsid w:val="00E2721C"/>
    <w:rsid w:val="00E272D5"/>
    <w:rsid w:val="00E2764F"/>
    <w:rsid w:val="00E276A6"/>
    <w:rsid w:val="00E27891"/>
    <w:rsid w:val="00E278A6"/>
    <w:rsid w:val="00E278BC"/>
    <w:rsid w:val="00E27B4C"/>
    <w:rsid w:val="00E27C70"/>
    <w:rsid w:val="00E27C80"/>
    <w:rsid w:val="00E27D54"/>
    <w:rsid w:val="00E27D88"/>
    <w:rsid w:val="00E300AB"/>
    <w:rsid w:val="00E302D9"/>
    <w:rsid w:val="00E3030A"/>
    <w:rsid w:val="00E30371"/>
    <w:rsid w:val="00E3043E"/>
    <w:rsid w:val="00E3043F"/>
    <w:rsid w:val="00E30497"/>
    <w:rsid w:val="00E304C7"/>
    <w:rsid w:val="00E30604"/>
    <w:rsid w:val="00E30606"/>
    <w:rsid w:val="00E30786"/>
    <w:rsid w:val="00E308A4"/>
    <w:rsid w:val="00E3096B"/>
    <w:rsid w:val="00E309B7"/>
    <w:rsid w:val="00E309FE"/>
    <w:rsid w:val="00E30C46"/>
    <w:rsid w:val="00E30D17"/>
    <w:rsid w:val="00E30E09"/>
    <w:rsid w:val="00E31238"/>
    <w:rsid w:val="00E31683"/>
    <w:rsid w:val="00E316BF"/>
    <w:rsid w:val="00E3187A"/>
    <w:rsid w:val="00E31AF4"/>
    <w:rsid w:val="00E31B3B"/>
    <w:rsid w:val="00E31FFE"/>
    <w:rsid w:val="00E3202F"/>
    <w:rsid w:val="00E32080"/>
    <w:rsid w:val="00E32122"/>
    <w:rsid w:val="00E32136"/>
    <w:rsid w:val="00E321E0"/>
    <w:rsid w:val="00E322B5"/>
    <w:rsid w:val="00E32511"/>
    <w:rsid w:val="00E32607"/>
    <w:rsid w:val="00E3278C"/>
    <w:rsid w:val="00E327B3"/>
    <w:rsid w:val="00E327DF"/>
    <w:rsid w:val="00E32812"/>
    <w:rsid w:val="00E3299F"/>
    <w:rsid w:val="00E32CF9"/>
    <w:rsid w:val="00E32E53"/>
    <w:rsid w:val="00E32E70"/>
    <w:rsid w:val="00E32FE6"/>
    <w:rsid w:val="00E3312E"/>
    <w:rsid w:val="00E33188"/>
    <w:rsid w:val="00E331D7"/>
    <w:rsid w:val="00E332FD"/>
    <w:rsid w:val="00E334AE"/>
    <w:rsid w:val="00E337E3"/>
    <w:rsid w:val="00E33BC8"/>
    <w:rsid w:val="00E33C22"/>
    <w:rsid w:val="00E34206"/>
    <w:rsid w:val="00E34208"/>
    <w:rsid w:val="00E34239"/>
    <w:rsid w:val="00E343C0"/>
    <w:rsid w:val="00E3457D"/>
    <w:rsid w:val="00E34661"/>
    <w:rsid w:val="00E3484A"/>
    <w:rsid w:val="00E34A26"/>
    <w:rsid w:val="00E34AA7"/>
    <w:rsid w:val="00E34AFB"/>
    <w:rsid w:val="00E34B54"/>
    <w:rsid w:val="00E34C5A"/>
    <w:rsid w:val="00E34CCA"/>
    <w:rsid w:val="00E34D39"/>
    <w:rsid w:val="00E34DE4"/>
    <w:rsid w:val="00E34E27"/>
    <w:rsid w:val="00E34E6E"/>
    <w:rsid w:val="00E34F71"/>
    <w:rsid w:val="00E350C5"/>
    <w:rsid w:val="00E35201"/>
    <w:rsid w:val="00E353D0"/>
    <w:rsid w:val="00E3567D"/>
    <w:rsid w:val="00E357AE"/>
    <w:rsid w:val="00E357FC"/>
    <w:rsid w:val="00E359C2"/>
    <w:rsid w:val="00E35B5F"/>
    <w:rsid w:val="00E35B9E"/>
    <w:rsid w:val="00E364A1"/>
    <w:rsid w:val="00E364FE"/>
    <w:rsid w:val="00E36584"/>
    <w:rsid w:val="00E36677"/>
    <w:rsid w:val="00E3667E"/>
    <w:rsid w:val="00E367D4"/>
    <w:rsid w:val="00E36D0D"/>
    <w:rsid w:val="00E37045"/>
    <w:rsid w:val="00E370AA"/>
    <w:rsid w:val="00E3719A"/>
    <w:rsid w:val="00E371CA"/>
    <w:rsid w:val="00E3744D"/>
    <w:rsid w:val="00E37518"/>
    <w:rsid w:val="00E3755F"/>
    <w:rsid w:val="00E37579"/>
    <w:rsid w:val="00E37651"/>
    <w:rsid w:val="00E376B9"/>
    <w:rsid w:val="00E377E3"/>
    <w:rsid w:val="00E3793A"/>
    <w:rsid w:val="00E37B8B"/>
    <w:rsid w:val="00E37D10"/>
    <w:rsid w:val="00E37EBA"/>
    <w:rsid w:val="00E37F0A"/>
    <w:rsid w:val="00E4029A"/>
    <w:rsid w:val="00E4029F"/>
    <w:rsid w:val="00E403DF"/>
    <w:rsid w:val="00E40486"/>
    <w:rsid w:val="00E406E4"/>
    <w:rsid w:val="00E40BEA"/>
    <w:rsid w:val="00E40C64"/>
    <w:rsid w:val="00E40C6B"/>
    <w:rsid w:val="00E40D6F"/>
    <w:rsid w:val="00E40F00"/>
    <w:rsid w:val="00E40F11"/>
    <w:rsid w:val="00E41041"/>
    <w:rsid w:val="00E410C1"/>
    <w:rsid w:val="00E410E2"/>
    <w:rsid w:val="00E41106"/>
    <w:rsid w:val="00E4121F"/>
    <w:rsid w:val="00E41596"/>
    <w:rsid w:val="00E41A24"/>
    <w:rsid w:val="00E41A55"/>
    <w:rsid w:val="00E41C88"/>
    <w:rsid w:val="00E41D72"/>
    <w:rsid w:val="00E41F65"/>
    <w:rsid w:val="00E42109"/>
    <w:rsid w:val="00E42156"/>
    <w:rsid w:val="00E42282"/>
    <w:rsid w:val="00E4236C"/>
    <w:rsid w:val="00E423E2"/>
    <w:rsid w:val="00E42561"/>
    <w:rsid w:val="00E42668"/>
    <w:rsid w:val="00E4269F"/>
    <w:rsid w:val="00E42725"/>
    <w:rsid w:val="00E42740"/>
    <w:rsid w:val="00E42850"/>
    <w:rsid w:val="00E42E4F"/>
    <w:rsid w:val="00E43196"/>
    <w:rsid w:val="00E43207"/>
    <w:rsid w:val="00E43248"/>
    <w:rsid w:val="00E4341A"/>
    <w:rsid w:val="00E43433"/>
    <w:rsid w:val="00E434BD"/>
    <w:rsid w:val="00E434E7"/>
    <w:rsid w:val="00E43B3D"/>
    <w:rsid w:val="00E43D71"/>
    <w:rsid w:val="00E43F2B"/>
    <w:rsid w:val="00E43F73"/>
    <w:rsid w:val="00E442BC"/>
    <w:rsid w:val="00E44582"/>
    <w:rsid w:val="00E446D9"/>
    <w:rsid w:val="00E446EE"/>
    <w:rsid w:val="00E447D0"/>
    <w:rsid w:val="00E44957"/>
    <w:rsid w:val="00E44959"/>
    <w:rsid w:val="00E44990"/>
    <w:rsid w:val="00E449B5"/>
    <w:rsid w:val="00E44A55"/>
    <w:rsid w:val="00E44C30"/>
    <w:rsid w:val="00E44DC3"/>
    <w:rsid w:val="00E45033"/>
    <w:rsid w:val="00E450E1"/>
    <w:rsid w:val="00E45159"/>
    <w:rsid w:val="00E452CF"/>
    <w:rsid w:val="00E454D0"/>
    <w:rsid w:val="00E4561D"/>
    <w:rsid w:val="00E45747"/>
    <w:rsid w:val="00E457D6"/>
    <w:rsid w:val="00E4590E"/>
    <w:rsid w:val="00E45AE2"/>
    <w:rsid w:val="00E45AF6"/>
    <w:rsid w:val="00E45B0F"/>
    <w:rsid w:val="00E45BBC"/>
    <w:rsid w:val="00E45C97"/>
    <w:rsid w:val="00E45E1A"/>
    <w:rsid w:val="00E45E38"/>
    <w:rsid w:val="00E45E4F"/>
    <w:rsid w:val="00E45F59"/>
    <w:rsid w:val="00E461C4"/>
    <w:rsid w:val="00E4652E"/>
    <w:rsid w:val="00E46660"/>
    <w:rsid w:val="00E46684"/>
    <w:rsid w:val="00E46997"/>
    <w:rsid w:val="00E475B4"/>
    <w:rsid w:val="00E477C5"/>
    <w:rsid w:val="00E479BF"/>
    <w:rsid w:val="00E47AF0"/>
    <w:rsid w:val="00E47D43"/>
    <w:rsid w:val="00E47D68"/>
    <w:rsid w:val="00E47DA8"/>
    <w:rsid w:val="00E500A7"/>
    <w:rsid w:val="00E50124"/>
    <w:rsid w:val="00E50192"/>
    <w:rsid w:val="00E50248"/>
    <w:rsid w:val="00E5033E"/>
    <w:rsid w:val="00E503FC"/>
    <w:rsid w:val="00E50596"/>
    <w:rsid w:val="00E5062E"/>
    <w:rsid w:val="00E50763"/>
    <w:rsid w:val="00E509A1"/>
    <w:rsid w:val="00E50BA8"/>
    <w:rsid w:val="00E50F96"/>
    <w:rsid w:val="00E513DD"/>
    <w:rsid w:val="00E514DD"/>
    <w:rsid w:val="00E5175F"/>
    <w:rsid w:val="00E51772"/>
    <w:rsid w:val="00E518C1"/>
    <w:rsid w:val="00E5193D"/>
    <w:rsid w:val="00E51C74"/>
    <w:rsid w:val="00E5207E"/>
    <w:rsid w:val="00E52142"/>
    <w:rsid w:val="00E52190"/>
    <w:rsid w:val="00E5262F"/>
    <w:rsid w:val="00E526EA"/>
    <w:rsid w:val="00E5270C"/>
    <w:rsid w:val="00E5279D"/>
    <w:rsid w:val="00E52B07"/>
    <w:rsid w:val="00E52B21"/>
    <w:rsid w:val="00E52EB3"/>
    <w:rsid w:val="00E52EFB"/>
    <w:rsid w:val="00E52F0D"/>
    <w:rsid w:val="00E53037"/>
    <w:rsid w:val="00E53234"/>
    <w:rsid w:val="00E53254"/>
    <w:rsid w:val="00E532B5"/>
    <w:rsid w:val="00E533EA"/>
    <w:rsid w:val="00E536C3"/>
    <w:rsid w:val="00E5373F"/>
    <w:rsid w:val="00E538CD"/>
    <w:rsid w:val="00E5399E"/>
    <w:rsid w:val="00E53A00"/>
    <w:rsid w:val="00E53C6A"/>
    <w:rsid w:val="00E5429E"/>
    <w:rsid w:val="00E545F3"/>
    <w:rsid w:val="00E54761"/>
    <w:rsid w:val="00E547A9"/>
    <w:rsid w:val="00E54929"/>
    <w:rsid w:val="00E54AC6"/>
    <w:rsid w:val="00E54BBE"/>
    <w:rsid w:val="00E54CA7"/>
    <w:rsid w:val="00E55188"/>
    <w:rsid w:val="00E55210"/>
    <w:rsid w:val="00E55268"/>
    <w:rsid w:val="00E5533E"/>
    <w:rsid w:val="00E554A6"/>
    <w:rsid w:val="00E5563C"/>
    <w:rsid w:val="00E5569E"/>
    <w:rsid w:val="00E556D2"/>
    <w:rsid w:val="00E559D6"/>
    <w:rsid w:val="00E55B52"/>
    <w:rsid w:val="00E55CFA"/>
    <w:rsid w:val="00E55F69"/>
    <w:rsid w:val="00E55FFD"/>
    <w:rsid w:val="00E560A6"/>
    <w:rsid w:val="00E5616B"/>
    <w:rsid w:val="00E562BB"/>
    <w:rsid w:val="00E56612"/>
    <w:rsid w:val="00E5673B"/>
    <w:rsid w:val="00E567C6"/>
    <w:rsid w:val="00E56A13"/>
    <w:rsid w:val="00E56C00"/>
    <w:rsid w:val="00E56F94"/>
    <w:rsid w:val="00E57112"/>
    <w:rsid w:val="00E57525"/>
    <w:rsid w:val="00E575AE"/>
    <w:rsid w:val="00E577F5"/>
    <w:rsid w:val="00E57AB0"/>
    <w:rsid w:val="00E57B95"/>
    <w:rsid w:val="00E57C9D"/>
    <w:rsid w:val="00E57D28"/>
    <w:rsid w:val="00E600B6"/>
    <w:rsid w:val="00E600E2"/>
    <w:rsid w:val="00E6059A"/>
    <w:rsid w:val="00E60A6A"/>
    <w:rsid w:val="00E60AEE"/>
    <w:rsid w:val="00E60C66"/>
    <w:rsid w:val="00E60DF2"/>
    <w:rsid w:val="00E60EE7"/>
    <w:rsid w:val="00E60EF4"/>
    <w:rsid w:val="00E61111"/>
    <w:rsid w:val="00E612A4"/>
    <w:rsid w:val="00E6152A"/>
    <w:rsid w:val="00E616D5"/>
    <w:rsid w:val="00E61745"/>
    <w:rsid w:val="00E617F4"/>
    <w:rsid w:val="00E61B05"/>
    <w:rsid w:val="00E61B65"/>
    <w:rsid w:val="00E61C89"/>
    <w:rsid w:val="00E61EDB"/>
    <w:rsid w:val="00E61F79"/>
    <w:rsid w:val="00E62285"/>
    <w:rsid w:val="00E62512"/>
    <w:rsid w:val="00E628B5"/>
    <w:rsid w:val="00E628BD"/>
    <w:rsid w:val="00E629D0"/>
    <w:rsid w:val="00E62A01"/>
    <w:rsid w:val="00E62A0F"/>
    <w:rsid w:val="00E62B9D"/>
    <w:rsid w:val="00E62BD1"/>
    <w:rsid w:val="00E62D68"/>
    <w:rsid w:val="00E62E5B"/>
    <w:rsid w:val="00E62F10"/>
    <w:rsid w:val="00E6307A"/>
    <w:rsid w:val="00E6335E"/>
    <w:rsid w:val="00E63803"/>
    <w:rsid w:val="00E6390A"/>
    <w:rsid w:val="00E6397C"/>
    <w:rsid w:val="00E63CB0"/>
    <w:rsid w:val="00E63EBF"/>
    <w:rsid w:val="00E6411F"/>
    <w:rsid w:val="00E641B5"/>
    <w:rsid w:val="00E645A0"/>
    <w:rsid w:val="00E645D0"/>
    <w:rsid w:val="00E64B08"/>
    <w:rsid w:val="00E64B77"/>
    <w:rsid w:val="00E64C02"/>
    <w:rsid w:val="00E64C56"/>
    <w:rsid w:val="00E64CC1"/>
    <w:rsid w:val="00E64D8F"/>
    <w:rsid w:val="00E64EC0"/>
    <w:rsid w:val="00E64FC7"/>
    <w:rsid w:val="00E65142"/>
    <w:rsid w:val="00E652A0"/>
    <w:rsid w:val="00E6540C"/>
    <w:rsid w:val="00E6587C"/>
    <w:rsid w:val="00E65AEA"/>
    <w:rsid w:val="00E65B27"/>
    <w:rsid w:val="00E65C32"/>
    <w:rsid w:val="00E65F09"/>
    <w:rsid w:val="00E65F13"/>
    <w:rsid w:val="00E65F78"/>
    <w:rsid w:val="00E661FC"/>
    <w:rsid w:val="00E6621C"/>
    <w:rsid w:val="00E6645E"/>
    <w:rsid w:val="00E66606"/>
    <w:rsid w:val="00E667CB"/>
    <w:rsid w:val="00E668BC"/>
    <w:rsid w:val="00E66FF3"/>
    <w:rsid w:val="00E67076"/>
    <w:rsid w:val="00E67099"/>
    <w:rsid w:val="00E670B9"/>
    <w:rsid w:val="00E67501"/>
    <w:rsid w:val="00E67573"/>
    <w:rsid w:val="00E675F0"/>
    <w:rsid w:val="00E6772A"/>
    <w:rsid w:val="00E67CCB"/>
    <w:rsid w:val="00E67DBF"/>
    <w:rsid w:val="00E67E88"/>
    <w:rsid w:val="00E67EDA"/>
    <w:rsid w:val="00E7005E"/>
    <w:rsid w:val="00E702D7"/>
    <w:rsid w:val="00E703DD"/>
    <w:rsid w:val="00E703E2"/>
    <w:rsid w:val="00E70A10"/>
    <w:rsid w:val="00E70A38"/>
    <w:rsid w:val="00E70A5F"/>
    <w:rsid w:val="00E70BEF"/>
    <w:rsid w:val="00E70C42"/>
    <w:rsid w:val="00E70CC5"/>
    <w:rsid w:val="00E70CEB"/>
    <w:rsid w:val="00E70D68"/>
    <w:rsid w:val="00E70EA0"/>
    <w:rsid w:val="00E70EF2"/>
    <w:rsid w:val="00E7117D"/>
    <w:rsid w:val="00E713B5"/>
    <w:rsid w:val="00E714B3"/>
    <w:rsid w:val="00E71525"/>
    <w:rsid w:val="00E7161E"/>
    <w:rsid w:val="00E7162C"/>
    <w:rsid w:val="00E7173A"/>
    <w:rsid w:val="00E717DC"/>
    <w:rsid w:val="00E7189E"/>
    <w:rsid w:val="00E71AFE"/>
    <w:rsid w:val="00E71B7F"/>
    <w:rsid w:val="00E71BD5"/>
    <w:rsid w:val="00E71BEB"/>
    <w:rsid w:val="00E71CD0"/>
    <w:rsid w:val="00E71E2A"/>
    <w:rsid w:val="00E71E30"/>
    <w:rsid w:val="00E71E36"/>
    <w:rsid w:val="00E71FE7"/>
    <w:rsid w:val="00E720EC"/>
    <w:rsid w:val="00E72101"/>
    <w:rsid w:val="00E72356"/>
    <w:rsid w:val="00E7238B"/>
    <w:rsid w:val="00E723C2"/>
    <w:rsid w:val="00E72519"/>
    <w:rsid w:val="00E725D9"/>
    <w:rsid w:val="00E7263F"/>
    <w:rsid w:val="00E72953"/>
    <w:rsid w:val="00E72A33"/>
    <w:rsid w:val="00E72B99"/>
    <w:rsid w:val="00E72D4A"/>
    <w:rsid w:val="00E72D59"/>
    <w:rsid w:val="00E72DD6"/>
    <w:rsid w:val="00E72DE2"/>
    <w:rsid w:val="00E72EDE"/>
    <w:rsid w:val="00E7303B"/>
    <w:rsid w:val="00E7303E"/>
    <w:rsid w:val="00E73218"/>
    <w:rsid w:val="00E7325C"/>
    <w:rsid w:val="00E7329B"/>
    <w:rsid w:val="00E73740"/>
    <w:rsid w:val="00E73810"/>
    <w:rsid w:val="00E73889"/>
    <w:rsid w:val="00E73A15"/>
    <w:rsid w:val="00E73AA9"/>
    <w:rsid w:val="00E73C14"/>
    <w:rsid w:val="00E73C70"/>
    <w:rsid w:val="00E73CFF"/>
    <w:rsid w:val="00E73D78"/>
    <w:rsid w:val="00E73F57"/>
    <w:rsid w:val="00E74057"/>
    <w:rsid w:val="00E74146"/>
    <w:rsid w:val="00E741E2"/>
    <w:rsid w:val="00E742BD"/>
    <w:rsid w:val="00E74380"/>
    <w:rsid w:val="00E74685"/>
    <w:rsid w:val="00E7492D"/>
    <w:rsid w:val="00E749EE"/>
    <w:rsid w:val="00E74AD4"/>
    <w:rsid w:val="00E74BC5"/>
    <w:rsid w:val="00E74C86"/>
    <w:rsid w:val="00E74D29"/>
    <w:rsid w:val="00E74D39"/>
    <w:rsid w:val="00E74D58"/>
    <w:rsid w:val="00E74DC8"/>
    <w:rsid w:val="00E74FC0"/>
    <w:rsid w:val="00E7518D"/>
    <w:rsid w:val="00E75568"/>
    <w:rsid w:val="00E755E0"/>
    <w:rsid w:val="00E75845"/>
    <w:rsid w:val="00E759EB"/>
    <w:rsid w:val="00E75B0F"/>
    <w:rsid w:val="00E75B5D"/>
    <w:rsid w:val="00E75C1E"/>
    <w:rsid w:val="00E75C6E"/>
    <w:rsid w:val="00E75E8C"/>
    <w:rsid w:val="00E7613D"/>
    <w:rsid w:val="00E76173"/>
    <w:rsid w:val="00E763AD"/>
    <w:rsid w:val="00E76570"/>
    <w:rsid w:val="00E765B5"/>
    <w:rsid w:val="00E76631"/>
    <w:rsid w:val="00E76744"/>
    <w:rsid w:val="00E76808"/>
    <w:rsid w:val="00E76B49"/>
    <w:rsid w:val="00E76B73"/>
    <w:rsid w:val="00E76C6B"/>
    <w:rsid w:val="00E76CA9"/>
    <w:rsid w:val="00E76DC0"/>
    <w:rsid w:val="00E7705B"/>
    <w:rsid w:val="00E77220"/>
    <w:rsid w:val="00E773D8"/>
    <w:rsid w:val="00E7741B"/>
    <w:rsid w:val="00E77433"/>
    <w:rsid w:val="00E775B3"/>
    <w:rsid w:val="00E7766A"/>
    <w:rsid w:val="00E7782E"/>
    <w:rsid w:val="00E77AD5"/>
    <w:rsid w:val="00E77BCA"/>
    <w:rsid w:val="00E77CC5"/>
    <w:rsid w:val="00E77D28"/>
    <w:rsid w:val="00E77D2E"/>
    <w:rsid w:val="00E80144"/>
    <w:rsid w:val="00E80274"/>
    <w:rsid w:val="00E80463"/>
    <w:rsid w:val="00E804A6"/>
    <w:rsid w:val="00E8064A"/>
    <w:rsid w:val="00E806F2"/>
    <w:rsid w:val="00E8074D"/>
    <w:rsid w:val="00E807B3"/>
    <w:rsid w:val="00E8085A"/>
    <w:rsid w:val="00E80A32"/>
    <w:rsid w:val="00E80B17"/>
    <w:rsid w:val="00E80BEA"/>
    <w:rsid w:val="00E81014"/>
    <w:rsid w:val="00E8106B"/>
    <w:rsid w:val="00E81101"/>
    <w:rsid w:val="00E81197"/>
    <w:rsid w:val="00E811F3"/>
    <w:rsid w:val="00E8123F"/>
    <w:rsid w:val="00E816C7"/>
    <w:rsid w:val="00E81980"/>
    <w:rsid w:val="00E81EBC"/>
    <w:rsid w:val="00E81F15"/>
    <w:rsid w:val="00E8226F"/>
    <w:rsid w:val="00E8235C"/>
    <w:rsid w:val="00E8271F"/>
    <w:rsid w:val="00E828A3"/>
    <w:rsid w:val="00E82901"/>
    <w:rsid w:val="00E829ED"/>
    <w:rsid w:val="00E82B00"/>
    <w:rsid w:val="00E82BD5"/>
    <w:rsid w:val="00E82CFA"/>
    <w:rsid w:val="00E82E57"/>
    <w:rsid w:val="00E82FD1"/>
    <w:rsid w:val="00E83122"/>
    <w:rsid w:val="00E8321B"/>
    <w:rsid w:val="00E833DD"/>
    <w:rsid w:val="00E835DA"/>
    <w:rsid w:val="00E835F2"/>
    <w:rsid w:val="00E8361E"/>
    <w:rsid w:val="00E837B7"/>
    <w:rsid w:val="00E837DC"/>
    <w:rsid w:val="00E83980"/>
    <w:rsid w:val="00E83A12"/>
    <w:rsid w:val="00E83E96"/>
    <w:rsid w:val="00E83F2D"/>
    <w:rsid w:val="00E84005"/>
    <w:rsid w:val="00E841F2"/>
    <w:rsid w:val="00E8420C"/>
    <w:rsid w:val="00E842AD"/>
    <w:rsid w:val="00E8476B"/>
    <w:rsid w:val="00E84978"/>
    <w:rsid w:val="00E84BDD"/>
    <w:rsid w:val="00E84CBA"/>
    <w:rsid w:val="00E84D99"/>
    <w:rsid w:val="00E84D9E"/>
    <w:rsid w:val="00E84E51"/>
    <w:rsid w:val="00E84E76"/>
    <w:rsid w:val="00E84F81"/>
    <w:rsid w:val="00E8506D"/>
    <w:rsid w:val="00E855A6"/>
    <w:rsid w:val="00E85903"/>
    <w:rsid w:val="00E85AE6"/>
    <w:rsid w:val="00E85AED"/>
    <w:rsid w:val="00E85B29"/>
    <w:rsid w:val="00E85BC2"/>
    <w:rsid w:val="00E85E56"/>
    <w:rsid w:val="00E85F36"/>
    <w:rsid w:val="00E86094"/>
    <w:rsid w:val="00E860A7"/>
    <w:rsid w:val="00E861B2"/>
    <w:rsid w:val="00E865AA"/>
    <w:rsid w:val="00E8681C"/>
    <w:rsid w:val="00E8683C"/>
    <w:rsid w:val="00E868B1"/>
    <w:rsid w:val="00E868D5"/>
    <w:rsid w:val="00E86B39"/>
    <w:rsid w:val="00E86BE2"/>
    <w:rsid w:val="00E86DBD"/>
    <w:rsid w:val="00E86E65"/>
    <w:rsid w:val="00E86F64"/>
    <w:rsid w:val="00E87064"/>
    <w:rsid w:val="00E8710D"/>
    <w:rsid w:val="00E871C1"/>
    <w:rsid w:val="00E8724F"/>
    <w:rsid w:val="00E8725A"/>
    <w:rsid w:val="00E878EB"/>
    <w:rsid w:val="00E87961"/>
    <w:rsid w:val="00E87C3E"/>
    <w:rsid w:val="00E87D50"/>
    <w:rsid w:val="00E87D79"/>
    <w:rsid w:val="00E87EE6"/>
    <w:rsid w:val="00E87F11"/>
    <w:rsid w:val="00E90318"/>
    <w:rsid w:val="00E90372"/>
    <w:rsid w:val="00E903F4"/>
    <w:rsid w:val="00E90414"/>
    <w:rsid w:val="00E905E6"/>
    <w:rsid w:val="00E9063E"/>
    <w:rsid w:val="00E90664"/>
    <w:rsid w:val="00E906B5"/>
    <w:rsid w:val="00E906DB"/>
    <w:rsid w:val="00E90784"/>
    <w:rsid w:val="00E909AD"/>
    <w:rsid w:val="00E90A37"/>
    <w:rsid w:val="00E90A8B"/>
    <w:rsid w:val="00E90DFD"/>
    <w:rsid w:val="00E90EC3"/>
    <w:rsid w:val="00E9105C"/>
    <w:rsid w:val="00E91070"/>
    <w:rsid w:val="00E91212"/>
    <w:rsid w:val="00E91254"/>
    <w:rsid w:val="00E9144F"/>
    <w:rsid w:val="00E9161A"/>
    <w:rsid w:val="00E91647"/>
    <w:rsid w:val="00E9179F"/>
    <w:rsid w:val="00E91BD7"/>
    <w:rsid w:val="00E91DF1"/>
    <w:rsid w:val="00E91F92"/>
    <w:rsid w:val="00E923F5"/>
    <w:rsid w:val="00E9258D"/>
    <w:rsid w:val="00E926F3"/>
    <w:rsid w:val="00E9282D"/>
    <w:rsid w:val="00E92B62"/>
    <w:rsid w:val="00E92B6F"/>
    <w:rsid w:val="00E92B95"/>
    <w:rsid w:val="00E92BB8"/>
    <w:rsid w:val="00E92EC6"/>
    <w:rsid w:val="00E92F95"/>
    <w:rsid w:val="00E92FDD"/>
    <w:rsid w:val="00E92FF9"/>
    <w:rsid w:val="00E932F8"/>
    <w:rsid w:val="00E9341D"/>
    <w:rsid w:val="00E93580"/>
    <w:rsid w:val="00E93601"/>
    <w:rsid w:val="00E939DE"/>
    <w:rsid w:val="00E93B58"/>
    <w:rsid w:val="00E93BE1"/>
    <w:rsid w:val="00E93C4B"/>
    <w:rsid w:val="00E93D5A"/>
    <w:rsid w:val="00E93EE7"/>
    <w:rsid w:val="00E93F04"/>
    <w:rsid w:val="00E93F56"/>
    <w:rsid w:val="00E940FB"/>
    <w:rsid w:val="00E94305"/>
    <w:rsid w:val="00E94346"/>
    <w:rsid w:val="00E945FD"/>
    <w:rsid w:val="00E94784"/>
    <w:rsid w:val="00E94BC2"/>
    <w:rsid w:val="00E94CEC"/>
    <w:rsid w:val="00E94CF0"/>
    <w:rsid w:val="00E94EC9"/>
    <w:rsid w:val="00E94EEF"/>
    <w:rsid w:val="00E94EF0"/>
    <w:rsid w:val="00E94FC5"/>
    <w:rsid w:val="00E950FD"/>
    <w:rsid w:val="00E95135"/>
    <w:rsid w:val="00E95172"/>
    <w:rsid w:val="00E95188"/>
    <w:rsid w:val="00E95344"/>
    <w:rsid w:val="00E95549"/>
    <w:rsid w:val="00E95561"/>
    <w:rsid w:val="00E9560F"/>
    <w:rsid w:val="00E958A6"/>
    <w:rsid w:val="00E9597C"/>
    <w:rsid w:val="00E95A2C"/>
    <w:rsid w:val="00E95B84"/>
    <w:rsid w:val="00E95C18"/>
    <w:rsid w:val="00E95D68"/>
    <w:rsid w:val="00E95D89"/>
    <w:rsid w:val="00E95DA3"/>
    <w:rsid w:val="00E95E27"/>
    <w:rsid w:val="00E95E87"/>
    <w:rsid w:val="00E95FF1"/>
    <w:rsid w:val="00E96073"/>
    <w:rsid w:val="00E960C2"/>
    <w:rsid w:val="00E9620A"/>
    <w:rsid w:val="00E962F8"/>
    <w:rsid w:val="00E96367"/>
    <w:rsid w:val="00E964FD"/>
    <w:rsid w:val="00E96500"/>
    <w:rsid w:val="00E96591"/>
    <w:rsid w:val="00E965CF"/>
    <w:rsid w:val="00E966A4"/>
    <w:rsid w:val="00E968A8"/>
    <w:rsid w:val="00E96932"/>
    <w:rsid w:val="00E96949"/>
    <w:rsid w:val="00E9696D"/>
    <w:rsid w:val="00E96ACB"/>
    <w:rsid w:val="00E96B35"/>
    <w:rsid w:val="00E96C62"/>
    <w:rsid w:val="00E96E16"/>
    <w:rsid w:val="00E971AF"/>
    <w:rsid w:val="00E97367"/>
    <w:rsid w:val="00E975C2"/>
    <w:rsid w:val="00E9769F"/>
    <w:rsid w:val="00E97729"/>
    <w:rsid w:val="00E97758"/>
    <w:rsid w:val="00E9775A"/>
    <w:rsid w:val="00E978E4"/>
    <w:rsid w:val="00E9791B"/>
    <w:rsid w:val="00E97ABB"/>
    <w:rsid w:val="00E97B4C"/>
    <w:rsid w:val="00E97B7F"/>
    <w:rsid w:val="00E97C0E"/>
    <w:rsid w:val="00E97DA1"/>
    <w:rsid w:val="00E97E2E"/>
    <w:rsid w:val="00E97EB1"/>
    <w:rsid w:val="00E97F08"/>
    <w:rsid w:val="00E97F75"/>
    <w:rsid w:val="00EA002B"/>
    <w:rsid w:val="00EA00D9"/>
    <w:rsid w:val="00EA0149"/>
    <w:rsid w:val="00EA01BA"/>
    <w:rsid w:val="00EA03A4"/>
    <w:rsid w:val="00EA05F0"/>
    <w:rsid w:val="00EA0676"/>
    <w:rsid w:val="00EA06B9"/>
    <w:rsid w:val="00EA07CC"/>
    <w:rsid w:val="00EA07E7"/>
    <w:rsid w:val="00EA0B26"/>
    <w:rsid w:val="00EA0E23"/>
    <w:rsid w:val="00EA1307"/>
    <w:rsid w:val="00EA14FF"/>
    <w:rsid w:val="00EA1601"/>
    <w:rsid w:val="00EA16E9"/>
    <w:rsid w:val="00EA174F"/>
    <w:rsid w:val="00EA1779"/>
    <w:rsid w:val="00EA17A8"/>
    <w:rsid w:val="00EA1A90"/>
    <w:rsid w:val="00EA1AEA"/>
    <w:rsid w:val="00EA1BFD"/>
    <w:rsid w:val="00EA223B"/>
    <w:rsid w:val="00EA2381"/>
    <w:rsid w:val="00EA2484"/>
    <w:rsid w:val="00EA2830"/>
    <w:rsid w:val="00EA28A5"/>
    <w:rsid w:val="00EA2D00"/>
    <w:rsid w:val="00EA31CA"/>
    <w:rsid w:val="00EA31D9"/>
    <w:rsid w:val="00EA3388"/>
    <w:rsid w:val="00EA34FC"/>
    <w:rsid w:val="00EA355C"/>
    <w:rsid w:val="00EA364C"/>
    <w:rsid w:val="00EA364F"/>
    <w:rsid w:val="00EA3706"/>
    <w:rsid w:val="00EA387F"/>
    <w:rsid w:val="00EA3B11"/>
    <w:rsid w:val="00EA3B42"/>
    <w:rsid w:val="00EA3B6E"/>
    <w:rsid w:val="00EA3C14"/>
    <w:rsid w:val="00EA3D83"/>
    <w:rsid w:val="00EA3F11"/>
    <w:rsid w:val="00EA3F82"/>
    <w:rsid w:val="00EA4150"/>
    <w:rsid w:val="00EA4167"/>
    <w:rsid w:val="00EA41E0"/>
    <w:rsid w:val="00EA42C9"/>
    <w:rsid w:val="00EA43D3"/>
    <w:rsid w:val="00EA440C"/>
    <w:rsid w:val="00EA4653"/>
    <w:rsid w:val="00EA47F1"/>
    <w:rsid w:val="00EA4886"/>
    <w:rsid w:val="00EA49D8"/>
    <w:rsid w:val="00EA4A01"/>
    <w:rsid w:val="00EA4A17"/>
    <w:rsid w:val="00EA4B52"/>
    <w:rsid w:val="00EA4BC7"/>
    <w:rsid w:val="00EA4CB3"/>
    <w:rsid w:val="00EA4DDE"/>
    <w:rsid w:val="00EA4F4B"/>
    <w:rsid w:val="00EA4FF3"/>
    <w:rsid w:val="00EA522F"/>
    <w:rsid w:val="00EA5274"/>
    <w:rsid w:val="00EA5393"/>
    <w:rsid w:val="00EA5433"/>
    <w:rsid w:val="00EA55A1"/>
    <w:rsid w:val="00EA56A7"/>
    <w:rsid w:val="00EA572E"/>
    <w:rsid w:val="00EA5761"/>
    <w:rsid w:val="00EA5787"/>
    <w:rsid w:val="00EA59DF"/>
    <w:rsid w:val="00EA5A37"/>
    <w:rsid w:val="00EA5A8B"/>
    <w:rsid w:val="00EA5C61"/>
    <w:rsid w:val="00EA5D50"/>
    <w:rsid w:val="00EA5D5C"/>
    <w:rsid w:val="00EA5D71"/>
    <w:rsid w:val="00EA5E88"/>
    <w:rsid w:val="00EA5F48"/>
    <w:rsid w:val="00EA5F58"/>
    <w:rsid w:val="00EA619B"/>
    <w:rsid w:val="00EA62A1"/>
    <w:rsid w:val="00EA63E8"/>
    <w:rsid w:val="00EA63FC"/>
    <w:rsid w:val="00EA666D"/>
    <w:rsid w:val="00EA6729"/>
    <w:rsid w:val="00EA6797"/>
    <w:rsid w:val="00EA6832"/>
    <w:rsid w:val="00EA68DA"/>
    <w:rsid w:val="00EA68E4"/>
    <w:rsid w:val="00EA693A"/>
    <w:rsid w:val="00EA6964"/>
    <w:rsid w:val="00EA69B8"/>
    <w:rsid w:val="00EA6B89"/>
    <w:rsid w:val="00EA6BFE"/>
    <w:rsid w:val="00EA6CBE"/>
    <w:rsid w:val="00EA6CEA"/>
    <w:rsid w:val="00EA6DD2"/>
    <w:rsid w:val="00EA6EFF"/>
    <w:rsid w:val="00EA7102"/>
    <w:rsid w:val="00EA75EE"/>
    <w:rsid w:val="00EA76A5"/>
    <w:rsid w:val="00EA77F8"/>
    <w:rsid w:val="00EA78ED"/>
    <w:rsid w:val="00EA79B1"/>
    <w:rsid w:val="00EA7B6A"/>
    <w:rsid w:val="00EA7B96"/>
    <w:rsid w:val="00EA7BE0"/>
    <w:rsid w:val="00EA7CD0"/>
    <w:rsid w:val="00EA7CD1"/>
    <w:rsid w:val="00EA7CE4"/>
    <w:rsid w:val="00EA7DAC"/>
    <w:rsid w:val="00EB000E"/>
    <w:rsid w:val="00EB0139"/>
    <w:rsid w:val="00EB0176"/>
    <w:rsid w:val="00EB034D"/>
    <w:rsid w:val="00EB0410"/>
    <w:rsid w:val="00EB052B"/>
    <w:rsid w:val="00EB066E"/>
    <w:rsid w:val="00EB06A4"/>
    <w:rsid w:val="00EB0734"/>
    <w:rsid w:val="00EB083B"/>
    <w:rsid w:val="00EB086A"/>
    <w:rsid w:val="00EB08AA"/>
    <w:rsid w:val="00EB096B"/>
    <w:rsid w:val="00EB0A23"/>
    <w:rsid w:val="00EB0B62"/>
    <w:rsid w:val="00EB0E57"/>
    <w:rsid w:val="00EB0E76"/>
    <w:rsid w:val="00EB0E82"/>
    <w:rsid w:val="00EB1014"/>
    <w:rsid w:val="00EB10C4"/>
    <w:rsid w:val="00EB1105"/>
    <w:rsid w:val="00EB110F"/>
    <w:rsid w:val="00EB143E"/>
    <w:rsid w:val="00EB1561"/>
    <w:rsid w:val="00EB175B"/>
    <w:rsid w:val="00EB17CF"/>
    <w:rsid w:val="00EB1A39"/>
    <w:rsid w:val="00EB1C6F"/>
    <w:rsid w:val="00EB1C7B"/>
    <w:rsid w:val="00EB1D01"/>
    <w:rsid w:val="00EB1D2A"/>
    <w:rsid w:val="00EB1D5A"/>
    <w:rsid w:val="00EB1DBF"/>
    <w:rsid w:val="00EB1FDC"/>
    <w:rsid w:val="00EB2169"/>
    <w:rsid w:val="00EB22D4"/>
    <w:rsid w:val="00EB23B7"/>
    <w:rsid w:val="00EB2635"/>
    <w:rsid w:val="00EB2833"/>
    <w:rsid w:val="00EB28A2"/>
    <w:rsid w:val="00EB2961"/>
    <w:rsid w:val="00EB2C87"/>
    <w:rsid w:val="00EB2CFC"/>
    <w:rsid w:val="00EB2DD9"/>
    <w:rsid w:val="00EB2E3A"/>
    <w:rsid w:val="00EB2FB6"/>
    <w:rsid w:val="00EB313E"/>
    <w:rsid w:val="00EB31FE"/>
    <w:rsid w:val="00EB32B7"/>
    <w:rsid w:val="00EB32FA"/>
    <w:rsid w:val="00EB33C9"/>
    <w:rsid w:val="00EB33F9"/>
    <w:rsid w:val="00EB34C6"/>
    <w:rsid w:val="00EB3B61"/>
    <w:rsid w:val="00EB3B9E"/>
    <w:rsid w:val="00EB3CA4"/>
    <w:rsid w:val="00EB3DEB"/>
    <w:rsid w:val="00EB3E3D"/>
    <w:rsid w:val="00EB3EBA"/>
    <w:rsid w:val="00EB4120"/>
    <w:rsid w:val="00EB4330"/>
    <w:rsid w:val="00EB434E"/>
    <w:rsid w:val="00EB43AB"/>
    <w:rsid w:val="00EB43B2"/>
    <w:rsid w:val="00EB4459"/>
    <w:rsid w:val="00EB44C9"/>
    <w:rsid w:val="00EB4621"/>
    <w:rsid w:val="00EB4791"/>
    <w:rsid w:val="00EB47AB"/>
    <w:rsid w:val="00EB484C"/>
    <w:rsid w:val="00EB497F"/>
    <w:rsid w:val="00EB4998"/>
    <w:rsid w:val="00EB49BD"/>
    <w:rsid w:val="00EB4AAD"/>
    <w:rsid w:val="00EB4C03"/>
    <w:rsid w:val="00EB4CC6"/>
    <w:rsid w:val="00EB4D70"/>
    <w:rsid w:val="00EB4EFB"/>
    <w:rsid w:val="00EB505F"/>
    <w:rsid w:val="00EB50AD"/>
    <w:rsid w:val="00EB524C"/>
    <w:rsid w:val="00EB526C"/>
    <w:rsid w:val="00EB52C7"/>
    <w:rsid w:val="00EB52E3"/>
    <w:rsid w:val="00EB536C"/>
    <w:rsid w:val="00EB5468"/>
    <w:rsid w:val="00EB55BB"/>
    <w:rsid w:val="00EB57D8"/>
    <w:rsid w:val="00EB586D"/>
    <w:rsid w:val="00EB5875"/>
    <w:rsid w:val="00EB5961"/>
    <w:rsid w:val="00EB5A80"/>
    <w:rsid w:val="00EB5D2E"/>
    <w:rsid w:val="00EB5D3A"/>
    <w:rsid w:val="00EB5D7A"/>
    <w:rsid w:val="00EB60D9"/>
    <w:rsid w:val="00EB6233"/>
    <w:rsid w:val="00EB62BA"/>
    <w:rsid w:val="00EB6335"/>
    <w:rsid w:val="00EB6391"/>
    <w:rsid w:val="00EB63FC"/>
    <w:rsid w:val="00EB6425"/>
    <w:rsid w:val="00EB65D9"/>
    <w:rsid w:val="00EB6629"/>
    <w:rsid w:val="00EB69D9"/>
    <w:rsid w:val="00EB6B59"/>
    <w:rsid w:val="00EB6BCB"/>
    <w:rsid w:val="00EB6EB5"/>
    <w:rsid w:val="00EB6FC1"/>
    <w:rsid w:val="00EB7013"/>
    <w:rsid w:val="00EB72AB"/>
    <w:rsid w:val="00EB7326"/>
    <w:rsid w:val="00EB7337"/>
    <w:rsid w:val="00EB735F"/>
    <w:rsid w:val="00EB73C9"/>
    <w:rsid w:val="00EB7458"/>
    <w:rsid w:val="00EB770A"/>
    <w:rsid w:val="00EB7938"/>
    <w:rsid w:val="00EB7A6F"/>
    <w:rsid w:val="00EB7B81"/>
    <w:rsid w:val="00EB7C29"/>
    <w:rsid w:val="00EB7D79"/>
    <w:rsid w:val="00EB7E8D"/>
    <w:rsid w:val="00EB7FB3"/>
    <w:rsid w:val="00EC0043"/>
    <w:rsid w:val="00EC00A3"/>
    <w:rsid w:val="00EC0261"/>
    <w:rsid w:val="00EC02FE"/>
    <w:rsid w:val="00EC038F"/>
    <w:rsid w:val="00EC04A4"/>
    <w:rsid w:val="00EC0BF1"/>
    <w:rsid w:val="00EC0C34"/>
    <w:rsid w:val="00EC0C39"/>
    <w:rsid w:val="00EC0C70"/>
    <w:rsid w:val="00EC0CF5"/>
    <w:rsid w:val="00EC0D79"/>
    <w:rsid w:val="00EC0E5D"/>
    <w:rsid w:val="00EC0F6A"/>
    <w:rsid w:val="00EC1100"/>
    <w:rsid w:val="00EC138E"/>
    <w:rsid w:val="00EC1396"/>
    <w:rsid w:val="00EC1500"/>
    <w:rsid w:val="00EC1600"/>
    <w:rsid w:val="00EC1999"/>
    <w:rsid w:val="00EC1C02"/>
    <w:rsid w:val="00EC1C42"/>
    <w:rsid w:val="00EC1C60"/>
    <w:rsid w:val="00EC1CAE"/>
    <w:rsid w:val="00EC1E0A"/>
    <w:rsid w:val="00EC1E33"/>
    <w:rsid w:val="00EC1E9F"/>
    <w:rsid w:val="00EC202E"/>
    <w:rsid w:val="00EC22C6"/>
    <w:rsid w:val="00EC2343"/>
    <w:rsid w:val="00EC2CBE"/>
    <w:rsid w:val="00EC2CCD"/>
    <w:rsid w:val="00EC2D20"/>
    <w:rsid w:val="00EC2D45"/>
    <w:rsid w:val="00EC2D61"/>
    <w:rsid w:val="00EC2E3F"/>
    <w:rsid w:val="00EC2EE4"/>
    <w:rsid w:val="00EC3075"/>
    <w:rsid w:val="00EC3146"/>
    <w:rsid w:val="00EC352D"/>
    <w:rsid w:val="00EC3642"/>
    <w:rsid w:val="00EC36DE"/>
    <w:rsid w:val="00EC36FF"/>
    <w:rsid w:val="00EC37A0"/>
    <w:rsid w:val="00EC39CB"/>
    <w:rsid w:val="00EC3D5B"/>
    <w:rsid w:val="00EC3E07"/>
    <w:rsid w:val="00EC4449"/>
    <w:rsid w:val="00EC446F"/>
    <w:rsid w:val="00EC456E"/>
    <w:rsid w:val="00EC4691"/>
    <w:rsid w:val="00EC4734"/>
    <w:rsid w:val="00EC4847"/>
    <w:rsid w:val="00EC48B4"/>
    <w:rsid w:val="00EC49B6"/>
    <w:rsid w:val="00EC4A32"/>
    <w:rsid w:val="00EC4A35"/>
    <w:rsid w:val="00EC4A6C"/>
    <w:rsid w:val="00EC4C94"/>
    <w:rsid w:val="00EC4D2A"/>
    <w:rsid w:val="00EC4D3E"/>
    <w:rsid w:val="00EC4DC0"/>
    <w:rsid w:val="00EC4F5F"/>
    <w:rsid w:val="00EC5051"/>
    <w:rsid w:val="00EC50C3"/>
    <w:rsid w:val="00EC5136"/>
    <w:rsid w:val="00EC52D0"/>
    <w:rsid w:val="00EC52FC"/>
    <w:rsid w:val="00EC5376"/>
    <w:rsid w:val="00EC53FD"/>
    <w:rsid w:val="00EC55C4"/>
    <w:rsid w:val="00EC5B06"/>
    <w:rsid w:val="00EC5CFA"/>
    <w:rsid w:val="00EC5EFC"/>
    <w:rsid w:val="00EC6122"/>
    <w:rsid w:val="00EC64D2"/>
    <w:rsid w:val="00EC6553"/>
    <w:rsid w:val="00EC6590"/>
    <w:rsid w:val="00EC65A6"/>
    <w:rsid w:val="00EC66D4"/>
    <w:rsid w:val="00EC672D"/>
    <w:rsid w:val="00EC6893"/>
    <w:rsid w:val="00EC6AA1"/>
    <w:rsid w:val="00EC6CE1"/>
    <w:rsid w:val="00EC6D97"/>
    <w:rsid w:val="00EC6E7D"/>
    <w:rsid w:val="00EC6F7B"/>
    <w:rsid w:val="00EC71C9"/>
    <w:rsid w:val="00EC725A"/>
    <w:rsid w:val="00EC72D6"/>
    <w:rsid w:val="00EC742A"/>
    <w:rsid w:val="00EC7435"/>
    <w:rsid w:val="00EC7445"/>
    <w:rsid w:val="00EC749D"/>
    <w:rsid w:val="00EC7502"/>
    <w:rsid w:val="00EC7542"/>
    <w:rsid w:val="00EC755C"/>
    <w:rsid w:val="00EC7563"/>
    <w:rsid w:val="00EC75A7"/>
    <w:rsid w:val="00EC778E"/>
    <w:rsid w:val="00EC7829"/>
    <w:rsid w:val="00EC7878"/>
    <w:rsid w:val="00EC796B"/>
    <w:rsid w:val="00EC7A04"/>
    <w:rsid w:val="00EC7AE8"/>
    <w:rsid w:val="00EC7B84"/>
    <w:rsid w:val="00EC7C32"/>
    <w:rsid w:val="00EC7C38"/>
    <w:rsid w:val="00EC7CD4"/>
    <w:rsid w:val="00EC7F5A"/>
    <w:rsid w:val="00ED0409"/>
    <w:rsid w:val="00ED04C0"/>
    <w:rsid w:val="00ED0735"/>
    <w:rsid w:val="00ED0B92"/>
    <w:rsid w:val="00ED0C5C"/>
    <w:rsid w:val="00ED0E18"/>
    <w:rsid w:val="00ED0E6B"/>
    <w:rsid w:val="00ED0E89"/>
    <w:rsid w:val="00ED0ECA"/>
    <w:rsid w:val="00ED0F9A"/>
    <w:rsid w:val="00ED1004"/>
    <w:rsid w:val="00ED1022"/>
    <w:rsid w:val="00ED1048"/>
    <w:rsid w:val="00ED107B"/>
    <w:rsid w:val="00ED10B6"/>
    <w:rsid w:val="00ED10DE"/>
    <w:rsid w:val="00ED129B"/>
    <w:rsid w:val="00ED143F"/>
    <w:rsid w:val="00ED1492"/>
    <w:rsid w:val="00ED15FD"/>
    <w:rsid w:val="00ED1607"/>
    <w:rsid w:val="00ED171E"/>
    <w:rsid w:val="00ED1891"/>
    <w:rsid w:val="00ED18D8"/>
    <w:rsid w:val="00ED18F1"/>
    <w:rsid w:val="00ED1907"/>
    <w:rsid w:val="00ED1A37"/>
    <w:rsid w:val="00ED1B23"/>
    <w:rsid w:val="00ED1C66"/>
    <w:rsid w:val="00ED1D1E"/>
    <w:rsid w:val="00ED1D3C"/>
    <w:rsid w:val="00ED1E1C"/>
    <w:rsid w:val="00ED1FC3"/>
    <w:rsid w:val="00ED20D2"/>
    <w:rsid w:val="00ED21D7"/>
    <w:rsid w:val="00ED2272"/>
    <w:rsid w:val="00ED2680"/>
    <w:rsid w:val="00ED275C"/>
    <w:rsid w:val="00ED28D9"/>
    <w:rsid w:val="00ED2B24"/>
    <w:rsid w:val="00ED2B54"/>
    <w:rsid w:val="00ED2C1F"/>
    <w:rsid w:val="00ED2DE5"/>
    <w:rsid w:val="00ED2DF7"/>
    <w:rsid w:val="00ED2DFD"/>
    <w:rsid w:val="00ED2EE6"/>
    <w:rsid w:val="00ED2F50"/>
    <w:rsid w:val="00ED2F5F"/>
    <w:rsid w:val="00ED31FD"/>
    <w:rsid w:val="00ED340B"/>
    <w:rsid w:val="00ED35F6"/>
    <w:rsid w:val="00ED36D4"/>
    <w:rsid w:val="00ED370E"/>
    <w:rsid w:val="00ED3750"/>
    <w:rsid w:val="00ED37E7"/>
    <w:rsid w:val="00ED395F"/>
    <w:rsid w:val="00ED398D"/>
    <w:rsid w:val="00ED3997"/>
    <w:rsid w:val="00ED399C"/>
    <w:rsid w:val="00ED3C0B"/>
    <w:rsid w:val="00ED3C38"/>
    <w:rsid w:val="00ED3D21"/>
    <w:rsid w:val="00ED3F5E"/>
    <w:rsid w:val="00ED3F7A"/>
    <w:rsid w:val="00ED401D"/>
    <w:rsid w:val="00ED4086"/>
    <w:rsid w:val="00ED417A"/>
    <w:rsid w:val="00ED4351"/>
    <w:rsid w:val="00ED43A7"/>
    <w:rsid w:val="00ED43F0"/>
    <w:rsid w:val="00ED47F6"/>
    <w:rsid w:val="00ED4ABD"/>
    <w:rsid w:val="00ED4C76"/>
    <w:rsid w:val="00ED4CEF"/>
    <w:rsid w:val="00ED4CFF"/>
    <w:rsid w:val="00ED4D2C"/>
    <w:rsid w:val="00ED4D5A"/>
    <w:rsid w:val="00ED4EB4"/>
    <w:rsid w:val="00ED5091"/>
    <w:rsid w:val="00ED52B2"/>
    <w:rsid w:val="00ED5479"/>
    <w:rsid w:val="00ED56A2"/>
    <w:rsid w:val="00ED5850"/>
    <w:rsid w:val="00ED585A"/>
    <w:rsid w:val="00ED590F"/>
    <w:rsid w:val="00ED5C46"/>
    <w:rsid w:val="00ED5C4B"/>
    <w:rsid w:val="00ED5D7C"/>
    <w:rsid w:val="00ED5E5B"/>
    <w:rsid w:val="00ED60DB"/>
    <w:rsid w:val="00ED61C4"/>
    <w:rsid w:val="00ED6234"/>
    <w:rsid w:val="00ED6280"/>
    <w:rsid w:val="00ED62B1"/>
    <w:rsid w:val="00ED62D3"/>
    <w:rsid w:val="00ED62EB"/>
    <w:rsid w:val="00ED649A"/>
    <w:rsid w:val="00ED653A"/>
    <w:rsid w:val="00ED65A0"/>
    <w:rsid w:val="00ED6786"/>
    <w:rsid w:val="00ED6BC5"/>
    <w:rsid w:val="00ED6EAD"/>
    <w:rsid w:val="00ED6EB1"/>
    <w:rsid w:val="00ED6F1E"/>
    <w:rsid w:val="00ED6FEB"/>
    <w:rsid w:val="00ED7127"/>
    <w:rsid w:val="00ED71CF"/>
    <w:rsid w:val="00ED7240"/>
    <w:rsid w:val="00ED72E2"/>
    <w:rsid w:val="00ED7552"/>
    <w:rsid w:val="00ED7609"/>
    <w:rsid w:val="00ED78D3"/>
    <w:rsid w:val="00ED7AA0"/>
    <w:rsid w:val="00ED7B7E"/>
    <w:rsid w:val="00ED7C31"/>
    <w:rsid w:val="00ED7C8D"/>
    <w:rsid w:val="00ED7D75"/>
    <w:rsid w:val="00ED7E69"/>
    <w:rsid w:val="00ED7ED0"/>
    <w:rsid w:val="00ED7FEB"/>
    <w:rsid w:val="00EE0037"/>
    <w:rsid w:val="00EE00DC"/>
    <w:rsid w:val="00EE0178"/>
    <w:rsid w:val="00EE01CF"/>
    <w:rsid w:val="00EE0309"/>
    <w:rsid w:val="00EE0615"/>
    <w:rsid w:val="00EE0732"/>
    <w:rsid w:val="00EE08E0"/>
    <w:rsid w:val="00EE0AC8"/>
    <w:rsid w:val="00EE0C6B"/>
    <w:rsid w:val="00EE0CFD"/>
    <w:rsid w:val="00EE1037"/>
    <w:rsid w:val="00EE11B5"/>
    <w:rsid w:val="00EE1495"/>
    <w:rsid w:val="00EE149A"/>
    <w:rsid w:val="00EE14F8"/>
    <w:rsid w:val="00EE1575"/>
    <w:rsid w:val="00EE16AA"/>
    <w:rsid w:val="00EE1739"/>
    <w:rsid w:val="00EE17C0"/>
    <w:rsid w:val="00EE17E4"/>
    <w:rsid w:val="00EE186C"/>
    <w:rsid w:val="00EE18DE"/>
    <w:rsid w:val="00EE19CE"/>
    <w:rsid w:val="00EE1A9E"/>
    <w:rsid w:val="00EE1AC7"/>
    <w:rsid w:val="00EE1CB0"/>
    <w:rsid w:val="00EE1D43"/>
    <w:rsid w:val="00EE1DBB"/>
    <w:rsid w:val="00EE1E4F"/>
    <w:rsid w:val="00EE1EA5"/>
    <w:rsid w:val="00EE1F91"/>
    <w:rsid w:val="00EE20D3"/>
    <w:rsid w:val="00EE2396"/>
    <w:rsid w:val="00EE243E"/>
    <w:rsid w:val="00EE245F"/>
    <w:rsid w:val="00EE251B"/>
    <w:rsid w:val="00EE258E"/>
    <w:rsid w:val="00EE2649"/>
    <w:rsid w:val="00EE269C"/>
    <w:rsid w:val="00EE26E5"/>
    <w:rsid w:val="00EE275B"/>
    <w:rsid w:val="00EE282D"/>
    <w:rsid w:val="00EE2B51"/>
    <w:rsid w:val="00EE2BB7"/>
    <w:rsid w:val="00EE2D04"/>
    <w:rsid w:val="00EE2D0F"/>
    <w:rsid w:val="00EE2DD4"/>
    <w:rsid w:val="00EE2EC4"/>
    <w:rsid w:val="00EE2EDF"/>
    <w:rsid w:val="00EE2F13"/>
    <w:rsid w:val="00EE318D"/>
    <w:rsid w:val="00EE31EC"/>
    <w:rsid w:val="00EE337F"/>
    <w:rsid w:val="00EE346A"/>
    <w:rsid w:val="00EE3480"/>
    <w:rsid w:val="00EE34FD"/>
    <w:rsid w:val="00EE36AC"/>
    <w:rsid w:val="00EE36F1"/>
    <w:rsid w:val="00EE38BB"/>
    <w:rsid w:val="00EE3920"/>
    <w:rsid w:val="00EE392C"/>
    <w:rsid w:val="00EE39F6"/>
    <w:rsid w:val="00EE3CF1"/>
    <w:rsid w:val="00EE3EF8"/>
    <w:rsid w:val="00EE429B"/>
    <w:rsid w:val="00EE42C3"/>
    <w:rsid w:val="00EE4739"/>
    <w:rsid w:val="00EE49E8"/>
    <w:rsid w:val="00EE4CE8"/>
    <w:rsid w:val="00EE5145"/>
    <w:rsid w:val="00EE51FE"/>
    <w:rsid w:val="00EE5301"/>
    <w:rsid w:val="00EE5407"/>
    <w:rsid w:val="00EE5446"/>
    <w:rsid w:val="00EE5476"/>
    <w:rsid w:val="00EE54F2"/>
    <w:rsid w:val="00EE5535"/>
    <w:rsid w:val="00EE5555"/>
    <w:rsid w:val="00EE55F8"/>
    <w:rsid w:val="00EE5643"/>
    <w:rsid w:val="00EE5898"/>
    <w:rsid w:val="00EE5953"/>
    <w:rsid w:val="00EE5BDB"/>
    <w:rsid w:val="00EE5D8F"/>
    <w:rsid w:val="00EE5E01"/>
    <w:rsid w:val="00EE6070"/>
    <w:rsid w:val="00EE6401"/>
    <w:rsid w:val="00EE64EB"/>
    <w:rsid w:val="00EE6A01"/>
    <w:rsid w:val="00EE6D37"/>
    <w:rsid w:val="00EE6FB0"/>
    <w:rsid w:val="00EE7124"/>
    <w:rsid w:val="00EE7144"/>
    <w:rsid w:val="00EE717E"/>
    <w:rsid w:val="00EE752E"/>
    <w:rsid w:val="00EE7606"/>
    <w:rsid w:val="00EE78FE"/>
    <w:rsid w:val="00EE795D"/>
    <w:rsid w:val="00EE7B0B"/>
    <w:rsid w:val="00EE7BCA"/>
    <w:rsid w:val="00EE7C4B"/>
    <w:rsid w:val="00EE7D41"/>
    <w:rsid w:val="00EE7DBC"/>
    <w:rsid w:val="00EE7E5D"/>
    <w:rsid w:val="00EE7F04"/>
    <w:rsid w:val="00EE7F2A"/>
    <w:rsid w:val="00EE7F95"/>
    <w:rsid w:val="00EE7FDE"/>
    <w:rsid w:val="00EF0057"/>
    <w:rsid w:val="00EF009E"/>
    <w:rsid w:val="00EF0428"/>
    <w:rsid w:val="00EF04F9"/>
    <w:rsid w:val="00EF0520"/>
    <w:rsid w:val="00EF05B3"/>
    <w:rsid w:val="00EF0677"/>
    <w:rsid w:val="00EF076F"/>
    <w:rsid w:val="00EF079B"/>
    <w:rsid w:val="00EF08BA"/>
    <w:rsid w:val="00EF090C"/>
    <w:rsid w:val="00EF0A64"/>
    <w:rsid w:val="00EF0B3C"/>
    <w:rsid w:val="00EF0BA0"/>
    <w:rsid w:val="00EF0C19"/>
    <w:rsid w:val="00EF0DAA"/>
    <w:rsid w:val="00EF0F53"/>
    <w:rsid w:val="00EF0F54"/>
    <w:rsid w:val="00EF0FAF"/>
    <w:rsid w:val="00EF0FE2"/>
    <w:rsid w:val="00EF106F"/>
    <w:rsid w:val="00EF1118"/>
    <w:rsid w:val="00EF1286"/>
    <w:rsid w:val="00EF1318"/>
    <w:rsid w:val="00EF1421"/>
    <w:rsid w:val="00EF1462"/>
    <w:rsid w:val="00EF15D8"/>
    <w:rsid w:val="00EF1694"/>
    <w:rsid w:val="00EF18BD"/>
    <w:rsid w:val="00EF19BB"/>
    <w:rsid w:val="00EF1ABB"/>
    <w:rsid w:val="00EF1BEC"/>
    <w:rsid w:val="00EF1D5D"/>
    <w:rsid w:val="00EF1F16"/>
    <w:rsid w:val="00EF2161"/>
    <w:rsid w:val="00EF220A"/>
    <w:rsid w:val="00EF222C"/>
    <w:rsid w:val="00EF2544"/>
    <w:rsid w:val="00EF27F1"/>
    <w:rsid w:val="00EF281F"/>
    <w:rsid w:val="00EF29DC"/>
    <w:rsid w:val="00EF2A4D"/>
    <w:rsid w:val="00EF2B9A"/>
    <w:rsid w:val="00EF2C5E"/>
    <w:rsid w:val="00EF2C84"/>
    <w:rsid w:val="00EF2C8E"/>
    <w:rsid w:val="00EF2CE3"/>
    <w:rsid w:val="00EF313A"/>
    <w:rsid w:val="00EF3154"/>
    <w:rsid w:val="00EF320F"/>
    <w:rsid w:val="00EF32AE"/>
    <w:rsid w:val="00EF336A"/>
    <w:rsid w:val="00EF3388"/>
    <w:rsid w:val="00EF34E1"/>
    <w:rsid w:val="00EF3584"/>
    <w:rsid w:val="00EF35C8"/>
    <w:rsid w:val="00EF3702"/>
    <w:rsid w:val="00EF3863"/>
    <w:rsid w:val="00EF3886"/>
    <w:rsid w:val="00EF3A51"/>
    <w:rsid w:val="00EF3A67"/>
    <w:rsid w:val="00EF3AFE"/>
    <w:rsid w:val="00EF3B12"/>
    <w:rsid w:val="00EF3F82"/>
    <w:rsid w:val="00EF40AA"/>
    <w:rsid w:val="00EF4164"/>
    <w:rsid w:val="00EF43C1"/>
    <w:rsid w:val="00EF494E"/>
    <w:rsid w:val="00EF4BF8"/>
    <w:rsid w:val="00EF4CC1"/>
    <w:rsid w:val="00EF4D91"/>
    <w:rsid w:val="00EF4F3C"/>
    <w:rsid w:val="00EF50ED"/>
    <w:rsid w:val="00EF5123"/>
    <w:rsid w:val="00EF5180"/>
    <w:rsid w:val="00EF5185"/>
    <w:rsid w:val="00EF518D"/>
    <w:rsid w:val="00EF5375"/>
    <w:rsid w:val="00EF5410"/>
    <w:rsid w:val="00EF5426"/>
    <w:rsid w:val="00EF54CF"/>
    <w:rsid w:val="00EF564F"/>
    <w:rsid w:val="00EF574C"/>
    <w:rsid w:val="00EF5B05"/>
    <w:rsid w:val="00EF5C75"/>
    <w:rsid w:val="00EF5D11"/>
    <w:rsid w:val="00EF5EBB"/>
    <w:rsid w:val="00EF615B"/>
    <w:rsid w:val="00EF62EB"/>
    <w:rsid w:val="00EF6507"/>
    <w:rsid w:val="00EF6905"/>
    <w:rsid w:val="00EF6A39"/>
    <w:rsid w:val="00EF6C88"/>
    <w:rsid w:val="00EF6ECE"/>
    <w:rsid w:val="00EF70B6"/>
    <w:rsid w:val="00EF717A"/>
    <w:rsid w:val="00EF71DE"/>
    <w:rsid w:val="00EF7234"/>
    <w:rsid w:val="00EF7298"/>
    <w:rsid w:val="00EF736A"/>
    <w:rsid w:val="00EF7415"/>
    <w:rsid w:val="00EF75CA"/>
    <w:rsid w:val="00EF79B7"/>
    <w:rsid w:val="00EF79CE"/>
    <w:rsid w:val="00EF79FF"/>
    <w:rsid w:val="00EF7AB0"/>
    <w:rsid w:val="00EF7AF4"/>
    <w:rsid w:val="00EF7DB3"/>
    <w:rsid w:val="00EF7E59"/>
    <w:rsid w:val="00EF7F3B"/>
    <w:rsid w:val="00EF7F48"/>
    <w:rsid w:val="00F0014F"/>
    <w:rsid w:val="00F0020C"/>
    <w:rsid w:val="00F002AC"/>
    <w:rsid w:val="00F00387"/>
    <w:rsid w:val="00F004FC"/>
    <w:rsid w:val="00F006E1"/>
    <w:rsid w:val="00F007BE"/>
    <w:rsid w:val="00F007D3"/>
    <w:rsid w:val="00F008AB"/>
    <w:rsid w:val="00F009CF"/>
    <w:rsid w:val="00F009DF"/>
    <w:rsid w:val="00F00A3E"/>
    <w:rsid w:val="00F00A9A"/>
    <w:rsid w:val="00F00B2F"/>
    <w:rsid w:val="00F00B4C"/>
    <w:rsid w:val="00F00B79"/>
    <w:rsid w:val="00F00D87"/>
    <w:rsid w:val="00F00E94"/>
    <w:rsid w:val="00F00F39"/>
    <w:rsid w:val="00F00F5E"/>
    <w:rsid w:val="00F0125A"/>
    <w:rsid w:val="00F0148E"/>
    <w:rsid w:val="00F01622"/>
    <w:rsid w:val="00F016C1"/>
    <w:rsid w:val="00F01725"/>
    <w:rsid w:val="00F0183F"/>
    <w:rsid w:val="00F018AC"/>
    <w:rsid w:val="00F019DF"/>
    <w:rsid w:val="00F01A9F"/>
    <w:rsid w:val="00F01AE0"/>
    <w:rsid w:val="00F01B6A"/>
    <w:rsid w:val="00F01BDB"/>
    <w:rsid w:val="00F01C6B"/>
    <w:rsid w:val="00F01C87"/>
    <w:rsid w:val="00F01D8B"/>
    <w:rsid w:val="00F02135"/>
    <w:rsid w:val="00F0213D"/>
    <w:rsid w:val="00F0215F"/>
    <w:rsid w:val="00F0250B"/>
    <w:rsid w:val="00F02586"/>
    <w:rsid w:val="00F0272E"/>
    <w:rsid w:val="00F027FE"/>
    <w:rsid w:val="00F02870"/>
    <w:rsid w:val="00F0294B"/>
    <w:rsid w:val="00F029AA"/>
    <w:rsid w:val="00F02B49"/>
    <w:rsid w:val="00F02C21"/>
    <w:rsid w:val="00F02C55"/>
    <w:rsid w:val="00F02C92"/>
    <w:rsid w:val="00F02E32"/>
    <w:rsid w:val="00F02E8D"/>
    <w:rsid w:val="00F02E8E"/>
    <w:rsid w:val="00F03470"/>
    <w:rsid w:val="00F03553"/>
    <w:rsid w:val="00F03650"/>
    <w:rsid w:val="00F037B6"/>
    <w:rsid w:val="00F0387D"/>
    <w:rsid w:val="00F0389F"/>
    <w:rsid w:val="00F03926"/>
    <w:rsid w:val="00F03960"/>
    <w:rsid w:val="00F03AC1"/>
    <w:rsid w:val="00F03C84"/>
    <w:rsid w:val="00F03E16"/>
    <w:rsid w:val="00F03EA3"/>
    <w:rsid w:val="00F04034"/>
    <w:rsid w:val="00F043D2"/>
    <w:rsid w:val="00F04597"/>
    <w:rsid w:val="00F04687"/>
    <w:rsid w:val="00F04720"/>
    <w:rsid w:val="00F04730"/>
    <w:rsid w:val="00F048D6"/>
    <w:rsid w:val="00F0496F"/>
    <w:rsid w:val="00F049DF"/>
    <w:rsid w:val="00F04A42"/>
    <w:rsid w:val="00F04D15"/>
    <w:rsid w:val="00F04EBF"/>
    <w:rsid w:val="00F04EDE"/>
    <w:rsid w:val="00F0502F"/>
    <w:rsid w:val="00F05329"/>
    <w:rsid w:val="00F05460"/>
    <w:rsid w:val="00F054CD"/>
    <w:rsid w:val="00F055B2"/>
    <w:rsid w:val="00F05617"/>
    <w:rsid w:val="00F05864"/>
    <w:rsid w:val="00F05BBF"/>
    <w:rsid w:val="00F05BDE"/>
    <w:rsid w:val="00F05CA2"/>
    <w:rsid w:val="00F05DE8"/>
    <w:rsid w:val="00F05E9E"/>
    <w:rsid w:val="00F05FB2"/>
    <w:rsid w:val="00F06164"/>
    <w:rsid w:val="00F06226"/>
    <w:rsid w:val="00F062BC"/>
    <w:rsid w:val="00F06454"/>
    <w:rsid w:val="00F064DC"/>
    <w:rsid w:val="00F0671F"/>
    <w:rsid w:val="00F0672B"/>
    <w:rsid w:val="00F069C7"/>
    <w:rsid w:val="00F06A08"/>
    <w:rsid w:val="00F06E43"/>
    <w:rsid w:val="00F06FE2"/>
    <w:rsid w:val="00F073AE"/>
    <w:rsid w:val="00F073FF"/>
    <w:rsid w:val="00F0740A"/>
    <w:rsid w:val="00F07424"/>
    <w:rsid w:val="00F07465"/>
    <w:rsid w:val="00F075BC"/>
    <w:rsid w:val="00F07695"/>
    <w:rsid w:val="00F07850"/>
    <w:rsid w:val="00F078A0"/>
    <w:rsid w:val="00F079FB"/>
    <w:rsid w:val="00F07ABB"/>
    <w:rsid w:val="00F07BDB"/>
    <w:rsid w:val="00F07CA1"/>
    <w:rsid w:val="00F07CEF"/>
    <w:rsid w:val="00F07E64"/>
    <w:rsid w:val="00F10071"/>
    <w:rsid w:val="00F100F4"/>
    <w:rsid w:val="00F1027C"/>
    <w:rsid w:val="00F103F0"/>
    <w:rsid w:val="00F10424"/>
    <w:rsid w:val="00F10464"/>
    <w:rsid w:val="00F104D4"/>
    <w:rsid w:val="00F10620"/>
    <w:rsid w:val="00F10710"/>
    <w:rsid w:val="00F108FA"/>
    <w:rsid w:val="00F10A2D"/>
    <w:rsid w:val="00F10A3E"/>
    <w:rsid w:val="00F10AFC"/>
    <w:rsid w:val="00F10C5E"/>
    <w:rsid w:val="00F10C9C"/>
    <w:rsid w:val="00F10CEE"/>
    <w:rsid w:val="00F10D96"/>
    <w:rsid w:val="00F10DF7"/>
    <w:rsid w:val="00F10E57"/>
    <w:rsid w:val="00F10F05"/>
    <w:rsid w:val="00F110E8"/>
    <w:rsid w:val="00F11159"/>
    <w:rsid w:val="00F11335"/>
    <w:rsid w:val="00F113DB"/>
    <w:rsid w:val="00F114AD"/>
    <w:rsid w:val="00F11786"/>
    <w:rsid w:val="00F117DC"/>
    <w:rsid w:val="00F11846"/>
    <w:rsid w:val="00F11BD6"/>
    <w:rsid w:val="00F11CDD"/>
    <w:rsid w:val="00F11D26"/>
    <w:rsid w:val="00F11DA9"/>
    <w:rsid w:val="00F11EB4"/>
    <w:rsid w:val="00F11EC0"/>
    <w:rsid w:val="00F11FA8"/>
    <w:rsid w:val="00F12265"/>
    <w:rsid w:val="00F122AF"/>
    <w:rsid w:val="00F12469"/>
    <w:rsid w:val="00F1246C"/>
    <w:rsid w:val="00F12631"/>
    <w:rsid w:val="00F1264F"/>
    <w:rsid w:val="00F126C8"/>
    <w:rsid w:val="00F1270A"/>
    <w:rsid w:val="00F1270B"/>
    <w:rsid w:val="00F12785"/>
    <w:rsid w:val="00F12882"/>
    <w:rsid w:val="00F12A4B"/>
    <w:rsid w:val="00F12B87"/>
    <w:rsid w:val="00F12D2E"/>
    <w:rsid w:val="00F12D30"/>
    <w:rsid w:val="00F12E91"/>
    <w:rsid w:val="00F13023"/>
    <w:rsid w:val="00F131A2"/>
    <w:rsid w:val="00F134BB"/>
    <w:rsid w:val="00F13606"/>
    <w:rsid w:val="00F137ED"/>
    <w:rsid w:val="00F139D7"/>
    <w:rsid w:val="00F13B8F"/>
    <w:rsid w:val="00F13C9B"/>
    <w:rsid w:val="00F13D51"/>
    <w:rsid w:val="00F13FFD"/>
    <w:rsid w:val="00F14058"/>
    <w:rsid w:val="00F14666"/>
    <w:rsid w:val="00F14778"/>
    <w:rsid w:val="00F1487A"/>
    <w:rsid w:val="00F148C8"/>
    <w:rsid w:val="00F14963"/>
    <w:rsid w:val="00F14BA2"/>
    <w:rsid w:val="00F14C4B"/>
    <w:rsid w:val="00F14DDF"/>
    <w:rsid w:val="00F14F02"/>
    <w:rsid w:val="00F14FFA"/>
    <w:rsid w:val="00F150AC"/>
    <w:rsid w:val="00F15229"/>
    <w:rsid w:val="00F152F0"/>
    <w:rsid w:val="00F15402"/>
    <w:rsid w:val="00F154B8"/>
    <w:rsid w:val="00F1565B"/>
    <w:rsid w:val="00F1577E"/>
    <w:rsid w:val="00F1593F"/>
    <w:rsid w:val="00F159C3"/>
    <w:rsid w:val="00F15DED"/>
    <w:rsid w:val="00F15FC3"/>
    <w:rsid w:val="00F16022"/>
    <w:rsid w:val="00F1609B"/>
    <w:rsid w:val="00F1609D"/>
    <w:rsid w:val="00F160F0"/>
    <w:rsid w:val="00F16402"/>
    <w:rsid w:val="00F16608"/>
    <w:rsid w:val="00F16667"/>
    <w:rsid w:val="00F16A0D"/>
    <w:rsid w:val="00F16AD4"/>
    <w:rsid w:val="00F16BB4"/>
    <w:rsid w:val="00F16BBE"/>
    <w:rsid w:val="00F16BBF"/>
    <w:rsid w:val="00F16C9E"/>
    <w:rsid w:val="00F16D15"/>
    <w:rsid w:val="00F16D22"/>
    <w:rsid w:val="00F16DB3"/>
    <w:rsid w:val="00F16DD4"/>
    <w:rsid w:val="00F16EAE"/>
    <w:rsid w:val="00F16F4E"/>
    <w:rsid w:val="00F17066"/>
    <w:rsid w:val="00F1717B"/>
    <w:rsid w:val="00F1718F"/>
    <w:rsid w:val="00F176EE"/>
    <w:rsid w:val="00F17889"/>
    <w:rsid w:val="00F179B5"/>
    <w:rsid w:val="00F17A40"/>
    <w:rsid w:val="00F17BA1"/>
    <w:rsid w:val="00F17CE6"/>
    <w:rsid w:val="00F17E11"/>
    <w:rsid w:val="00F17E5E"/>
    <w:rsid w:val="00F17EAC"/>
    <w:rsid w:val="00F200D1"/>
    <w:rsid w:val="00F2014F"/>
    <w:rsid w:val="00F201D3"/>
    <w:rsid w:val="00F20237"/>
    <w:rsid w:val="00F205C2"/>
    <w:rsid w:val="00F2068F"/>
    <w:rsid w:val="00F20725"/>
    <w:rsid w:val="00F20742"/>
    <w:rsid w:val="00F207DD"/>
    <w:rsid w:val="00F20810"/>
    <w:rsid w:val="00F209DC"/>
    <w:rsid w:val="00F20B1C"/>
    <w:rsid w:val="00F20BDA"/>
    <w:rsid w:val="00F20E25"/>
    <w:rsid w:val="00F20E4A"/>
    <w:rsid w:val="00F20F7C"/>
    <w:rsid w:val="00F21130"/>
    <w:rsid w:val="00F211F4"/>
    <w:rsid w:val="00F21375"/>
    <w:rsid w:val="00F21481"/>
    <w:rsid w:val="00F214BC"/>
    <w:rsid w:val="00F215D7"/>
    <w:rsid w:val="00F21683"/>
    <w:rsid w:val="00F21718"/>
    <w:rsid w:val="00F21790"/>
    <w:rsid w:val="00F21865"/>
    <w:rsid w:val="00F21B30"/>
    <w:rsid w:val="00F21C63"/>
    <w:rsid w:val="00F21CAA"/>
    <w:rsid w:val="00F21CDB"/>
    <w:rsid w:val="00F21DC1"/>
    <w:rsid w:val="00F21EA1"/>
    <w:rsid w:val="00F21ECD"/>
    <w:rsid w:val="00F21F5A"/>
    <w:rsid w:val="00F21F5D"/>
    <w:rsid w:val="00F21FC2"/>
    <w:rsid w:val="00F225A5"/>
    <w:rsid w:val="00F226AC"/>
    <w:rsid w:val="00F2270E"/>
    <w:rsid w:val="00F22771"/>
    <w:rsid w:val="00F2283B"/>
    <w:rsid w:val="00F229D7"/>
    <w:rsid w:val="00F22C9A"/>
    <w:rsid w:val="00F22E95"/>
    <w:rsid w:val="00F2316D"/>
    <w:rsid w:val="00F23181"/>
    <w:rsid w:val="00F2318F"/>
    <w:rsid w:val="00F23244"/>
    <w:rsid w:val="00F234BF"/>
    <w:rsid w:val="00F234FF"/>
    <w:rsid w:val="00F23649"/>
    <w:rsid w:val="00F239C5"/>
    <w:rsid w:val="00F23AB3"/>
    <w:rsid w:val="00F23CD9"/>
    <w:rsid w:val="00F23CE1"/>
    <w:rsid w:val="00F23CF4"/>
    <w:rsid w:val="00F2400E"/>
    <w:rsid w:val="00F2403C"/>
    <w:rsid w:val="00F240F9"/>
    <w:rsid w:val="00F241AA"/>
    <w:rsid w:val="00F242DD"/>
    <w:rsid w:val="00F2467E"/>
    <w:rsid w:val="00F24766"/>
    <w:rsid w:val="00F24768"/>
    <w:rsid w:val="00F24796"/>
    <w:rsid w:val="00F24B9C"/>
    <w:rsid w:val="00F24BE0"/>
    <w:rsid w:val="00F24CA9"/>
    <w:rsid w:val="00F24DDA"/>
    <w:rsid w:val="00F24DDE"/>
    <w:rsid w:val="00F24E74"/>
    <w:rsid w:val="00F2519A"/>
    <w:rsid w:val="00F251F7"/>
    <w:rsid w:val="00F25242"/>
    <w:rsid w:val="00F25329"/>
    <w:rsid w:val="00F25364"/>
    <w:rsid w:val="00F253EC"/>
    <w:rsid w:val="00F254D2"/>
    <w:rsid w:val="00F25565"/>
    <w:rsid w:val="00F25651"/>
    <w:rsid w:val="00F257A6"/>
    <w:rsid w:val="00F25C16"/>
    <w:rsid w:val="00F25DAF"/>
    <w:rsid w:val="00F25E2C"/>
    <w:rsid w:val="00F262A1"/>
    <w:rsid w:val="00F264A7"/>
    <w:rsid w:val="00F264FD"/>
    <w:rsid w:val="00F26523"/>
    <w:rsid w:val="00F26EF4"/>
    <w:rsid w:val="00F26F3D"/>
    <w:rsid w:val="00F26F43"/>
    <w:rsid w:val="00F27456"/>
    <w:rsid w:val="00F2745A"/>
    <w:rsid w:val="00F27609"/>
    <w:rsid w:val="00F27756"/>
    <w:rsid w:val="00F27845"/>
    <w:rsid w:val="00F278A1"/>
    <w:rsid w:val="00F27A77"/>
    <w:rsid w:val="00F27BA4"/>
    <w:rsid w:val="00F27C0B"/>
    <w:rsid w:val="00F27C52"/>
    <w:rsid w:val="00F27CE7"/>
    <w:rsid w:val="00F27E46"/>
    <w:rsid w:val="00F300C7"/>
    <w:rsid w:val="00F300F0"/>
    <w:rsid w:val="00F30262"/>
    <w:rsid w:val="00F306FD"/>
    <w:rsid w:val="00F3079E"/>
    <w:rsid w:val="00F3088A"/>
    <w:rsid w:val="00F308F9"/>
    <w:rsid w:val="00F3095A"/>
    <w:rsid w:val="00F30A1E"/>
    <w:rsid w:val="00F30C3B"/>
    <w:rsid w:val="00F30C9E"/>
    <w:rsid w:val="00F30E5B"/>
    <w:rsid w:val="00F30EC7"/>
    <w:rsid w:val="00F30ECC"/>
    <w:rsid w:val="00F30ED4"/>
    <w:rsid w:val="00F31243"/>
    <w:rsid w:val="00F3129C"/>
    <w:rsid w:val="00F31432"/>
    <w:rsid w:val="00F314EC"/>
    <w:rsid w:val="00F315CC"/>
    <w:rsid w:val="00F31BEF"/>
    <w:rsid w:val="00F31D32"/>
    <w:rsid w:val="00F32069"/>
    <w:rsid w:val="00F32118"/>
    <w:rsid w:val="00F321A1"/>
    <w:rsid w:val="00F32271"/>
    <w:rsid w:val="00F3229A"/>
    <w:rsid w:val="00F323DA"/>
    <w:rsid w:val="00F326C8"/>
    <w:rsid w:val="00F3276C"/>
    <w:rsid w:val="00F328BB"/>
    <w:rsid w:val="00F32C71"/>
    <w:rsid w:val="00F33236"/>
    <w:rsid w:val="00F33267"/>
    <w:rsid w:val="00F336EA"/>
    <w:rsid w:val="00F33727"/>
    <w:rsid w:val="00F33968"/>
    <w:rsid w:val="00F33992"/>
    <w:rsid w:val="00F33A13"/>
    <w:rsid w:val="00F33D08"/>
    <w:rsid w:val="00F33DAA"/>
    <w:rsid w:val="00F33EE8"/>
    <w:rsid w:val="00F34043"/>
    <w:rsid w:val="00F340B1"/>
    <w:rsid w:val="00F340CD"/>
    <w:rsid w:val="00F3419C"/>
    <w:rsid w:val="00F3435E"/>
    <w:rsid w:val="00F343B0"/>
    <w:rsid w:val="00F3442D"/>
    <w:rsid w:val="00F344A2"/>
    <w:rsid w:val="00F34545"/>
    <w:rsid w:val="00F34920"/>
    <w:rsid w:val="00F3495F"/>
    <w:rsid w:val="00F34A01"/>
    <w:rsid w:val="00F34A24"/>
    <w:rsid w:val="00F34E2C"/>
    <w:rsid w:val="00F34E78"/>
    <w:rsid w:val="00F34F12"/>
    <w:rsid w:val="00F350B8"/>
    <w:rsid w:val="00F3519F"/>
    <w:rsid w:val="00F351B2"/>
    <w:rsid w:val="00F3552A"/>
    <w:rsid w:val="00F35779"/>
    <w:rsid w:val="00F35785"/>
    <w:rsid w:val="00F357BF"/>
    <w:rsid w:val="00F357D3"/>
    <w:rsid w:val="00F35B85"/>
    <w:rsid w:val="00F35C28"/>
    <w:rsid w:val="00F35C4C"/>
    <w:rsid w:val="00F36276"/>
    <w:rsid w:val="00F3655B"/>
    <w:rsid w:val="00F36565"/>
    <w:rsid w:val="00F367E4"/>
    <w:rsid w:val="00F36A36"/>
    <w:rsid w:val="00F36BD8"/>
    <w:rsid w:val="00F36D72"/>
    <w:rsid w:val="00F36E73"/>
    <w:rsid w:val="00F36EE9"/>
    <w:rsid w:val="00F36F70"/>
    <w:rsid w:val="00F36FA7"/>
    <w:rsid w:val="00F37074"/>
    <w:rsid w:val="00F37223"/>
    <w:rsid w:val="00F3744F"/>
    <w:rsid w:val="00F37551"/>
    <w:rsid w:val="00F375C6"/>
    <w:rsid w:val="00F37690"/>
    <w:rsid w:val="00F377A6"/>
    <w:rsid w:val="00F378D5"/>
    <w:rsid w:val="00F3792B"/>
    <w:rsid w:val="00F37BE0"/>
    <w:rsid w:val="00F37BF6"/>
    <w:rsid w:val="00F37DDB"/>
    <w:rsid w:val="00F37DF0"/>
    <w:rsid w:val="00F37F00"/>
    <w:rsid w:val="00F40183"/>
    <w:rsid w:val="00F4026E"/>
    <w:rsid w:val="00F40305"/>
    <w:rsid w:val="00F4060A"/>
    <w:rsid w:val="00F40682"/>
    <w:rsid w:val="00F40771"/>
    <w:rsid w:val="00F407BB"/>
    <w:rsid w:val="00F409E3"/>
    <w:rsid w:val="00F40ACB"/>
    <w:rsid w:val="00F40B24"/>
    <w:rsid w:val="00F40DE1"/>
    <w:rsid w:val="00F40E08"/>
    <w:rsid w:val="00F40E16"/>
    <w:rsid w:val="00F40EB9"/>
    <w:rsid w:val="00F40F08"/>
    <w:rsid w:val="00F41025"/>
    <w:rsid w:val="00F4129E"/>
    <w:rsid w:val="00F41342"/>
    <w:rsid w:val="00F41480"/>
    <w:rsid w:val="00F41560"/>
    <w:rsid w:val="00F41704"/>
    <w:rsid w:val="00F41815"/>
    <w:rsid w:val="00F41898"/>
    <w:rsid w:val="00F418F0"/>
    <w:rsid w:val="00F41903"/>
    <w:rsid w:val="00F41A3A"/>
    <w:rsid w:val="00F41B35"/>
    <w:rsid w:val="00F41E2A"/>
    <w:rsid w:val="00F41F3C"/>
    <w:rsid w:val="00F41FB4"/>
    <w:rsid w:val="00F42056"/>
    <w:rsid w:val="00F422C3"/>
    <w:rsid w:val="00F4234A"/>
    <w:rsid w:val="00F42692"/>
    <w:rsid w:val="00F42746"/>
    <w:rsid w:val="00F42921"/>
    <w:rsid w:val="00F42A21"/>
    <w:rsid w:val="00F42C98"/>
    <w:rsid w:val="00F42E5E"/>
    <w:rsid w:val="00F42EEE"/>
    <w:rsid w:val="00F42F63"/>
    <w:rsid w:val="00F4323F"/>
    <w:rsid w:val="00F4330D"/>
    <w:rsid w:val="00F43577"/>
    <w:rsid w:val="00F4364D"/>
    <w:rsid w:val="00F4365C"/>
    <w:rsid w:val="00F4367D"/>
    <w:rsid w:val="00F43741"/>
    <w:rsid w:val="00F4393A"/>
    <w:rsid w:val="00F43A1B"/>
    <w:rsid w:val="00F43AC5"/>
    <w:rsid w:val="00F43B9E"/>
    <w:rsid w:val="00F43C5A"/>
    <w:rsid w:val="00F43D62"/>
    <w:rsid w:val="00F43E15"/>
    <w:rsid w:val="00F43E50"/>
    <w:rsid w:val="00F44023"/>
    <w:rsid w:val="00F44112"/>
    <w:rsid w:val="00F441B0"/>
    <w:rsid w:val="00F441B5"/>
    <w:rsid w:val="00F443E3"/>
    <w:rsid w:val="00F44406"/>
    <w:rsid w:val="00F444FA"/>
    <w:rsid w:val="00F4454C"/>
    <w:rsid w:val="00F448C4"/>
    <w:rsid w:val="00F448EE"/>
    <w:rsid w:val="00F44935"/>
    <w:rsid w:val="00F449D1"/>
    <w:rsid w:val="00F44B50"/>
    <w:rsid w:val="00F44D6F"/>
    <w:rsid w:val="00F44FF1"/>
    <w:rsid w:val="00F45062"/>
    <w:rsid w:val="00F451B5"/>
    <w:rsid w:val="00F45213"/>
    <w:rsid w:val="00F452F3"/>
    <w:rsid w:val="00F455E0"/>
    <w:rsid w:val="00F458C3"/>
    <w:rsid w:val="00F45926"/>
    <w:rsid w:val="00F45A0F"/>
    <w:rsid w:val="00F45BAF"/>
    <w:rsid w:val="00F45BF2"/>
    <w:rsid w:val="00F45BF5"/>
    <w:rsid w:val="00F45C2C"/>
    <w:rsid w:val="00F45C67"/>
    <w:rsid w:val="00F45E3A"/>
    <w:rsid w:val="00F45F1C"/>
    <w:rsid w:val="00F46120"/>
    <w:rsid w:val="00F463E5"/>
    <w:rsid w:val="00F46468"/>
    <w:rsid w:val="00F46673"/>
    <w:rsid w:val="00F466A9"/>
    <w:rsid w:val="00F466C9"/>
    <w:rsid w:val="00F46856"/>
    <w:rsid w:val="00F469FE"/>
    <w:rsid w:val="00F46CD3"/>
    <w:rsid w:val="00F46CD6"/>
    <w:rsid w:val="00F46E93"/>
    <w:rsid w:val="00F470F5"/>
    <w:rsid w:val="00F47345"/>
    <w:rsid w:val="00F4751D"/>
    <w:rsid w:val="00F4752A"/>
    <w:rsid w:val="00F47732"/>
    <w:rsid w:val="00F477C7"/>
    <w:rsid w:val="00F47A7F"/>
    <w:rsid w:val="00F47C90"/>
    <w:rsid w:val="00F47F70"/>
    <w:rsid w:val="00F47F76"/>
    <w:rsid w:val="00F500D2"/>
    <w:rsid w:val="00F5023A"/>
    <w:rsid w:val="00F502C4"/>
    <w:rsid w:val="00F50341"/>
    <w:rsid w:val="00F50567"/>
    <w:rsid w:val="00F505EF"/>
    <w:rsid w:val="00F50B00"/>
    <w:rsid w:val="00F50D19"/>
    <w:rsid w:val="00F50E3D"/>
    <w:rsid w:val="00F51098"/>
    <w:rsid w:val="00F512F8"/>
    <w:rsid w:val="00F51515"/>
    <w:rsid w:val="00F5193B"/>
    <w:rsid w:val="00F5195A"/>
    <w:rsid w:val="00F519F1"/>
    <w:rsid w:val="00F51ADC"/>
    <w:rsid w:val="00F51E63"/>
    <w:rsid w:val="00F51E6E"/>
    <w:rsid w:val="00F51F1A"/>
    <w:rsid w:val="00F51F98"/>
    <w:rsid w:val="00F5206E"/>
    <w:rsid w:val="00F521CC"/>
    <w:rsid w:val="00F521F6"/>
    <w:rsid w:val="00F5227B"/>
    <w:rsid w:val="00F5232E"/>
    <w:rsid w:val="00F5258D"/>
    <w:rsid w:val="00F52847"/>
    <w:rsid w:val="00F5287F"/>
    <w:rsid w:val="00F52887"/>
    <w:rsid w:val="00F529BA"/>
    <w:rsid w:val="00F52BBD"/>
    <w:rsid w:val="00F52CA0"/>
    <w:rsid w:val="00F532EB"/>
    <w:rsid w:val="00F534B9"/>
    <w:rsid w:val="00F5367E"/>
    <w:rsid w:val="00F53929"/>
    <w:rsid w:val="00F53974"/>
    <w:rsid w:val="00F53A7A"/>
    <w:rsid w:val="00F53AC0"/>
    <w:rsid w:val="00F53B97"/>
    <w:rsid w:val="00F53C17"/>
    <w:rsid w:val="00F53DB4"/>
    <w:rsid w:val="00F53E46"/>
    <w:rsid w:val="00F53F72"/>
    <w:rsid w:val="00F543A2"/>
    <w:rsid w:val="00F54474"/>
    <w:rsid w:val="00F5478D"/>
    <w:rsid w:val="00F5495C"/>
    <w:rsid w:val="00F54AD2"/>
    <w:rsid w:val="00F54B15"/>
    <w:rsid w:val="00F54C2C"/>
    <w:rsid w:val="00F54CEF"/>
    <w:rsid w:val="00F54E9E"/>
    <w:rsid w:val="00F550E8"/>
    <w:rsid w:val="00F5535F"/>
    <w:rsid w:val="00F556EE"/>
    <w:rsid w:val="00F5576F"/>
    <w:rsid w:val="00F55798"/>
    <w:rsid w:val="00F558E2"/>
    <w:rsid w:val="00F558EF"/>
    <w:rsid w:val="00F55918"/>
    <w:rsid w:val="00F5598D"/>
    <w:rsid w:val="00F55B6D"/>
    <w:rsid w:val="00F55CB6"/>
    <w:rsid w:val="00F55D05"/>
    <w:rsid w:val="00F55D3A"/>
    <w:rsid w:val="00F5609C"/>
    <w:rsid w:val="00F56156"/>
    <w:rsid w:val="00F56177"/>
    <w:rsid w:val="00F5621C"/>
    <w:rsid w:val="00F56282"/>
    <w:rsid w:val="00F562D9"/>
    <w:rsid w:val="00F56369"/>
    <w:rsid w:val="00F56382"/>
    <w:rsid w:val="00F563CE"/>
    <w:rsid w:val="00F564BC"/>
    <w:rsid w:val="00F564F7"/>
    <w:rsid w:val="00F565EC"/>
    <w:rsid w:val="00F56698"/>
    <w:rsid w:val="00F56701"/>
    <w:rsid w:val="00F567E9"/>
    <w:rsid w:val="00F567F5"/>
    <w:rsid w:val="00F56913"/>
    <w:rsid w:val="00F56A7A"/>
    <w:rsid w:val="00F56A88"/>
    <w:rsid w:val="00F56D19"/>
    <w:rsid w:val="00F56D72"/>
    <w:rsid w:val="00F56DA8"/>
    <w:rsid w:val="00F56E0D"/>
    <w:rsid w:val="00F57121"/>
    <w:rsid w:val="00F571AC"/>
    <w:rsid w:val="00F571EC"/>
    <w:rsid w:val="00F5720F"/>
    <w:rsid w:val="00F5721A"/>
    <w:rsid w:val="00F57243"/>
    <w:rsid w:val="00F574E6"/>
    <w:rsid w:val="00F57850"/>
    <w:rsid w:val="00F578BD"/>
    <w:rsid w:val="00F57968"/>
    <w:rsid w:val="00F5799B"/>
    <w:rsid w:val="00F579F6"/>
    <w:rsid w:val="00F57D28"/>
    <w:rsid w:val="00F57E82"/>
    <w:rsid w:val="00F57FA6"/>
    <w:rsid w:val="00F60084"/>
    <w:rsid w:val="00F6023D"/>
    <w:rsid w:val="00F60471"/>
    <w:rsid w:val="00F60511"/>
    <w:rsid w:val="00F6061C"/>
    <w:rsid w:val="00F607CA"/>
    <w:rsid w:val="00F607F6"/>
    <w:rsid w:val="00F6085B"/>
    <w:rsid w:val="00F60A5E"/>
    <w:rsid w:val="00F60A91"/>
    <w:rsid w:val="00F60A9F"/>
    <w:rsid w:val="00F60BB5"/>
    <w:rsid w:val="00F60DBA"/>
    <w:rsid w:val="00F60F97"/>
    <w:rsid w:val="00F60FDF"/>
    <w:rsid w:val="00F6111E"/>
    <w:rsid w:val="00F61228"/>
    <w:rsid w:val="00F61309"/>
    <w:rsid w:val="00F61476"/>
    <w:rsid w:val="00F619FA"/>
    <w:rsid w:val="00F61A86"/>
    <w:rsid w:val="00F61AD4"/>
    <w:rsid w:val="00F61D02"/>
    <w:rsid w:val="00F61E18"/>
    <w:rsid w:val="00F62096"/>
    <w:rsid w:val="00F6224A"/>
    <w:rsid w:val="00F6255E"/>
    <w:rsid w:val="00F62795"/>
    <w:rsid w:val="00F627A4"/>
    <w:rsid w:val="00F62904"/>
    <w:rsid w:val="00F62917"/>
    <w:rsid w:val="00F62943"/>
    <w:rsid w:val="00F62A25"/>
    <w:rsid w:val="00F62A9A"/>
    <w:rsid w:val="00F62A9D"/>
    <w:rsid w:val="00F62AEE"/>
    <w:rsid w:val="00F62D7C"/>
    <w:rsid w:val="00F62E22"/>
    <w:rsid w:val="00F62EBB"/>
    <w:rsid w:val="00F62F3A"/>
    <w:rsid w:val="00F6309F"/>
    <w:rsid w:val="00F630E4"/>
    <w:rsid w:val="00F631B0"/>
    <w:rsid w:val="00F63334"/>
    <w:rsid w:val="00F633AB"/>
    <w:rsid w:val="00F633DE"/>
    <w:rsid w:val="00F634C3"/>
    <w:rsid w:val="00F63590"/>
    <w:rsid w:val="00F6374D"/>
    <w:rsid w:val="00F637EC"/>
    <w:rsid w:val="00F63905"/>
    <w:rsid w:val="00F63AD4"/>
    <w:rsid w:val="00F63C58"/>
    <w:rsid w:val="00F63EE7"/>
    <w:rsid w:val="00F64457"/>
    <w:rsid w:val="00F645B0"/>
    <w:rsid w:val="00F645BD"/>
    <w:rsid w:val="00F64662"/>
    <w:rsid w:val="00F64A04"/>
    <w:rsid w:val="00F64C83"/>
    <w:rsid w:val="00F64C87"/>
    <w:rsid w:val="00F64EDA"/>
    <w:rsid w:val="00F65070"/>
    <w:rsid w:val="00F650A8"/>
    <w:rsid w:val="00F65180"/>
    <w:rsid w:val="00F65285"/>
    <w:rsid w:val="00F654E1"/>
    <w:rsid w:val="00F654E4"/>
    <w:rsid w:val="00F6558C"/>
    <w:rsid w:val="00F655C5"/>
    <w:rsid w:val="00F6561B"/>
    <w:rsid w:val="00F6565D"/>
    <w:rsid w:val="00F65703"/>
    <w:rsid w:val="00F657A9"/>
    <w:rsid w:val="00F65A51"/>
    <w:rsid w:val="00F65BC2"/>
    <w:rsid w:val="00F65D9B"/>
    <w:rsid w:val="00F65F04"/>
    <w:rsid w:val="00F65F2A"/>
    <w:rsid w:val="00F661DE"/>
    <w:rsid w:val="00F66281"/>
    <w:rsid w:val="00F6628F"/>
    <w:rsid w:val="00F6639E"/>
    <w:rsid w:val="00F66738"/>
    <w:rsid w:val="00F6681A"/>
    <w:rsid w:val="00F6687C"/>
    <w:rsid w:val="00F669F8"/>
    <w:rsid w:val="00F66CFF"/>
    <w:rsid w:val="00F66D3E"/>
    <w:rsid w:val="00F66DE3"/>
    <w:rsid w:val="00F66E88"/>
    <w:rsid w:val="00F67013"/>
    <w:rsid w:val="00F670F3"/>
    <w:rsid w:val="00F6712A"/>
    <w:rsid w:val="00F6725D"/>
    <w:rsid w:val="00F673A2"/>
    <w:rsid w:val="00F67438"/>
    <w:rsid w:val="00F674D8"/>
    <w:rsid w:val="00F678AB"/>
    <w:rsid w:val="00F678C9"/>
    <w:rsid w:val="00F678E5"/>
    <w:rsid w:val="00F67BC1"/>
    <w:rsid w:val="00F67BF9"/>
    <w:rsid w:val="00F67D94"/>
    <w:rsid w:val="00F67D9D"/>
    <w:rsid w:val="00F7003F"/>
    <w:rsid w:val="00F70060"/>
    <w:rsid w:val="00F70095"/>
    <w:rsid w:val="00F700FE"/>
    <w:rsid w:val="00F7020D"/>
    <w:rsid w:val="00F702D0"/>
    <w:rsid w:val="00F702F1"/>
    <w:rsid w:val="00F70364"/>
    <w:rsid w:val="00F704DD"/>
    <w:rsid w:val="00F70548"/>
    <w:rsid w:val="00F7059C"/>
    <w:rsid w:val="00F70807"/>
    <w:rsid w:val="00F70AA2"/>
    <w:rsid w:val="00F70AB4"/>
    <w:rsid w:val="00F70ADD"/>
    <w:rsid w:val="00F70E6D"/>
    <w:rsid w:val="00F71132"/>
    <w:rsid w:val="00F71171"/>
    <w:rsid w:val="00F7123C"/>
    <w:rsid w:val="00F71268"/>
    <w:rsid w:val="00F712DE"/>
    <w:rsid w:val="00F7143B"/>
    <w:rsid w:val="00F71523"/>
    <w:rsid w:val="00F717E1"/>
    <w:rsid w:val="00F717ED"/>
    <w:rsid w:val="00F718B9"/>
    <w:rsid w:val="00F718D9"/>
    <w:rsid w:val="00F71C31"/>
    <w:rsid w:val="00F71CD5"/>
    <w:rsid w:val="00F71F23"/>
    <w:rsid w:val="00F72059"/>
    <w:rsid w:val="00F721DF"/>
    <w:rsid w:val="00F7223D"/>
    <w:rsid w:val="00F7239F"/>
    <w:rsid w:val="00F723E7"/>
    <w:rsid w:val="00F72427"/>
    <w:rsid w:val="00F725BB"/>
    <w:rsid w:val="00F728AF"/>
    <w:rsid w:val="00F728EF"/>
    <w:rsid w:val="00F729A4"/>
    <w:rsid w:val="00F72A79"/>
    <w:rsid w:val="00F72C63"/>
    <w:rsid w:val="00F72CEB"/>
    <w:rsid w:val="00F72DB0"/>
    <w:rsid w:val="00F72EDD"/>
    <w:rsid w:val="00F72F13"/>
    <w:rsid w:val="00F72F14"/>
    <w:rsid w:val="00F73037"/>
    <w:rsid w:val="00F730A8"/>
    <w:rsid w:val="00F731D7"/>
    <w:rsid w:val="00F732A9"/>
    <w:rsid w:val="00F7335D"/>
    <w:rsid w:val="00F73569"/>
    <w:rsid w:val="00F73607"/>
    <w:rsid w:val="00F73613"/>
    <w:rsid w:val="00F73656"/>
    <w:rsid w:val="00F73850"/>
    <w:rsid w:val="00F73884"/>
    <w:rsid w:val="00F738DB"/>
    <w:rsid w:val="00F7396A"/>
    <w:rsid w:val="00F73BDC"/>
    <w:rsid w:val="00F73D84"/>
    <w:rsid w:val="00F73DA1"/>
    <w:rsid w:val="00F74219"/>
    <w:rsid w:val="00F7431F"/>
    <w:rsid w:val="00F7450E"/>
    <w:rsid w:val="00F7474A"/>
    <w:rsid w:val="00F74763"/>
    <w:rsid w:val="00F74BB4"/>
    <w:rsid w:val="00F74C3B"/>
    <w:rsid w:val="00F74CD7"/>
    <w:rsid w:val="00F74E87"/>
    <w:rsid w:val="00F7503C"/>
    <w:rsid w:val="00F751FE"/>
    <w:rsid w:val="00F75450"/>
    <w:rsid w:val="00F7550F"/>
    <w:rsid w:val="00F756BA"/>
    <w:rsid w:val="00F75770"/>
    <w:rsid w:val="00F7586B"/>
    <w:rsid w:val="00F75997"/>
    <w:rsid w:val="00F75A00"/>
    <w:rsid w:val="00F75C73"/>
    <w:rsid w:val="00F75CE5"/>
    <w:rsid w:val="00F75D88"/>
    <w:rsid w:val="00F75F41"/>
    <w:rsid w:val="00F7623F"/>
    <w:rsid w:val="00F7627B"/>
    <w:rsid w:val="00F764EA"/>
    <w:rsid w:val="00F764F0"/>
    <w:rsid w:val="00F76522"/>
    <w:rsid w:val="00F7657C"/>
    <w:rsid w:val="00F765DC"/>
    <w:rsid w:val="00F7667F"/>
    <w:rsid w:val="00F76681"/>
    <w:rsid w:val="00F76769"/>
    <w:rsid w:val="00F76A34"/>
    <w:rsid w:val="00F76DBA"/>
    <w:rsid w:val="00F76E39"/>
    <w:rsid w:val="00F76F67"/>
    <w:rsid w:val="00F77025"/>
    <w:rsid w:val="00F7714A"/>
    <w:rsid w:val="00F77184"/>
    <w:rsid w:val="00F771A4"/>
    <w:rsid w:val="00F771E5"/>
    <w:rsid w:val="00F773A4"/>
    <w:rsid w:val="00F773B3"/>
    <w:rsid w:val="00F77476"/>
    <w:rsid w:val="00F774B8"/>
    <w:rsid w:val="00F774D0"/>
    <w:rsid w:val="00F77603"/>
    <w:rsid w:val="00F77726"/>
    <w:rsid w:val="00F77758"/>
    <w:rsid w:val="00F77965"/>
    <w:rsid w:val="00F77A2A"/>
    <w:rsid w:val="00F77B16"/>
    <w:rsid w:val="00F77BFD"/>
    <w:rsid w:val="00F77E48"/>
    <w:rsid w:val="00F77FB1"/>
    <w:rsid w:val="00F77FC7"/>
    <w:rsid w:val="00F800F6"/>
    <w:rsid w:val="00F801A7"/>
    <w:rsid w:val="00F80517"/>
    <w:rsid w:val="00F80593"/>
    <w:rsid w:val="00F8060E"/>
    <w:rsid w:val="00F80768"/>
    <w:rsid w:val="00F8095E"/>
    <w:rsid w:val="00F80A1B"/>
    <w:rsid w:val="00F80AD0"/>
    <w:rsid w:val="00F80CA6"/>
    <w:rsid w:val="00F80D90"/>
    <w:rsid w:val="00F80EB6"/>
    <w:rsid w:val="00F80F85"/>
    <w:rsid w:val="00F80FB9"/>
    <w:rsid w:val="00F81161"/>
    <w:rsid w:val="00F8119E"/>
    <w:rsid w:val="00F8128D"/>
    <w:rsid w:val="00F81365"/>
    <w:rsid w:val="00F81532"/>
    <w:rsid w:val="00F818DB"/>
    <w:rsid w:val="00F818DE"/>
    <w:rsid w:val="00F81AFE"/>
    <w:rsid w:val="00F81B1F"/>
    <w:rsid w:val="00F81B3D"/>
    <w:rsid w:val="00F81E1D"/>
    <w:rsid w:val="00F81E1F"/>
    <w:rsid w:val="00F81E96"/>
    <w:rsid w:val="00F81F3A"/>
    <w:rsid w:val="00F8237F"/>
    <w:rsid w:val="00F825A6"/>
    <w:rsid w:val="00F827AC"/>
    <w:rsid w:val="00F82994"/>
    <w:rsid w:val="00F82A0A"/>
    <w:rsid w:val="00F82A76"/>
    <w:rsid w:val="00F82C21"/>
    <w:rsid w:val="00F82CD9"/>
    <w:rsid w:val="00F82D80"/>
    <w:rsid w:val="00F82EFD"/>
    <w:rsid w:val="00F82F35"/>
    <w:rsid w:val="00F8313F"/>
    <w:rsid w:val="00F832B8"/>
    <w:rsid w:val="00F8334C"/>
    <w:rsid w:val="00F834D6"/>
    <w:rsid w:val="00F83655"/>
    <w:rsid w:val="00F83927"/>
    <w:rsid w:val="00F83ADF"/>
    <w:rsid w:val="00F83C42"/>
    <w:rsid w:val="00F83E76"/>
    <w:rsid w:val="00F83F44"/>
    <w:rsid w:val="00F840B4"/>
    <w:rsid w:val="00F840E7"/>
    <w:rsid w:val="00F84414"/>
    <w:rsid w:val="00F84568"/>
    <w:rsid w:val="00F84666"/>
    <w:rsid w:val="00F848BC"/>
    <w:rsid w:val="00F8490B"/>
    <w:rsid w:val="00F84984"/>
    <w:rsid w:val="00F849C3"/>
    <w:rsid w:val="00F84C11"/>
    <w:rsid w:val="00F84CC6"/>
    <w:rsid w:val="00F84D56"/>
    <w:rsid w:val="00F84DFA"/>
    <w:rsid w:val="00F84F7F"/>
    <w:rsid w:val="00F8502B"/>
    <w:rsid w:val="00F850B0"/>
    <w:rsid w:val="00F8513B"/>
    <w:rsid w:val="00F8527D"/>
    <w:rsid w:val="00F85298"/>
    <w:rsid w:val="00F85563"/>
    <w:rsid w:val="00F857B9"/>
    <w:rsid w:val="00F8584F"/>
    <w:rsid w:val="00F8589D"/>
    <w:rsid w:val="00F85990"/>
    <w:rsid w:val="00F85C69"/>
    <w:rsid w:val="00F85DEE"/>
    <w:rsid w:val="00F85F22"/>
    <w:rsid w:val="00F8608D"/>
    <w:rsid w:val="00F86103"/>
    <w:rsid w:val="00F861D4"/>
    <w:rsid w:val="00F86416"/>
    <w:rsid w:val="00F86558"/>
    <w:rsid w:val="00F8659D"/>
    <w:rsid w:val="00F867B0"/>
    <w:rsid w:val="00F867C8"/>
    <w:rsid w:val="00F86AB0"/>
    <w:rsid w:val="00F86C4D"/>
    <w:rsid w:val="00F86CAC"/>
    <w:rsid w:val="00F86D3A"/>
    <w:rsid w:val="00F86EC5"/>
    <w:rsid w:val="00F86F75"/>
    <w:rsid w:val="00F871D8"/>
    <w:rsid w:val="00F8731A"/>
    <w:rsid w:val="00F87419"/>
    <w:rsid w:val="00F875F1"/>
    <w:rsid w:val="00F875FF"/>
    <w:rsid w:val="00F87822"/>
    <w:rsid w:val="00F87885"/>
    <w:rsid w:val="00F87A69"/>
    <w:rsid w:val="00F87A9C"/>
    <w:rsid w:val="00F87F82"/>
    <w:rsid w:val="00F9003E"/>
    <w:rsid w:val="00F90151"/>
    <w:rsid w:val="00F90473"/>
    <w:rsid w:val="00F904DB"/>
    <w:rsid w:val="00F90549"/>
    <w:rsid w:val="00F905A0"/>
    <w:rsid w:val="00F907B1"/>
    <w:rsid w:val="00F909CC"/>
    <w:rsid w:val="00F90AA6"/>
    <w:rsid w:val="00F90C1A"/>
    <w:rsid w:val="00F90D1A"/>
    <w:rsid w:val="00F90D41"/>
    <w:rsid w:val="00F90DD7"/>
    <w:rsid w:val="00F90FDE"/>
    <w:rsid w:val="00F90FE7"/>
    <w:rsid w:val="00F91266"/>
    <w:rsid w:val="00F912A9"/>
    <w:rsid w:val="00F915E4"/>
    <w:rsid w:val="00F9180A"/>
    <w:rsid w:val="00F919B8"/>
    <w:rsid w:val="00F91B11"/>
    <w:rsid w:val="00F91B78"/>
    <w:rsid w:val="00F91C35"/>
    <w:rsid w:val="00F91E93"/>
    <w:rsid w:val="00F91E9B"/>
    <w:rsid w:val="00F91EED"/>
    <w:rsid w:val="00F920E6"/>
    <w:rsid w:val="00F921BA"/>
    <w:rsid w:val="00F921F2"/>
    <w:rsid w:val="00F922CC"/>
    <w:rsid w:val="00F922CD"/>
    <w:rsid w:val="00F924AD"/>
    <w:rsid w:val="00F92622"/>
    <w:rsid w:val="00F926D7"/>
    <w:rsid w:val="00F92766"/>
    <w:rsid w:val="00F92AE5"/>
    <w:rsid w:val="00F92AFF"/>
    <w:rsid w:val="00F92C53"/>
    <w:rsid w:val="00F92DC3"/>
    <w:rsid w:val="00F93095"/>
    <w:rsid w:val="00F9319A"/>
    <w:rsid w:val="00F932E2"/>
    <w:rsid w:val="00F9337E"/>
    <w:rsid w:val="00F93488"/>
    <w:rsid w:val="00F935A0"/>
    <w:rsid w:val="00F9371D"/>
    <w:rsid w:val="00F938E3"/>
    <w:rsid w:val="00F9399D"/>
    <w:rsid w:val="00F93A8C"/>
    <w:rsid w:val="00F93C39"/>
    <w:rsid w:val="00F93EEC"/>
    <w:rsid w:val="00F93FB7"/>
    <w:rsid w:val="00F94078"/>
    <w:rsid w:val="00F94244"/>
    <w:rsid w:val="00F943EA"/>
    <w:rsid w:val="00F94571"/>
    <w:rsid w:val="00F94A9C"/>
    <w:rsid w:val="00F94B8F"/>
    <w:rsid w:val="00F94CF9"/>
    <w:rsid w:val="00F94D04"/>
    <w:rsid w:val="00F94DCC"/>
    <w:rsid w:val="00F94F44"/>
    <w:rsid w:val="00F95209"/>
    <w:rsid w:val="00F9529A"/>
    <w:rsid w:val="00F953D9"/>
    <w:rsid w:val="00F954D5"/>
    <w:rsid w:val="00F9559A"/>
    <w:rsid w:val="00F957F3"/>
    <w:rsid w:val="00F95828"/>
    <w:rsid w:val="00F95A48"/>
    <w:rsid w:val="00F95B86"/>
    <w:rsid w:val="00F95C13"/>
    <w:rsid w:val="00F95CD2"/>
    <w:rsid w:val="00F96054"/>
    <w:rsid w:val="00F9611E"/>
    <w:rsid w:val="00F96212"/>
    <w:rsid w:val="00F96328"/>
    <w:rsid w:val="00F9634E"/>
    <w:rsid w:val="00F96403"/>
    <w:rsid w:val="00F964BA"/>
    <w:rsid w:val="00F96568"/>
    <w:rsid w:val="00F967CA"/>
    <w:rsid w:val="00F96904"/>
    <w:rsid w:val="00F96BED"/>
    <w:rsid w:val="00F96C78"/>
    <w:rsid w:val="00F96D06"/>
    <w:rsid w:val="00F96DF5"/>
    <w:rsid w:val="00F96E39"/>
    <w:rsid w:val="00F96E5E"/>
    <w:rsid w:val="00F97037"/>
    <w:rsid w:val="00F9711A"/>
    <w:rsid w:val="00F972D0"/>
    <w:rsid w:val="00F97323"/>
    <w:rsid w:val="00F97327"/>
    <w:rsid w:val="00F9732E"/>
    <w:rsid w:val="00F973C5"/>
    <w:rsid w:val="00F974ED"/>
    <w:rsid w:val="00F97586"/>
    <w:rsid w:val="00F976B9"/>
    <w:rsid w:val="00F97784"/>
    <w:rsid w:val="00F978AE"/>
    <w:rsid w:val="00F97913"/>
    <w:rsid w:val="00F979F7"/>
    <w:rsid w:val="00F97B67"/>
    <w:rsid w:val="00F97C17"/>
    <w:rsid w:val="00F97CDE"/>
    <w:rsid w:val="00F97CF5"/>
    <w:rsid w:val="00F97D26"/>
    <w:rsid w:val="00F97E92"/>
    <w:rsid w:val="00F97FB0"/>
    <w:rsid w:val="00FA0183"/>
    <w:rsid w:val="00FA0293"/>
    <w:rsid w:val="00FA0350"/>
    <w:rsid w:val="00FA062E"/>
    <w:rsid w:val="00FA071F"/>
    <w:rsid w:val="00FA0930"/>
    <w:rsid w:val="00FA09E3"/>
    <w:rsid w:val="00FA0B19"/>
    <w:rsid w:val="00FA0C2C"/>
    <w:rsid w:val="00FA0CF1"/>
    <w:rsid w:val="00FA0D9B"/>
    <w:rsid w:val="00FA0DB5"/>
    <w:rsid w:val="00FA0E3C"/>
    <w:rsid w:val="00FA1047"/>
    <w:rsid w:val="00FA10D6"/>
    <w:rsid w:val="00FA120A"/>
    <w:rsid w:val="00FA1741"/>
    <w:rsid w:val="00FA19B6"/>
    <w:rsid w:val="00FA1AF8"/>
    <w:rsid w:val="00FA1BB5"/>
    <w:rsid w:val="00FA1F7C"/>
    <w:rsid w:val="00FA2042"/>
    <w:rsid w:val="00FA24E6"/>
    <w:rsid w:val="00FA27BD"/>
    <w:rsid w:val="00FA27BF"/>
    <w:rsid w:val="00FA2866"/>
    <w:rsid w:val="00FA28C6"/>
    <w:rsid w:val="00FA292B"/>
    <w:rsid w:val="00FA2931"/>
    <w:rsid w:val="00FA2953"/>
    <w:rsid w:val="00FA29F4"/>
    <w:rsid w:val="00FA2B89"/>
    <w:rsid w:val="00FA2BCA"/>
    <w:rsid w:val="00FA2C1B"/>
    <w:rsid w:val="00FA2DF2"/>
    <w:rsid w:val="00FA2EA3"/>
    <w:rsid w:val="00FA2F17"/>
    <w:rsid w:val="00FA2F49"/>
    <w:rsid w:val="00FA3017"/>
    <w:rsid w:val="00FA3043"/>
    <w:rsid w:val="00FA3345"/>
    <w:rsid w:val="00FA34C5"/>
    <w:rsid w:val="00FA3590"/>
    <w:rsid w:val="00FA372C"/>
    <w:rsid w:val="00FA3891"/>
    <w:rsid w:val="00FA390B"/>
    <w:rsid w:val="00FA3C29"/>
    <w:rsid w:val="00FA3DFC"/>
    <w:rsid w:val="00FA3EE0"/>
    <w:rsid w:val="00FA3FF9"/>
    <w:rsid w:val="00FA4088"/>
    <w:rsid w:val="00FA43CF"/>
    <w:rsid w:val="00FA44EF"/>
    <w:rsid w:val="00FA452E"/>
    <w:rsid w:val="00FA4547"/>
    <w:rsid w:val="00FA45AE"/>
    <w:rsid w:val="00FA4661"/>
    <w:rsid w:val="00FA466E"/>
    <w:rsid w:val="00FA469F"/>
    <w:rsid w:val="00FA46F0"/>
    <w:rsid w:val="00FA4AEC"/>
    <w:rsid w:val="00FA4B19"/>
    <w:rsid w:val="00FA4B3A"/>
    <w:rsid w:val="00FA4C4B"/>
    <w:rsid w:val="00FA501D"/>
    <w:rsid w:val="00FA5027"/>
    <w:rsid w:val="00FA5230"/>
    <w:rsid w:val="00FA52E6"/>
    <w:rsid w:val="00FA5355"/>
    <w:rsid w:val="00FA54F9"/>
    <w:rsid w:val="00FA5618"/>
    <w:rsid w:val="00FA5622"/>
    <w:rsid w:val="00FA569D"/>
    <w:rsid w:val="00FA56BD"/>
    <w:rsid w:val="00FA5BEC"/>
    <w:rsid w:val="00FA626C"/>
    <w:rsid w:val="00FA63B4"/>
    <w:rsid w:val="00FA644A"/>
    <w:rsid w:val="00FA646B"/>
    <w:rsid w:val="00FA6499"/>
    <w:rsid w:val="00FA64CA"/>
    <w:rsid w:val="00FA64D9"/>
    <w:rsid w:val="00FA6932"/>
    <w:rsid w:val="00FA693E"/>
    <w:rsid w:val="00FA6BE0"/>
    <w:rsid w:val="00FA6C86"/>
    <w:rsid w:val="00FA6D52"/>
    <w:rsid w:val="00FA6D8B"/>
    <w:rsid w:val="00FA6FE3"/>
    <w:rsid w:val="00FA7084"/>
    <w:rsid w:val="00FA7117"/>
    <w:rsid w:val="00FA731E"/>
    <w:rsid w:val="00FA73CA"/>
    <w:rsid w:val="00FA74F2"/>
    <w:rsid w:val="00FA752F"/>
    <w:rsid w:val="00FA7739"/>
    <w:rsid w:val="00FA784C"/>
    <w:rsid w:val="00FA784F"/>
    <w:rsid w:val="00FA791A"/>
    <w:rsid w:val="00FA794D"/>
    <w:rsid w:val="00FA79B2"/>
    <w:rsid w:val="00FA7A61"/>
    <w:rsid w:val="00FA7ACB"/>
    <w:rsid w:val="00FA7B2A"/>
    <w:rsid w:val="00FA7BD3"/>
    <w:rsid w:val="00FA7EB1"/>
    <w:rsid w:val="00FB00FB"/>
    <w:rsid w:val="00FB0430"/>
    <w:rsid w:val="00FB0992"/>
    <w:rsid w:val="00FB0A21"/>
    <w:rsid w:val="00FB0AC2"/>
    <w:rsid w:val="00FB0B0F"/>
    <w:rsid w:val="00FB0BD1"/>
    <w:rsid w:val="00FB0D42"/>
    <w:rsid w:val="00FB0DA3"/>
    <w:rsid w:val="00FB0E60"/>
    <w:rsid w:val="00FB0F1E"/>
    <w:rsid w:val="00FB1190"/>
    <w:rsid w:val="00FB1199"/>
    <w:rsid w:val="00FB11B6"/>
    <w:rsid w:val="00FB12D7"/>
    <w:rsid w:val="00FB1597"/>
    <w:rsid w:val="00FB15CE"/>
    <w:rsid w:val="00FB1625"/>
    <w:rsid w:val="00FB16C2"/>
    <w:rsid w:val="00FB18C0"/>
    <w:rsid w:val="00FB1B34"/>
    <w:rsid w:val="00FB1FC7"/>
    <w:rsid w:val="00FB208D"/>
    <w:rsid w:val="00FB2227"/>
    <w:rsid w:val="00FB2398"/>
    <w:rsid w:val="00FB23AB"/>
    <w:rsid w:val="00FB242E"/>
    <w:rsid w:val="00FB249C"/>
    <w:rsid w:val="00FB2535"/>
    <w:rsid w:val="00FB26E2"/>
    <w:rsid w:val="00FB27EF"/>
    <w:rsid w:val="00FB2874"/>
    <w:rsid w:val="00FB2922"/>
    <w:rsid w:val="00FB29B8"/>
    <w:rsid w:val="00FB2AB1"/>
    <w:rsid w:val="00FB2C26"/>
    <w:rsid w:val="00FB2C98"/>
    <w:rsid w:val="00FB2CA7"/>
    <w:rsid w:val="00FB2D81"/>
    <w:rsid w:val="00FB2DBE"/>
    <w:rsid w:val="00FB2ED5"/>
    <w:rsid w:val="00FB2F84"/>
    <w:rsid w:val="00FB30EB"/>
    <w:rsid w:val="00FB30FF"/>
    <w:rsid w:val="00FB32DB"/>
    <w:rsid w:val="00FB369B"/>
    <w:rsid w:val="00FB37A7"/>
    <w:rsid w:val="00FB38BE"/>
    <w:rsid w:val="00FB3991"/>
    <w:rsid w:val="00FB3A5E"/>
    <w:rsid w:val="00FB3B40"/>
    <w:rsid w:val="00FB3BBE"/>
    <w:rsid w:val="00FB3CAB"/>
    <w:rsid w:val="00FB3D88"/>
    <w:rsid w:val="00FB3DB7"/>
    <w:rsid w:val="00FB3DC9"/>
    <w:rsid w:val="00FB3E26"/>
    <w:rsid w:val="00FB3E68"/>
    <w:rsid w:val="00FB3EAE"/>
    <w:rsid w:val="00FB3FA0"/>
    <w:rsid w:val="00FB3FD8"/>
    <w:rsid w:val="00FB42E9"/>
    <w:rsid w:val="00FB43E0"/>
    <w:rsid w:val="00FB4595"/>
    <w:rsid w:val="00FB4741"/>
    <w:rsid w:val="00FB47AC"/>
    <w:rsid w:val="00FB481F"/>
    <w:rsid w:val="00FB4901"/>
    <w:rsid w:val="00FB49CB"/>
    <w:rsid w:val="00FB4BC1"/>
    <w:rsid w:val="00FB4C4C"/>
    <w:rsid w:val="00FB4C50"/>
    <w:rsid w:val="00FB4FA6"/>
    <w:rsid w:val="00FB4FCE"/>
    <w:rsid w:val="00FB5021"/>
    <w:rsid w:val="00FB5169"/>
    <w:rsid w:val="00FB537F"/>
    <w:rsid w:val="00FB54EF"/>
    <w:rsid w:val="00FB5507"/>
    <w:rsid w:val="00FB5550"/>
    <w:rsid w:val="00FB55B4"/>
    <w:rsid w:val="00FB55C2"/>
    <w:rsid w:val="00FB5706"/>
    <w:rsid w:val="00FB57D4"/>
    <w:rsid w:val="00FB5866"/>
    <w:rsid w:val="00FB586E"/>
    <w:rsid w:val="00FB5A3A"/>
    <w:rsid w:val="00FB5A52"/>
    <w:rsid w:val="00FB5BCD"/>
    <w:rsid w:val="00FB5BE5"/>
    <w:rsid w:val="00FB5D66"/>
    <w:rsid w:val="00FB5EA0"/>
    <w:rsid w:val="00FB5FDC"/>
    <w:rsid w:val="00FB5FE1"/>
    <w:rsid w:val="00FB5FF3"/>
    <w:rsid w:val="00FB614C"/>
    <w:rsid w:val="00FB6215"/>
    <w:rsid w:val="00FB664C"/>
    <w:rsid w:val="00FB669A"/>
    <w:rsid w:val="00FB66B0"/>
    <w:rsid w:val="00FB6A56"/>
    <w:rsid w:val="00FB6ADC"/>
    <w:rsid w:val="00FB6CA3"/>
    <w:rsid w:val="00FB6D11"/>
    <w:rsid w:val="00FB6D21"/>
    <w:rsid w:val="00FB6EBD"/>
    <w:rsid w:val="00FB7044"/>
    <w:rsid w:val="00FB71EF"/>
    <w:rsid w:val="00FB7326"/>
    <w:rsid w:val="00FB756A"/>
    <w:rsid w:val="00FB76E6"/>
    <w:rsid w:val="00FB7813"/>
    <w:rsid w:val="00FB782A"/>
    <w:rsid w:val="00FB78A9"/>
    <w:rsid w:val="00FB7BDD"/>
    <w:rsid w:val="00FB7E6D"/>
    <w:rsid w:val="00FC0051"/>
    <w:rsid w:val="00FC0182"/>
    <w:rsid w:val="00FC0239"/>
    <w:rsid w:val="00FC0320"/>
    <w:rsid w:val="00FC0435"/>
    <w:rsid w:val="00FC09EE"/>
    <w:rsid w:val="00FC0EC0"/>
    <w:rsid w:val="00FC1184"/>
    <w:rsid w:val="00FC1240"/>
    <w:rsid w:val="00FC1319"/>
    <w:rsid w:val="00FC1326"/>
    <w:rsid w:val="00FC1463"/>
    <w:rsid w:val="00FC1572"/>
    <w:rsid w:val="00FC16EB"/>
    <w:rsid w:val="00FC175B"/>
    <w:rsid w:val="00FC18CE"/>
    <w:rsid w:val="00FC1926"/>
    <w:rsid w:val="00FC1B22"/>
    <w:rsid w:val="00FC1B5E"/>
    <w:rsid w:val="00FC1BE6"/>
    <w:rsid w:val="00FC1D8C"/>
    <w:rsid w:val="00FC1D95"/>
    <w:rsid w:val="00FC1FD1"/>
    <w:rsid w:val="00FC202B"/>
    <w:rsid w:val="00FC20D3"/>
    <w:rsid w:val="00FC21A3"/>
    <w:rsid w:val="00FC223C"/>
    <w:rsid w:val="00FC22BB"/>
    <w:rsid w:val="00FC2892"/>
    <w:rsid w:val="00FC2DC3"/>
    <w:rsid w:val="00FC2F6E"/>
    <w:rsid w:val="00FC3114"/>
    <w:rsid w:val="00FC3269"/>
    <w:rsid w:val="00FC343C"/>
    <w:rsid w:val="00FC3458"/>
    <w:rsid w:val="00FC3488"/>
    <w:rsid w:val="00FC3611"/>
    <w:rsid w:val="00FC3619"/>
    <w:rsid w:val="00FC3837"/>
    <w:rsid w:val="00FC38B3"/>
    <w:rsid w:val="00FC3B5A"/>
    <w:rsid w:val="00FC3C05"/>
    <w:rsid w:val="00FC3C24"/>
    <w:rsid w:val="00FC3C3D"/>
    <w:rsid w:val="00FC3CB7"/>
    <w:rsid w:val="00FC3EA3"/>
    <w:rsid w:val="00FC3EB9"/>
    <w:rsid w:val="00FC3F50"/>
    <w:rsid w:val="00FC4046"/>
    <w:rsid w:val="00FC4132"/>
    <w:rsid w:val="00FC4258"/>
    <w:rsid w:val="00FC4339"/>
    <w:rsid w:val="00FC43B4"/>
    <w:rsid w:val="00FC4413"/>
    <w:rsid w:val="00FC4449"/>
    <w:rsid w:val="00FC4461"/>
    <w:rsid w:val="00FC4483"/>
    <w:rsid w:val="00FC44A0"/>
    <w:rsid w:val="00FC453F"/>
    <w:rsid w:val="00FC4765"/>
    <w:rsid w:val="00FC479C"/>
    <w:rsid w:val="00FC484F"/>
    <w:rsid w:val="00FC49E1"/>
    <w:rsid w:val="00FC4AB0"/>
    <w:rsid w:val="00FC4AD2"/>
    <w:rsid w:val="00FC4B97"/>
    <w:rsid w:val="00FC4BB3"/>
    <w:rsid w:val="00FC4CE5"/>
    <w:rsid w:val="00FC4D74"/>
    <w:rsid w:val="00FC4EC2"/>
    <w:rsid w:val="00FC4FDF"/>
    <w:rsid w:val="00FC5088"/>
    <w:rsid w:val="00FC510E"/>
    <w:rsid w:val="00FC512E"/>
    <w:rsid w:val="00FC5305"/>
    <w:rsid w:val="00FC5519"/>
    <w:rsid w:val="00FC553C"/>
    <w:rsid w:val="00FC5A48"/>
    <w:rsid w:val="00FC5C9C"/>
    <w:rsid w:val="00FC5E0C"/>
    <w:rsid w:val="00FC5FA3"/>
    <w:rsid w:val="00FC619E"/>
    <w:rsid w:val="00FC62C2"/>
    <w:rsid w:val="00FC6504"/>
    <w:rsid w:val="00FC6938"/>
    <w:rsid w:val="00FC6AC6"/>
    <w:rsid w:val="00FC6B3C"/>
    <w:rsid w:val="00FC6D29"/>
    <w:rsid w:val="00FC6E2D"/>
    <w:rsid w:val="00FC708A"/>
    <w:rsid w:val="00FC739F"/>
    <w:rsid w:val="00FC73BF"/>
    <w:rsid w:val="00FC7554"/>
    <w:rsid w:val="00FC771C"/>
    <w:rsid w:val="00FC785A"/>
    <w:rsid w:val="00FC7DE1"/>
    <w:rsid w:val="00FC7EB1"/>
    <w:rsid w:val="00FC7F17"/>
    <w:rsid w:val="00FD0005"/>
    <w:rsid w:val="00FD05A0"/>
    <w:rsid w:val="00FD0783"/>
    <w:rsid w:val="00FD0966"/>
    <w:rsid w:val="00FD0969"/>
    <w:rsid w:val="00FD0B2B"/>
    <w:rsid w:val="00FD0DC2"/>
    <w:rsid w:val="00FD0DC3"/>
    <w:rsid w:val="00FD0F02"/>
    <w:rsid w:val="00FD0F7F"/>
    <w:rsid w:val="00FD110E"/>
    <w:rsid w:val="00FD13F3"/>
    <w:rsid w:val="00FD148F"/>
    <w:rsid w:val="00FD157B"/>
    <w:rsid w:val="00FD1805"/>
    <w:rsid w:val="00FD1D61"/>
    <w:rsid w:val="00FD1EB4"/>
    <w:rsid w:val="00FD1F6C"/>
    <w:rsid w:val="00FD2049"/>
    <w:rsid w:val="00FD2441"/>
    <w:rsid w:val="00FD26A8"/>
    <w:rsid w:val="00FD2A8C"/>
    <w:rsid w:val="00FD2B3C"/>
    <w:rsid w:val="00FD2BC4"/>
    <w:rsid w:val="00FD2BCA"/>
    <w:rsid w:val="00FD2D53"/>
    <w:rsid w:val="00FD2DE9"/>
    <w:rsid w:val="00FD2EC4"/>
    <w:rsid w:val="00FD2EED"/>
    <w:rsid w:val="00FD2F0A"/>
    <w:rsid w:val="00FD2F47"/>
    <w:rsid w:val="00FD30C2"/>
    <w:rsid w:val="00FD3293"/>
    <w:rsid w:val="00FD34D9"/>
    <w:rsid w:val="00FD3564"/>
    <w:rsid w:val="00FD35F0"/>
    <w:rsid w:val="00FD38CB"/>
    <w:rsid w:val="00FD3D12"/>
    <w:rsid w:val="00FD3E0B"/>
    <w:rsid w:val="00FD3F30"/>
    <w:rsid w:val="00FD3F7B"/>
    <w:rsid w:val="00FD3FF8"/>
    <w:rsid w:val="00FD40EF"/>
    <w:rsid w:val="00FD4515"/>
    <w:rsid w:val="00FD4534"/>
    <w:rsid w:val="00FD48A6"/>
    <w:rsid w:val="00FD4993"/>
    <w:rsid w:val="00FD4BBD"/>
    <w:rsid w:val="00FD4C05"/>
    <w:rsid w:val="00FD4DA7"/>
    <w:rsid w:val="00FD4DFC"/>
    <w:rsid w:val="00FD4FB2"/>
    <w:rsid w:val="00FD5012"/>
    <w:rsid w:val="00FD5143"/>
    <w:rsid w:val="00FD51A3"/>
    <w:rsid w:val="00FD5218"/>
    <w:rsid w:val="00FD52C3"/>
    <w:rsid w:val="00FD5551"/>
    <w:rsid w:val="00FD55D0"/>
    <w:rsid w:val="00FD5840"/>
    <w:rsid w:val="00FD5918"/>
    <w:rsid w:val="00FD5990"/>
    <w:rsid w:val="00FD5A69"/>
    <w:rsid w:val="00FD5E76"/>
    <w:rsid w:val="00FD5FF7"/>
    <w:rsid w:val="00FD60E8"/>
    <w:rsid w:val="00FD61DA"/>
    <w:rsid w:val="00FD623B"/>
    <w:rsid w:val="00FD629F"/>
    <w:rsid w:val="00FD6339"/>
    <w:rsid w:val="00FD64F0"/>
    <w:rsid w:val="00FD64FB"/>
    <w:rsid w:val="00FD666D"/>
    <w:rsid w:val="00FD67F9"/>
    <w:rsid w:val="00FD688A"/>
    <w:rsid w:val="00FD695B"/>
    <w:rsid w:val="00FD6CC2"/>
    <w:rsid w:val="00FD6E9C"/>
    <w:rsid w:val="00FD70C8"/>
    <w:rsid w:val="00FD7100"/>
    <w:rsid w:val="00FD7527"/>
    <w:rsid w:val="00FD7686"/>
    <w:rsid w:val="00FD78F1"/>
    <w:rsid w:val="00FD78F8"/>
    <w:rsid w:val="00FD7A6B"/>
    <w:rsid w:val="00FD7B1B"/>
    <w:rsid w:val="00FD7EC4"/>
    <w:rsid w:val="00FD7ECB"/>
    <w:rsid w:val="00FE005B"/>
    <w:rsid w:val="00FE0182"/>
    <w:rsid w:val="00FE02BC"/>
    <w:rsid w:val="00FE031D"/>
    <w:rsid w:val="00FE0360"/>
    <w:rsid w:val="00FE0454"/>
    <w:rsid w:val="00FE05CB"/>
    <w:rsid w:val="00FE07AC"/>
    <w:rsid w:val="00FE07C7"/>
    <w:rsid w:val="00FE0A51"/>
    <w:rsid w:val="00FE0A9F"/>
    <w:rsid w:val="00FE0B6B"/>
    <w:rsid w:val="00FE0CF6"/>
    <w:rsid w:val="00FE0D3F"/>
    <w:rsid w:val="00FE0DD9"/>
    <w:rsid w:val="00FE10BC"/>
    <w:rsid w:val="00FE10CC"/>
    <w:rsid w:val="00FE1378"/>
    <w:rsid w:val="00FE1379"/>
    <w:rsid w:val="00FE166B"/>
    <w:rsid w:val="00FE1689"/>
    <w:rsid w:val="00FE16BC"/>
    <w:rsid w:val="00FE1773"/>
    <w:rsid w:val="00FE196E"/>
    <w:rsid w:val="00FE1AF4"/>
    <w:rsid w:val="00FE1AFB"/>
    <w:rsid w:val="00FE23AE"/>
    <w:rsid w:val="00FE2558"/>
    <w:rsid w:val="00FE25E4"/>
    <w:rsid w:val="00FE26E4"/>
    <w:rsid w:val="00FE274B"/>
    <w:rsid w:val="00FE275D"/>
    <w:rsid w:val="00FE2919"/>
    <w:rsid w:val="00FE2A24"/>
    <w:rsid w:val="00FE2D2C"/>
    <w:rsid w:val="00FE2D7F"/>
    <w:rsid w:val="00FE2E22"/>
    <w:rsid w:val="00FE2E49"/>
    <w:rsid w:val="00FE2F18"/>
    <w:rsid w:val="00FE2F79"/>
    <w:rsid w:val="00FE31D5"/>
    <w:rsid w:val="00FE3304"/>
    <w:rsid w:val="00FE345F"/>
    <w:rsid w:val="00FE350B"/>
    <w:rsid w:val="00FE367F"/>
    <w:rsid w:val="00FE36CD"/>
    <w:rsid w:val="00FE387E"/>
    <w:rsid w:val="00FE3C52"/>
    <w:rsid w:val="00FE3D64"/>
    <w:rsid w:val="00FE3EBD"/>
    <w:rsid w:val="00FE3F86"/>
    <w:rsid w:val="00FE41CC"/>
    <w:rsid w:val="00FE4466"/>
    <w:rsid w:val="00FE4533"/>
    <w:rsid w:val="00FE4650"/>
    <w:rsid w:val="00FE46DA"/>
    <w:rsid w:val="00FE4833"/>
    <w:rsid w:val="00FE4967"/>
    <w:rsid w:val="00FE4D83"/>
    <w:rsid w:val="00FE500D"/>
    <w:rsid w:val="00FE519A"/>
    <w:rsid w:val="00FE51C0"/>
    <w:rsid w:val="00FE55BE"/>
    <w:rsid w:val="00FE59A5"/>
    <w:rsid w:val="00FE5AD6"/>
    <w:rsid w:val="00FE5C1F"/>
    <w:rsid w:val="00FE5C69"/>
    <w:rsid w:val="00FE5F1A"/>
    <w:rsid w:val="00FE5F51"/>
    <w:rsid w:val="00FE5F7B"/>
    <w:rsid w:val="00FE628F"/>
    <w:rsid w:val="00FE6502"/>
    <w:rsid w:val="00FE65A7"/>
    <w:rsid w:val="00FE66D5"/>
    <w:rsid w:val="00FE66EE"/>
    <w:rsid w:val="00FE66FB"/>
    <w:rsid w:val="00FE6A70"/>
    <w:rsid w:val="00FE6AFD"/>
    <w:rsid w:val="00FE6BA4"/>
    <w:rsid w:val="00FE6BEF"/>
    <w:rsid w:val="00FE6BF5"/>
    <w:rsid w:val="00FE6D85"/>
    <w:rsid w:val="00FE6F35"/>
    <w:rsid w:val="00FE727E"/>
    <w:rsid w:val="00FE72EA"/>
    <w:rsid w:val="00FE7314"/>
    <w:rsid w:val="00FE7359"/>
    <w:rsid w:val="00FE7396"/>
    <w:rsid w:val="00FE73B6"/>
    <w:rsid w:val="00FE7566"/>
    <w:rsid w:val="00FE764F"/>
    <w:rsid w:val="00FE76B4"/>
    <w:rsid w:val="00FE7710"/>
    <w:rsid w:val="00FE7718"/>
    <w:rsid w:val="00FE7832"/>
    <w:rsid w:val="00FE7A4A"/>
    <w:rsid w:val="00FE7AB8"/>
    <w:rsid w:val="00FE7B09"/>
    <w:rsid w:val="00FE7DD0"/>
    <w:rsid w:val="00FE7E3B"/>
    <w:rsid w:val="00FE7E3D"/>
    <w:rsid w:val="00FE7F84"/>
    <w:rsid w:val="00FF00EE"/>
    <w:rsid w:val="00FF03DD"/>
    <w:rsid w:val="00FF040B"/>
    <w:rsid w:val="00FF05A7"/>
    <w:rsid w:val="00FF061A"/>
    <w:rsid w:val="00FF0775"/>
    <w:rsid w:val="00FF07B5"/>
    <w:rsid w:val="00FF0B8F"/>
    <w:rsid w:val="00FF0E89"/>
    <w:rsid w:val="00FF0F5E"/>
    <w:rsid w:val="00FF1128"/>
    <w:rsid w:val="00FF1223"/>
    <w:rsid w:val="00FF12E6"/>
    <w:rsid w:val="00FF13E6"/>
    <w:rsid w:val="00FF153B"/>
    <w:rsid w:val="00FF1782"/>
    <w:rsid w:val="00FF178A"/>
    <w:rsid w:val="00FF193F"/>
    <w:rsid w:val="00FF1BAD"/>
    <w:rsid w:val="00FF1CC5"/>
    <w:rsid w:val="00FF1D74"/>
    <w:rsid w:val="00FF1D7A"/>
    <w:rsid w:val="00FF2127"/>
    <w:rsid w:val="00FF218E"/>
    <w:rsid w:val="00FF2775"/>
    <w:rsid w:val="00FF2918"/>
    <w:rsid w:val="00FF2981"/>
    <w:rsid w:val="00FF298B"/>
    <w:rsid w:val="00FF29E1"/>
    <w:rsid w:val="00FF2ACD"/>
    <w:rsid w:val="00FF2D0F"/>
    <w:rsid w:val="00FF2D7E"/>
    <w:rsid w:val="00FF2DEE"/>
    <w:rsid w:val="00FF3293"/>
    <w:rsid w:val="00FF32B3"/>
    <w:rsid w:val="00FF32E0"/>
    <w:rsid w:val="00FF3322"/>
    <w:rsid w:val="00FF3346"/>
    <w:rsid w:val="00FF3390"/>
    <w:rsid w:val="00FF3440"/>
    <w:rsid w:val="00FF34D0"/>
    <w:rsid w:val="00FF3522"/>
    <w:rsid w:val="00FF3852"/>
    <w:rsid w:val="00FF3CE3"/>
    <w:rsid w:val="00FF3D76"/>
    <w:rsid w:val="00FF3EB0"/>
    <w:rsid w:val="00FF3F6A"/>
    <w:rsid w:val="00FF410B"/>
    <w:rsid w:val="00FF423C"/>
    <w:rsid w:val="00FF4277"/>
    <w:rsid w:val="00FF42FF"/>
    <w:rsid w:val="00FF433E"/>
    <w:rsid w:val="00FF439E"/>
    <w:rsid w:val="00FF4456"/>
    <w:rsid w:val="00FF4506"/>
    <w:rsid w:val="00FF4660"/>
    <w:rsid w:val="00FF491D"/>
    <w:rsid w:val="00FF4A04"/>
    <w:rsid w:val="00FF4AE8"/>
    <w:rsid w:val="00FF4B42"/>
    <w:rsid w:val="00FF4C0A"/>
    <w:rsid w:val="00FF4E0B"/>
    <w:rsid w:val="00FF4EB0"/>
    <w:rsid w:val="00FF529D"/>
    <w:rsid w:val="00FF533C"/>
    <w:rsid w:val="00FF5362"/>
    <w:rsid w:val="00FF540D"/>
    <w:rsid w:val="00FF55F6"/>
    <w:rsid w:val="00FF57CD"/>
    <w:rsid w:val="00FF57D9"/>
    <w:rsid w:val="00FF59B3"/>
    <w:rsid w:val="00FF5AD6"/>
    <w:rsid w:val="00FF5AF9"/>
    <w:rsid w:val="00FF5C20"/>
    <w:rsid w:val="00FF5C8E"/>
    <w:rsid w:val="00FF5D0E"/>
    <w:rsid w:val="00FF5FFE"/>
    <w:rsid w:val="00FF6029"/>
    <w:rsid w:val="00FF663A"/>
    <w:rsid w:val="00FF6648"/>
    <w:rsid w:val="00FF68F1"/>
    <w:rsid w:val="00FF6E57"/>
    <w:rsid w:val="00FF6EA4"/>
    <w:rsid w:val="00FF6EED"/>
    <w:rsid w:val="00FF6F35"/>
    <w:rsid w:val="00FF71CE"/>
    <w:rsid w:val="00FF72D5"/>
    <w:rsid w:val="00FF7300"/>
    <w:rsid w:val="00FF74A4"/>
    <w:rsid w:val="00FF7715"/>
    <w:rsid w:val="00FF771D"/>
    <w:rsid w:val="00FF7745"/>
    <w:rsid w:val="00FF77F8"/>
    <w:rsid w:val="00FF787D"/>
    <w:rsid w:val="00FF7881"/>
    <w:rsid w:val="00FF7A3F"/>
    <w:rsid w:val="00FF7B7A"/>
    <w:rsid w:val="00FF7E6B"/>
    <w:rsid w:val="00FF7EBE"/>
    <w:rsid w:val="1B9380A1"/>
    <w:rsid w:val="3290C33C"/>
    <w:rsid w:val="375B827A"/>
    <w:rsid w:val="37B0B965"/>
    <w:rsid w:val="4A310977"/>
    <w:rsid w:val="503CE7E5"/>
    <w:rsid w:val="517FD6CA"/>
    <w:rsid w:val="608085C7"/>
    <w:rsid w:val="7371FA30"/>
    <w:rsid w:val="7E63229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6BB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E49"/>
    <w:rPr>
      <w:sz w:val="22"/>
    </w:rPr>
  </w:style>
  <w:style w:type="paragraph" w:styleId="Heading1">
    <w:name w:val="heading 1"/>
    <w:basedOn w:val="Normal"/>
    <w:next w:val="Normal"/>
    <w:link w:val="Heading1Char"/>
    <w:uiPriority w:val="9"/>
    <w:qFormat/>
    <w:rsid w:val="004D54CE"/>
    <w:pPr>
      <w:keepNext/>
      <w:keepLines/>
      <w:spacing w:before="360" w:after="80"/>
      <w:outlineLvl w:val="0"/>
    </w:pPr>
    <w:rPr>
      <w:rFonts w:asciiTheme="majorHAnsi" w:eastAsiaTheme="majorEastAsia" w:hAnsiTheme="majorHAnsi" w:cstheme="majorBidi"/>
      <w:b/>
      <w:color w:val="0F4761" w:themeColor="accent1" w:themeShade="BF"/>
      <w:sz w:val="40"/>
      <w:szCs w:val="40"/>
    </w:rPr>
  </w:style>
  <w:style w:type="paragraph" w:styleId="Heading2">
    <w:name w:val="heading 2"/>
    <w:basedOn w:val="Normal"/>
    <w:next w:val="Normal"/>
    <w:link w:val="Heading2Char"/>
    <w:uiPriority w:val="9"/>
    <w:unhideWhenUsed/>
    <w:qFormat/>
    <w:rsid w:val="00562FB5"/>
    <w:pPr>
      <w:keepNext/>
      <w:keepLines/>
      <w:numPr>
        <w:ilvl w:val="1"/>
        <w:numId w:val="78"/>
      </w:numPr>
      <w:spacing w:before="240" w:after="80"/>
      <w:outlineLvl w:val="1"/>
    </w:pPr>
    <w:rPr>
      <w:rFonts w:asciiTheme="majorHAnsi" w:eastAsiaTheme="majorEastAsia" w:hAnsiTheme="majorHAnsi" w:cstheme="majorBidi"/>
      <w:b/>
      <w:color w:val="0F4761" w:themeColor="accent1" w:themeShade="BF"/>
      <w:sz w:val="32"/>
      <w:szCs w:val="32"/>
    </w:rPr>
  </w:style>
  <w:style w:type="paragraph" w:styleId="Heading3">
    <w:name w:val="heading 3"/>
    <w:basedOn w:val="Normal"/>
    <w:next w:val="Normal"/>
    <w:link w:val="Heading3Char"/>
    <w:uiPriority w:val="9"/>
    <w:unhideWhenUsed/>
    <w:qFormat/>
    <w:rsid w:val="004D556B"/>
    <w:pPr>
      <w:keepNext/>
      <w:keepLines/>
      <w:numPr>
        <w:ilvl w:val="2"/>
        <w:numId w:val="78"/>
      </w:numPr>
      <w:spacing w:before="160" w:after="80"/>
      <w:outlineLvl w:val="2"/>
    </w:pPr>
    <w:rPr>
      <w:rFonts w:eastAsiaTheme="majorEastAsia" w:cstheme="majorBidi"/>
      <w:b/>
      <w:color w:val="0F4761" w:themeColor="accent1" w:themeShade="BF"/>
      <w:sz w:val="26"/>
      <w:szCs w:val="28"/>
    </w:rPr>
  </w:style>
  <w:style w:type="paragraph" w:styleId="Heading4">
    <w:name w:val="heading 4"/>
    <w:basedOn w:val="Normal"/>
    <w:next w:val="Normal"/>
    <w:link w:val="Heading4Char"/>
    <w:uiPriority w:val="9"/>
    <w:unhideWhenUsed/>
    <w:qFormat/>
    <w:rsid w:val="00EB175B"/>
    <w:pPr>
      <w:keepNext/>
      <w:keepLines/>
      <w:numPr>
        <w:ilvl w:val="3"/>
        <w:numId w:val="78"/>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EB175B"/>
    <w:pPr>
      <w:keepNext/>
      <w:keepLines/>
      <w:numPr>
        <w:ilvl w:val="4"/>
        <w:numId w:val="78"/>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B175B"/>
    <w:pPr>
      <w:keepNext/>
      <w:keepLines/>
      <w:numPr>
        <w:ilvl w:val="5"/>
        <w:numId w:val="78"/>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175B"/>
    <w:pPr>
      <w:keepNext/>
      <w:keepLines/>
      <w:numPr>
        <w:ilvl w:val="6"/>
        <w:numId w:val="78"/>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175B"/>
    <w:pPr>
      <w:keepNext/>
      <w:keepLines/>
      <w:numPr>
        <w:ilvl w:val="7"/>
        <w:numId w:val="78"/>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175B"/>
    <w:pPr>
      <w:keepNext/>
      <w:keepLines/>
      <w:numPr>
        <w:ilvl w:val="8"/>
        <w:numId w:val="78"/>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4CE"/>
    <w:rPr>
      <w:rFonts w:asciiTheme="majorHAnsi" w:eastAsiaTheme="majorEastAsia" w:hAnsiTheme="majorHAnsi" w:cstheme="majorBidi"/>
      <w:b/>
      <w:color w:val="0F4761" w:themeColor="accent1" w:themeShade="BF"/>
      <w:sz w:val="40"/>
      <w:szCs w:val="40"/>
    </w:rPr>
  </w:style>
  <w:style w:type="character" w:customStyle="1" w:styleId="Heading2Char">
    <w:name w:val="Heading 2 Char"/>
    <w:basedOn w:val="DefaultParagraphFont"/>
    <w:link w:val="Heading2"/>
    <w:uiPriority w:val="9"/>
    <w:rsid w:val="00562FB5"/>
    <w:rPr>
      <w:rFonts w:asciiTheme="majorHAnsi" w:eastAsiaTheme="majorEastAsia" w:hAnsiTheme="majorHAnsi" w:cstheme="majorBidi"/>
      <w:b/>
      <w:color w:val="0F4761" w:themeColor="accent1" w:themeShade="BF"/>
      <w:sz w:val="32"/>
      <w:szCs w:val="32"/>
    </w:rPr>
  </w:style>
  <w:style w:type="character" w:customStyle="1" w:styleId="Heading3Char">
    <w:name w:val="Heading 3 Char"/>
    <w:basedOn w:val="DefaultParagraphFont"/>
    <w:link w:val="Heading3"/>
    <w:uiPriority w:val="9"/>
    <w:rsid w:val="004D556B"/>
    <w:rPr>
      <w:rFonts w:eastAsiaTheme="majorEastAsia" w:cstheme="majorBidi"/>
      <w:b/>
      <w:color w:val="0F4761" w:themeColor="accent1" w:themeShade="BF"/>
      <w:sz w:val="26"/>
      <w:szCs w:val="28"/>
    </w:rPr>
  </w:style>
  <w:style w:type="character" w:customStyle="1" w:styleId="Heading4Char">
    <w:name w:val="Heading 4 Char"/>
    <w:basedOn w:val="DefaultParagraphFont"/>
    <w:link w:val="Heading4"/>
    <w:uiPriority w:val="9"/>
    <w:rsid w:val="00EB175B"/>
    <w:rPr>
      <w:rFonts w:eastAsiaTheme="majorEastAsia" w:cstheme="majorBidi"/>
      <w:i/>
      <w:iCs/>
      <w:color w:val="0F4761" w:themeColor="accent1" w:themeShade="BF"/>
      <w:sz w:val="22"/>
    </w:rPr>
  </w:style>
  <w:style w:type="character" w:customStyle="1" w:styleId="Heading5Char">
    <w:name w:val="Heading 5 Char"/>
    <w:basedOn w:val="DefaultParagraphFont"/>
    <w:link w:val="Heading5"/>
    <w:uiPriority w:val="9"/>
    <w:rsid w:val="00EB175B"/>
    <w:rPr>
      <w:rFonts w:eastAsiaTheme="majorEastAsia" w:cstheme="majorBidi"/>
      <w:color w:val="0F4761" w:themeColor="accent1" w:themeShade="BF"/>
      <w:sz w:val="22"/>
    </w:rPr>
  </w:style>
  <w:style w:type="character" w:customStyle="1" w:styleId="Heading6Char">
    <w:name w:val="Heading 6 Char"/>
    <w:basedOn w:val="DefaultParagraphFont"/>
    <w:link w:val="Heading6"/>
    <w:uiPriority w:val="9"/>
    <w:semiHidden/>
    <w:rsid w:val="00EB175B"/>
    <w:rPr>
      <w:rFonts w:eastAsiaTheme="majorEastAsia" w:cstheme="majorBidi"/>
      <w:i/>
      <w:iCs/>
      <w:color w:val="595959" w:themeColor="text1" w:themeTint="A6"/>
      <w:sz w:val="22"/>
    </w:rPr>
  </w:style>
  <w:style w:type="character" w:customStyle="1" w:styleId="Heading7Char">
    <w:name w:val="Heading 7 Char"/>
    <w:basedOn w:val="DefaultParagraphFont"/>
    <w:link w:val="Heading7"/>
    <w:uiPriority w:val="9"/>
    <w:semiHidden/>
    <w:rsid w:val="00EB175B"/>
    <w:rPr>
      <w:rFonts w:eastAsiaTheme="majorEastAsia" w:cstheme="majorBidi"/>
      <w:color w:val="595959" w:themeColor="text1" w:themeTint="A6"/>
      <w:sz w:val="22"/>
    </w:rPr>
  </w:style>
  <w:style w:type="character" w:customStyle="1" w:styleId="Heading8Char">
    <w:name w:val="Heading 8 Char"/>
    <w:basedOn w:val="DefaultParagraphFont"/>
    <w:link w:val="Heading8"/>
    <w:uiPriority w:val="9"/>
    <w:semiHidden/>
    <w:rsid w:val="00EB175B"/>
    <w:rPr>
      <w:rFonts w:eastAsiaTheme="majorEastAsia" w:cstheme="majorBidi"/>
      <w:i/>
      <w:iCs/>
      <w:color w:val="272727" w:themeColor="text1" w:themeTint="D8"/>
      <w:sz w:val="22"/>
    </w:rPr>
  </w:style>
  <w:style w:type="character" w:customStyle="1" w:styleId="Heading9Char">
    <w:name w:val="Heading 9 Char"/>
    <w:basedOn w:val="DefaultParagraphFont"/>
    <w:link w:val="Heading9"/>
    <w:uiPriority w:val="9"/>
    <w:semiHidden/>
    <w:rsid w:val="00EB175B"/>
    <w:rPr>
      <w:rFonts w:eastAsiaTheme="majorEastAsia" w:cstheme="majorBidi"/>
      <w:color w:val="272727" w:themeColor="text1" w:themeTint="D8"/>
      <w:sz w:val="22"/>
    </w:rPr>
  </w:style>
  <w:style w:type="paragraph" w:styleId="Title">
    <w:name w:val="Title"/>
    <w:basedOn w:val="Normal"/>
    <w:next w:val="Normal"/>
    <w:link w:val="TitleChar"/>
    <w:uiPriority w:val="10"/>
    <w:qFormat/>
    <w:rsid w:val="00AD0E37"/>
    <w:pPr>
      <w:spacing w:after="80" w:line="240" w:lineRule="auto"/>
      <w:contextualSpacing/>
    </w:pPr>
    <w:rPr>
      <w:rFonts w:asciiTheme="majorHAnsi" w:eastAsiaTheme="majorEastAsia" w:hAnsiTheme="majorHAnsi" w:cstheme="majorBidi"/>
      <w:b/>
      <w:color w:val="0F4761" w:themeColor="accent1" w:themeShade="BF"/>
      <w:spacing w:val="-10"/>
      <w:kern w:val="28"/>
      <w:sz w:val="40"/>
      <w:szCs w:val="56"/>
    </w:rPr>
  </w:style>
  <w:style w:type="character" w:customStyle="1" w:styleId="TitleChar">
    <w:name w:val="Title Char"/>
    <w:basedOn w:val="DefaultParagraphFont"/>
    <w:link w:val="Title"/>
    <w:uiPriority w:val="10"/>
    <w:rsid w:val="00AD0E37"/>
    <w:rPr>
      <w:rFonts w:asciiTheme="majorHAnsi" w:eastAsiaTheme="majorEastAsia" w:hAnsiTheme="majorHAnsi" w:cstheme="majorBidi"/>
      <w:b/>
      <w:color w:val="0F4761" w:themeColor="accent1" w:themeShade="BF"/>
      <w:spacing w:val="-10"/>
      <w:kern w:val="28"/>
      <w:sz w:val="40"/>
      <w:szCs w:val="56"/>
    </w:rPr>
  </w:style>
  <w:style w:type="paragraph" w:styleId="Subtitle">
    <w:name w:val="Subtitle"/>
    <w:basedOn w:val="Normal"/>
    <w:next w:val="Normal"/>
    <w:link w:val="SubtitleChar"/>
    <w:uiPriority w:val="11"/>
    <w:qFormat/>
    <w:rsid w:val="00EB17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17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175B"/>
    <w:pPr>
      <w:spacing w:before="160"/>
      <w:jc w:val="center"/>
    </w:pPr>
    <w:rPr>
      <w:i/>
      <w:iCs/>
      <w:color w:val="404040" w:themeColor="text1" w:themeTint="BF"/>
    </w:rPr>
  </w:style>
  <w:style w:type="character" w:customStyle="1" w:styleId="QuoteChar">
    <w:name w:val="Quote Char"/>
    <w:basedOn w:val="DefaultParagraphFont"/>
    <w:link w:val="Quote"/>
    <w:uiPriority w:val="29"/>
    <w:rsid w:val="00EB175B"/>
    <w:rPr>
      <w:i/>
      <w:iCs/>
      <w:color w:val="404040" w:themeColor="text1" w:themeTint="BF"/>
    </w:rPr>
  </w:style>
  <w:style w:type="paragraph" w:styleId="ListParagraph">
    <w:name w:val="List Paragraph"/>
    <w:basedOn w:val="Normal"/>
    <w:uiPriority w:val="34"/>
    <w:qFormat/>
    <w:rsid w:val="00EB175B"/>
    <w:pPr>
      <w:ind w:left="720"/>
      <w:contextualSpacing/>
    </w:pPr>
  </w:style>
  <w:style w:type="character" w:styleId="IntenseEmphasis">
    <w:name w:val="Intense Emphasis"/>
    <w:basedOn w:val="DefaultParagraphFont"/>
    <w:uiPriority w:val="21"/>
    <w:qFormat/>
    <w:rsid w:val="00EB175B"/>
    <w:rPr>
      <w:i/>
      <w:iCs/>
      <w:color w:val="0F4761" w:themeColor="accent1" w:themeShade="BF"/>
    </w:rPr>
  </w:style>
  <w:style w:type="paragraph" w:styleId="IntenseQuote">
    <w:name w:val="Intense Quote"/>
    <w:basedOn w:val="Normal"/>
    <w:next w:val="Normal"/>
    <w:link w:val="IntenseQuoteChar"/>
    <w:uiPriority w:val="30"/>
    <w:qFormat/>
    <w:rsid w:val="00EB17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B175B"/>
    <w:rPr>
      <w:i/>
      <w:iCs/>
      <w:color w:val="0F4761" w:themeColor="accent1" w:themeShade="BF"/>
    </w:rPr>
  </w:style>
  <w:style w:type="character" w:styleId="IntenseReference">
    <w:name w:val="Intense Reference"/>
    <w:basedOn w:val="DefaultParagraphFont"/>
    <w:uiPriority w:val="32"/>
    <w:qFormat/>
    <w:rsid w:val="00EB175B"/>
    <w:rPr>
      <w:b/>
      <w:bCs/>
      <w:smallCaps/>
      <w:color w:val="0F4761" w:themeColor="accent1" w:themeShade="BF"/>
      <w:spacing w:val="5"/>
    </w:rPr>
  </w:style>
  <w:style w:type="paragraph" w:styleId="Header">
    <w:name w:val="header"/>
    <w:basedOn w:val="Normal"/>
    <w:link w:val="HeaderChar"/>
    <w:uiPriority w:val="99"/>
    <w:unhideWhenUsed/>
    <w:rsid w:val="00EB17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75B"/>
  </w:style>
  <w:style w:type="paragraph" w:styleId="Footer">
    <w:name w:val="footer"/>
    <w:basedOn w:val="Normal"/>
    <w:link w:val="FooterChar"/>
    <w:uiPriority w:val="99"/>
    <w:unhideWhenUsed/>
    <w:rsid w:val="00EB17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75B"/>
  </w:style>
  <w:style w:type="paragraph" w:styleId="Caption">
    <w:name w:val="caption"/>
    <w:basedOn w:val="Normal"/>
    <w:next w:val="Normal"/>
    <w:uiPriority w:val="35"/>
    <w:unhideWhenUsed/>
    <w:qFormat/>
    <w:rsid w:val="006A0C26"/>
    <w:pPr>
      <w:spacing w:after="240" w:line="240" w:lineRule="auto"/>
    </w:pPr>
    <w:rPr>
      <w:i/>
      <w:iCs/>
      <w:color w:val="0E2841" w:themeColor="text2"/>
      <w:sz w:val="18"/>
      <w:szCs w:val="18"/>
    </w:rPr>
  </w:style>
  <w:style w:type="paragraph" w:styleId="TOCHeading">
    <w:name w:val="TOC Heading"/>
    <w:basedOn w:val="Heading1"/>
    <w:next w:val="Normal"/>
    <w:uiPriority w:val="39"/>
    <w:unhideWhenUsed/>
    <w:qFormat/>
    <w:rsid w:val="00CE6C5E"/>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6A2F75"/>
    <w:pPr>
      <w:tabs>
        <w:tab w:val="right" w:pos="9016"/>
      </w:tabs>
      <w:spacing w:before="60" w:after="60" w:line="276" w:lineRule="auto"/>
    </w:pPr>
    <w:rPr>
      <w:b/>
      <w:bCs/>
      <w:noProof/>
    </w:rPr>
  </w:style>
  <w:style w:type="paragraph" w:styleId="TOC2">
    <w:name w:val="toc 2"/>
    <w:basedOn w:val="Normal"/>
    <w:next w:val="Normal"/>
    <w:autoRedefine/>
    <w:uiPriority w:val="39"/>
    <w:unhideWhenUsed/>
    <w:rsid w:val="006A2F75"/>
    <w:pPr>
      <w:tabs>
        <w:tab w:val="right" w:pos="9016"/>
      </w:tabs>
      <w:spacing w:beforeLines="40" w:before="96" w:afterLines="40" w:after="96" w:line="276" w:lineRule="auto"/>
      <w:ind w:left="238"/>
    </w:pPr>
  </w:style>
  <w:style w:type="character" w:styleId="Hyperlink">
    <w:name w:val="Hyperlink"/>
    <w:basedOn w:val="DefaultParagraphFont"/>
    <w:uiPriority w:val="99"/>
    <w:unhideWhenUsed/>
    <w:rsid w:val="00CE6C5E"/>
    <w:rPr>
      <w:color w:val="467886" w:themeColor="hyperlink"/>
      <w:u w:val="single"/>
    </w:rPr>
  </w:style>
  <w:style w:type="character" w:styleId="UnresolvedMention">
    <w:name w:val="Unresolved Mention"/>
    <w:basedOn w:val="DefaultParagraphFont"/>
    <w:uiPriority w:val="99"/>
    <w:semiHidden/>
    <w:unhideWhenUsed/>
    <w:rsid w:val="001C4ED3"/>
    <w:rPr>
      <w:color w:val="605E5C"/>
      <w:shd w:val="clear" w:color="auto" w:fill="E1DFDD"/>
    </w:rPr>
  </w:style>
  <w:style w:type="paragraph" w:styleId="FootnoteText">
    <w:name w:val="footnote text"/>
    <w:link w:val="FootnoteTextChar"/>
    <w:uiPriority w:val="99"/>
    <w:unhideWhenUsed/>
    <w:rsid w:val="00E670B9"/>
    <w:pPr>
      <w:spacing w:after="0" w:line="240" w:lineRule="auto"/>
    </w:pPr>
    <w:rPr>
      <w:sz w:val="18"/>
      <w:szCs w:val="20"/>
    </w:rPr>
  </w:style>
  <w:style w:type="character" w:customStyle="1" w:styleId="FootnoteTextChar">
    <w:name w:val="Footnote Text Char"/>
    <w:basedOn w:val="DefaultParagraphFont"/>
    <w:link w:val="FootnoteText"/>
    <w:uiPriority w:val="99"/>
    <w:rsid w:val="00E670B9"/>
    <w:rPr>
      <w:sz w:val="18"/>
      <w:szCs w:val="20"/>
    </w:rPr>
  </w:style>
  <w:style w:type="character" w:styleId="FootnoteReference">
    <w:name w:val="footnote reference"/>
    <w:basedOn w:val="DefaultParagraphFont"/>
    <w:uiPriority w:val="99"/>
    <w:unhideWhenUsed/>
    <w:rsid w:val="00395762"/>
    <w:rPr>
      <w:vertAlign w:val="superscript"/>
    </w:rPr>
  </w:style>
  <w:style w:type="character" w:customStyle="1" w:styleId="normaltextrun">
    <w:name w:val="normaltextrun"/>
    <w:basedOn w:val="DefaultParagraphFont"/>
    <w:rsid w:val="004F0371"/>
  </w:style>
  <w:style w:type="character" w:styleId="CommentReference">
    <w:name w:val="annotation reference"/>
    <w:basedOn w:val="DefaultParagraphFont"/>
    <w:semiHidden/>
    <w:unhideWhenUsed/>
    <w:rsid w:val="004F0371"/>
    <w:rPr>
      <w:sz w:val="16"/>
      <w:szCs w:val="16"/>
    </w:rPr>
  </w:style>
  <w:style w:type="paragraph" w:styleId="CommentText">
    <w:name w:val="annotation text"/>
    <w:basedOn w:val="Normal"/>
    <w:link w:val="CommentTextChar"/>
    <w:unhideWhenUsed/>
    <w:rsid w:val="004F0371"/>
    <w:pPr>
      <w:spacing w:line="240" w:lineRule="auto"/>
    </w:pPr>
    <w:rPr>
      <w:rFonts w:eastAsiaTheme="minorEastAsia"/>
      <w:kern w:val="0"/>
      <w:sz w:val="20"/>
      <w:szCs w:val="20"/>
      <w:lang w:val="en-US" w:eastAsia="ja-JP"/>
      <w14:ligatures w14:val="none"/>
    </w:rPr>
  </w:style>
  <w:style w:type="character" w:customStyle="1" w:styleId="CommentTextChar">
    <w:name w:val="Comment Text Char"/>
    <w:basedOn w:val="DefaultParagraphFont"/>
    <w:link w:val="CommentText"/>
    <w:rsid w:val="004F0371"/>
    <w:rPr>
      <w:rFonts w:eastAsiaTheme="minorEastAsia"/>
      <w:kern w:val="0"/>
      <w:sz w:val="20"/>
      <w:szCs w:val="20"/>
      <w:lang w:val="en-US" w:eastAsia="ja-JP"/>
      <w14:ligatures w14:val="none"/>
    </w:rPr>
  </w:style>
  <w:style w:type="table" w:styleId="TableGrid">
    <w:name w:val="Table Grid"/>
    <w:aliases w:val="none"/>
    <w:basedOn w:val="TableNormal"/>
    <w:uiPriority w:val="39"/>
    <w:rsid w:val="004F0371"/>
    <w:pPr>
      <w:spacing w:after="0" w:line="240" w:lineRule="auto"/>
    </w:pPr>
    <w:rPr>
      <w:rFonts w:eastAsiaTheme="minorEastAsia"/>
      <w:kern w:val="0"/>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4F0371"/>
    <w:rPr>
      <w:color w:val="2B579A"/>
      <w:shd w:val="clear" w:color="auto" w:fill="E1DFDD"/>
    </w:rPr>
  </w:style>
  <w:style w:type="paragraph" w:customStyle="1" w:styleId="paragraph">
    <w:name w:val="paragraph"/>
    <w:basedOn w:val="Normal"/>
    <w:rsid w:val="00434E81"/>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paragraph" w:styleId="TOC3">
    <w:name w:val="toc 3"/>
    <w:basedOn w:val="Normal"/>
    <w:next w:val="Normal"/>
    <w:autoRedefine/>
    <w:uiPriority w:val="39"/>
    <w:unhideWhenUsed/>
    <w:rsid w:val="00AB76E0"/>
    <w:pPr>
      <w:spacing w:after="100"/>
      <w:ind w:left="440"/>
    </w:pPr>
  </w:style>
  <w:style w:type="paragraph" w:customStyle="1" w:styleId="Chapter1heading">
    <w:name w:val="Chapter 1 heading"/>
    <w:link w:val="Chapter1headingChar"/>
    <w:rsid w:val="00502625"/>
    <w:rPr>
      <w:rFonts w:asciiTheme="majorHAnsi" w:eastAsiaTheme="majorEastAsia" w:hAnsiTheme="majorHAnsi" w:cstheme="majorBidi"/>
      <w:b/>
      <w:color w:val="0F4761" w:themeColor="accent1" w:themeShade="BF"/>
      <w:sz w:val="32"/>
      <w:szCs w:val="32"/>
    </w:rPr>
  </w:style>
  <w:style w:type="character" w:customStyle="1" w:styleId="Chapter1headingChar">
    <w:name w:val="Chapter 1 heading Char"/>
    <w:basedOn w:val="Heading2Char"/>
    <w:link w:val="Chapter1heading"/>
    <w:rsid w:val="00502625"/>
    <w:rPr>
      <w:rFonts w:asciiTheme="majorHAnsi" w:eastAsiaTheme="majorEastAsia" w:hAnsiTheme="majorHAnsi" w:cstheme="majorBidi"/>
      <w:b/>
      <w:color w:val="0F4761" w:themeColor="accent1" w:themeShade="BF"/>
      <w:sz w:val="32"/>
      <w:szCs w:val="32"/>
    </w:rPr>
  </w:style>
  <w:style w:type="paragraph" w:customStyle="1" w:styleId="Chapter2heading">
    <w:name w:val="Chapter 2 heading"/>
    <w:next w:val="Normal"/>
    <w:link w:val="Chapter2headingChar"/>
    <w:rsid w:val="000931B7"/>
    <w:rPr>
      <w:rFonts w:asciiTheme="majorHAnsi" w:eastAsiaTheme="majorEastAsia" w:hAnsiTheme="majorHAnsi" w:cstheme="majorBidi"/>
      <w:b/>
      <w:color w:val="0F4761" w:themeColor="accent1" w:themeShade="BF"/>
      <w:sz w:val="32"/>
      <w:szCs w:val="32"/>
    </w:rPr>
  </w:style>
  <w:style w:type="character" w:customStyle="1" w:styleId="Chapter2headingChar">
    <w:name w:val="Chapter 2 heading Char"/>
    <w:basedOn w:val="DefaultParagraphFont"/>
    <w:link w:val="Chapter2heading"/>
    <w:rsid w:val="000931B7"/>
    <w:rPr>
      <w:rFonts w:asciiTheme="majorHAnsi" w:eastAsiaTheme="majorEastAsia" w:hAnsiTheme="majorHAnsi" w:cstheme="majorBidi"/>
      <w:b/>
      <w:color w:val="0F4761" w:themeColor="accent1" w:themeShade="BF"/>
      <w:sz w:val="32"/>
      <w:szCs w:val="32"/>
    </w:rPr>
  </w:style>
  <w:style w:type="paragraph" w:customStyle="1" w:styleId="m-5757516300799611169msolistparagraph">
    <w:name w:val="m_-5757516300799611169msolistparagraph"/>
    <w:basedOn w:val="Normal"/>
    <w:rsid w:val="00077A28"/>
    <w:pPr>
      <w:spacing w:before="100" w:beforeAutospacing="1" w:after="100" w:afterAutospacing="1" w:line="240" w:lineRule="auto"/>
    </w:pPr>
    <w:rPr>
      <w:rFonts w:ascii="Aptos" w:hAnsi="Aptos" w:cs="Aptos"/>
      <w:kern w:val="0"/>
      <w:sz w:val="24"/>
      <w:lang w:eastAsia="en-AU"/>
      <w14:ligatures w14:val="none"/>
    </w:rPr>
  </w:style>
  <w:style w:type="paragraph" w:styleId="CommentSubject">
    <w:name w:val="annotation subject"/>
    <w:basedOn w:val="CommentText"/>
    <w:next w:val="CommentText"/>
    <w:link w:val="CommentSubjectChar"/>
    <w:uiPriority w:val="99"/>
    <w:semiHidden/>
    <w:unhideWhenUsed/>
    <w:rsid w:val="000D1536"/>
    <w:rPr>
      <w:rFonts w:eastAsiaTheme="minorHAnsi"/>
      <w:b/>
      <w:bCs/>
      <w:kern w:val="2"/>
      <w:lang w:val="en-AU" w:eastAsia="en-US"/>
      <w14:ligatures w14:val="standardContextual"/>
    </w:rPr>
  </w:style>
  <w:style w:type="character" w:customStyle="1" w:styleId="CommentSubjectChar">
    <w:name w:val="Comment Subject Char"/>
    <w:basedOn w:val="CommentTextChar"/>
    <w:link w:val="CommentSubject"/>
    <w:uiPriority w:val="99"/>
    <w:semiHidden/>
    <w:rsid w:val="000D1536"/>
    <w:rPr>
      <w:rFonts w:eastAsiaTheme="minorEastAsia"/>
      <w:b/>
      <w:bCs/>
      <w:kern w:val="0"/>
      <w:sz w:val="20"/>
      <w:szCs w:val="20"/>
      <w:lang w:val="en-US" w:eastAsia="ja-JP"/>
      <w14:ligatures w14:val="none"/>
    </w:rPr>
  </w:style>
  <w:style w:type="paragraph" w:styleId="ListBullet">
    <w:name w:val="List Bullet"/>
    <w:basedOn w:val="ListParagraph"/>
    <w:uiPriority w:val="99"/>
    <w:unhideWhenUsed/>
    <w:rsid w:val="00B30CDD"/>
    <w:pPr>
      <w:tabs>
        <w:tab w:val="num" w:pos="567"/>
      </w:tabs>
      <w:ind w:hanging="360"/>
    </w:pPr>
  </w:style>
  <w:style w:type="paragraph" w:styleId="NormalWeb">
    <w:name w:val="Normal (Web)"/>
    <w:basedOn w:val="Normal"/>
    <w:uiPriority w:val="99"/>
    <w:unhideWhenUsed/>
    <w:rsid w:val="0095201D"/>
    <w:pPr>
      <w:spacing w:before="100" w:beforeAutospacing="1" w:after="100" w:afterAutospacing="1" w:line="240" w:lineRule="auto"/>
    </w:pPr>
    <w:rPr>
      <w:rFonts w:ascii="Aptos" w:hAnsi="Aptos" w:cs="Aptos"/>
      <w:kern w:val="0"/>
      <w:sz w:val="24"/>
      <w:lang w:eastAsia="en-AU"/>
      <w14:ligatures w14:val="none"/>
    </w:rPr>
  </w:style>
  <w:style w:type="paragraph" w:styleId="ListBullet2">
    <w:name w:val="List Bullet 2"/>
    <w:basedOn w:val="ListParagraph"/>
    <w:uiPriority w:val="99"/>
    <w:unhideWhenUsed/>
    <w:rsid w:val="00B30CDD"/>
    <w:pPr>
      <w:spacing w:before="120"/>
      <w:ind w:left="1440" w:hanging="360"/>
    </w:pPr>
  </w:style>
  <w:style w:type="paragraph" w:styleId="ListBullet3">
    <w:name w:val="List Bullet 3"/>
    <w:basedOn w:val="Normal"/>
    <w:uiPriority w:val="99"/>
    <w:unhideWhenUsed/>
    <w:rsid w:val="00B30CDD"/>
    <w:pPr>
      <w:spacing w:before="60"/>
      <w:ind w:left="2160" w:hanging="180"/>
    </w:pPr>
  </w:style>
  <w:style w:type="paragraph" w:styleId="ListBullet4">
    <w:name w:val="List Bullet 4"/>
    <w:basedOn w:val="Normal"/>
    <w:uiPriority w:val="99"/>
    <w:unhideWhenUsed/>
    <w:rsid w:val="00B30CDD"/>
    <w:pPr>
      <w:spacing w:before="40"/>
      <w:ind w:left="2880" w:hanging="360"/>
    </w:pPr>
  </w:style>
  <w:style w:type="paragraph" w:styleId="ListBullet5">
    <w:name w:val="List Bullet 5"/>
    <w:basedOn w:val="Normal"/>
    <w:uiPriority w:val="99"/>
    <w:unhideWhenUsed/>
    <w:rsid w:val="00B30CDD"/>
    <w:pPr>
      <w:spacing w:before="20"/>
      <w:ind w:left="3600" w:hanging="360"/>
    </w:pPr>
  </w:style>
  <w:style w:type="numbering" w:customStyle="1" w:styleId="EY-PSListStyle">
    <w:name w:val="EY-PS List Style"/>
    <w:uiPriority w:val="99"/>
    <w:rsid w:val="00221ACF"/>
    <w:pPr>
      <w:numPr>
        <w:numId w:val="37"/>
      </w:numPr>
    </w:pPr>
  </w:style>
  <w:style w:type="paragraph" w:styleId="Revision">
    <w:name w:val="Revision"/>
    <w:hidden/>
    <w:uiPriority w:val="99"/>
    <w:semiHidden/>
    <w:rsid w:val="007530C2"/>
    <w:pPr>
      <w:spacing w:after="0" w:line="240" w:lineRule="auto"/>
    </w:pPr>
  </w:style>
  <w:style w:type="character" w:styleId="SubtleReference">
    <w:name w:val="Subtle Reference"/>
    <w:basedOn w:val="DefaultParagraphFont"/>
    <w:uiPriority w:val="31"/>
    <w:qFormat/>
    <w:rsid w:val="007530C2"/>
    <w:rPr>
      <w:smallCaps/>
      <w:color w:val="5A5A5A" w:themeColor="text1" w:themeTint="A5"/>
    </w:rPr>
  </w:style>
  <w:style w:type="character" w:customStyle="1" w:styleId="eop">
    <w:name w:val="eop"/>
    <w:basedOn w:val="DefaultParagraphFont"/>
    <w:rsid w:val="007530C2"/>
  </w:style>
  <w:style w:type="character" w:customStyle="1" w:styleId="superscript">
    <w:name w:val="superscript"/>
    <w:basedOn w:val="DefaultParagraphFont"/>
    <w:rsid w:val="007530C2"/>
  </w:style>
  <w:style w:type="paragraph" w:styleId="EndnoteText">
    <w:name w:val="endnote text"/>
    <w:basedOn w:val="Normal"/>
    <w:link w:val="EndnoteTextChar"/>
    <w:uiPriority w:val="99"/>
    <w:semiHidden/>
    <w:unhideWhenUsed/>
    <w:rsid w:val="007530C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530C2"/>
    <w:rPr>
      <w:sz w:val="20"/>
      <w:szCs w:val="20"/>
    </w:rPr>
  </w:style>
  <w:style w:type="character" w:styleId="EndnoteReference">
    <w:name w:val="endnote reference"/>
    <w:basedOn w:val="DefaultParagraphFont"/>
    <w:uiPriority w:val="99"/>
    <w:semiHidden/>
    <w:unhideWhenUsed/>
    <w:rsid w:val="007530C2"/>
    <w:rPr>
      <w:vertAlign w:val="superscript"/>
    </w:rPr>
  </w:style>
  <w:style w:type="numbering" w:customStyle="1" w:styleId="Style1">
    <w:name w:val="Style1"/>
    <w:uiPriority w:val="99"/>
    <w:rsid w:val="0027672E"/>
    <w:pPr>
      <w:numPr>
        <w:numId w:val="51"/>
      </w:numPr>
    </w:pPr>
  </w:style>
  <w:style w:type="character" w:styleId="FollowedHyperlink">
    <w:name w:val="FollowedHyperlink"/>
    <w:basedOn w:val="DefaultParagraphFont"/>
    <w:uiPriority w:val="99"/>
    <w:semiHidden/>
    <w:unhideWhenUsed/>
    <w:rsid w:val="007530C2"/>
    <w:rPr>
      <w:color w:val="96607D" w:themeColor="followedHyperlink"/>
      <w:u w:val="single"/>
    </w:rPr>
  </w:style>
  <w:style w:type="paragraph" w:styleId="TOC4">
    <w:name w:val="toc 4"/>
    <w:basedOn w:val="Normal"/>
    <w:next w:val="Normal"/>
    <w:autoRedefine/>
    <w:uiPriority w:val="39"/>
    <w:unhideWhenUsed/>
    <w:rsid w:val="00A01D06"/>
    <w:pPr>
      <w:spacing w:after="100"/>
      <w:ind w:left="720"/>
    </w:pPr>
    <w:rPr>
      <w:rFonts w:eastAsiaTheme="minorEastAsia"/>
      <w:sz w:val="24"/>
      <w:lang w:eastAsia="en-AU"/>
    </w:rPr>
  </w:style>
  <w:style w:type="paragraph" w:styleId="TOC5">
    <w:name w:val="toc 5"/>
    <w:basedOn w:val="Normal"/>
    <w:next w:val="Normal"/>
    <w:autoRedefine/>
    <w:uiPriority w:val="39"/>
    <w:unhideWhenUsed/>
    <w:rsid w:val="00A01D06"/>
    <w:pPr>
      <w:spacing w:after="100"/>
      <w:ind w:left="960"/>
    </w:pPr>
    <w:rPr>
      <w:rFonts w:eastAsiaTheme="minorEastAsia"/>
      <w:sz w:val="24"/>
      <w:lang w:eastAsia="en-AU"/>
    </w:rPr>
  </w:style>
  <w:style w:type="paragraph" w:styleId="TOC6">
    <w:name w:val="toc 6"/>
    <w:basedOn w:val="Normal"/>
    <w:next w:val="Normal"/>
    <w:autoRedefine/>
    <w:uiPriority w:val="39"/>
    <w:unhideWhenUsed/>
    <w:rsid w:val="00A01D06"/>
    <w:pPr>
      <w:spacing w:after="100"/>
      <w:ind w:left="1200"/>
    </w:pPr>
    <w:rPr>
      <w:rFonts w:eastAsiaTheme="minorEastAsia"/>
      <w:sz w:val="24"/>
      <w:lang w:eastAsia="en-AU"/>
    </w:rPr>
  </w:style>
  <w:style w:type="paragraph" w:styleId="TOC7">
    <w:name w:val="toc 7"/>
    <w:basedOn w:val="Normal"/>
    <w:next w:val="Normal"/>
    <w:autoRedefine/>
    <w:uiPriority w:val="39"/>
    <w:unhideWhenUsed/>
    <w:rsid w:val="00A01D06"/>
    <w:pPr>
      <w:spacing w:after="100"/>
      <w:ind w:left="1440"/>
    </w:pPr>
    <w:rPr>
      <w:rFonts w:eastAsiaTheme="minorEastAsia"/>
      <w:sz w:val="24"/>
      <w:lang w:eastAsia="en-AU"/>
    </w:rPr>
  </w:style>
  <w:style w:type="paragraph" w:styleId="TOC8">
    <w:name w:val="toc 8"/>
    <w:basedOn w:val="Normal"/>
    <w:next w:val="Normal"/>
    <w:autoRedefine/>
    <w:uiPriority w:val="39"/>
    <w:unhideWhenUsed/>
    <w:rsid w:val="00A01D06"/>
    <w:pPr>
      <w:spacing w:after="100"/>
      <w:ind w:left="1680"/>
    </w:pPr>
    <w:rPr>
      <w:rFonts w:eastAsiaTheme="minorEastAsia"/>
      <w:sz w:val="24"/>
      <w:lang w:eastAsia="en-AU"/>
    </w:rPr>
  </w:style>
  <w:style w:type="paragraph" w:styleId="TOC9">
    <w:name w:val="toc 9"/>
    <w:basedOn w:val="Normal"/>
    <w:next w:val="Normal"/>
    <w:autoRedefine/>
    <w:uiPriority w:val="39"/>
    <w:unhideWhenUsed/>
    <w:rsid w:val="00A01D06"/>
    <w:pPr>
      <w:spacing w:after="100"/>
      <w:ind w:left="1920"/>
    </w:pPr>
    <w:rPr>
      <w:rFonts w:eastAsiaTheme="minorEastAsia"/>
      <w:sz w:val="24"/>
      <w:lang w:eastAsia="en-AU"/>
    </w:rPr>
  </w:style>
  <w:style w:type="table" w:styleId="PlainTable4">
    <w:name w:val="Plain Table 4"/>
    <w:basedOn w:val="TableNormal"/>
    <w:uiPriority w:val="44"/>
    <w:rsid w:val="003D3F36"/>
    <w:pPr>
      <w:spacing w:after="0" w:line="240" w:lineRule="auto"/>
    </w:pPr>
    <w:rPr>
      <w:rFonts w:eastAsiaTheme="minorEastAsia"/>
      <w:kern w:val="0"/>
      <w:lang w:val="en-US" w:eastAsia="ja-JP"/>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BF472E"/>
    <w:pPr>
      <w:spacing w:after="0" w:line="240" w:lineRule="auto"/>
    </w:pPr>
    <w:rPr>
      <w:sz w:val="22"/>
    </w:rPr>
  </w:style>
  <w:style w:type="paragraph" w:customStyle="1" w:styleId="ShadedBoxBullet">
    <w:name w:val="Shaded Box Bullet"/>
    <w:next w:val="Normal"/>
    <w:uiPriority w:val="39"/>
    <w:qFormat/>
    <w:rsid w:val="00920F6F"/>
    <w:pPr>
      <w:numPr>
        <w:numId w:val="101"/>
      </w:numPr>
      <w:pBdr>
        <w:top w:val="single" w:sz="6" w:space="3" w:color="auto"/>
        <w:left w:val="single" w:sz="6" w:space="4" w:color="auto"/>
        <w:bottom w:val="single" w:sz="6" w:space="3" w:color="auto"/>
        <w:right w:val="single" w:sz="6" w:space="4" w:color="auto"/>
      </w:pBdr>
      <w:shd w:val="clear" w:color="auto" w:fill="F2F2F2" w:themeFill="background1" w:themeFillShade="F2"/>
      <w:spacing w:before="160" w:after="120" w:line="240" w:lineRule="auto"/>
      <w:ind w:left="340" w:right="113" w:hanging="227"/>
    </w:pPr>
    <w:rPr>
      <w:rFonts w:eastAsia="SimSun"/>
      <w:b/>
      <w:kern w:val="0"/>
      <w:sz w:val="22"/>
      <w:szCs w:val="22"/>
      <w14:ligatures w14:val="none"/>
    </w:rPr>
  </w:style>
  <w:style w:type="paragraph" w:customStyle="1" w:styleId="Figureheading">
    <w:name w:val="Figure heading"/>
    <w:qFormat/>
    <w:rsid w:val="00D85C19"/>
    <w:pPr>
      <w:spacing w:before="360"/>
    </w:pPr>
    <w:rPr>
      <w:i/>
      <w:iCs/>
      <w:color w:val="0E2841" w:themeColor="text2"/>
      <w:sz w:val="2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153896">
      <w:bodyDiv w:val="1"/>
      <w:marLeft w:val="0"/>
      <w:marRight w:val="0"/>
      <w:marTop w:val="0"/>
      <w:marBottom w:val="0"/>
      <w:divBdr>
        <w:top w:val="none" w:sz="0" w:space="0" w:color="auto"/>
        <w:left w:val="none" w:sz="0" w:space="0" w:color="auto"/>
        <w:bottom w:val="none" w:sz="0" w:space="0" w:color="auto"/>
        <w:right w:val="none" w:sz="0" w:space="0" w:color="auto"/>
      </w:divBdr>
      <w:divsChild>
        <w:div w:id="595601787">
          <w:marLeft w:val="274"/>
          <w:marRight w:val="0"/>
          <w:marTop w:val="0"/>
          <w:marBottom w:val="0"/>
          <w:divBdr>
            <w:top w:val="none" w:sz="0" w:space="0" w:color="auto"/>
            <w:left w:val="none" w:sz="0" w:space="0" w:color="auto"/>
            <w:bottom w:val="none" w:sz="0" w:space="0" w:color="auto"/>
            <w:right w:val="none" w:sz="0" w:space="0" w:color="auto"/>
          </w:divBdr>
        </w:div>
        <w:div w:id="641039030">
          <w:marLeft w:val="274"/>
          <w:marRight w:val="0"/>
          <w:marTop w:val="0"/>
          <w:marBottom w:val="0"/>
          <w:divBdr>
            <w:top w:val="none" w:sz="0" w:space="0" w:color="auto"/>
            <w:left w:val="none" w:sz="0" w:space="0" w:color="auto"/>
            <w:bottom w:val="none" w:sz="0" w:space="0" w:color="auto"/>
            <w:right w:val="none" w:sz="0" w:space="0" w:color="auto"/>
          </w:divBdr>
        </w:div>
        <w:div w:id="1344236665">
          <w:marLeft w:val="274"/>
          <w:marRight w:val="0"/>
          <w:marTop w:val="0"/>
          <w:marBottom w:val="160"/>
          <w:divBdr>
            <w:top w:val="none" w:sz="0" w:space="0" w:color="auto"/>
            <w:left w:val="none" w:sz="0" w:space="0" w:color="auto"/>
            <w:bottom w:val="none" w:sz="0" w:space="0" w:color="auto"/>
            <w:right w:val="none" w:sz="0" w:space="0" w:color="auto"/>
          </w:divBdr>
        </w:div>
      </w:divsChild>
    </w:div>
    <w:div w:id="264463239">
      <w:bodyDiv w:val="1"/>
      <w:marLeft w:val="0"/>
      <w:marRight w:val="0"/>
      <w:marTop w:val="0"/>
      <w:marBottom w:val="0"/>
      <w:divBdr>
        <w:top w:val="none" w:sz="0" w:space="0" w:color="auto"/>
        <w:left w:val="none" w:sz="0" w:space="0" w:color="auto"/>
        <w:bottom w:val="none" w:sz="0" w:space="0" w:color="auto"/>
        <w:right w:val="none" w:sz="0" w:space="0" w:color="auto"/>
      </w:divBdr>
      <w:divsChild>
        <w:div w:id="298457666">
          <w:marLeft w:val="274"/>
          <w:marRight w:val="0"/>
          <w:marTop w:val="0"/>
          <w:marBottom w:val="0"/>
          <w:divBdr>
            <w:top w:val="none" w:sz="0" w:space="0" w:color="auto"/>
            <w:left w:val="none" w:sz="0" w:space="0" w:color="auto"/>
            <w:bottom w:val="none" w:sz="0" w:space="0" w:color="auto"/>
            <w:right w:val="none" w:sz="0" w:space="0" w:color="auto"/>
          </w:divBdr>
        </w:div>
        <w:div w:id="1020818566">
          <w:marLeft w:val="274"/>
          <w:marRight w:val="0"/>
          <w:marTop w:val="0"/>
          <w:marBottom w:val="0"/>
          <w:divBdr>
            <w:top w:val="none" w:sz="0" w:space="0" w:color="auto"/>
            <w:left w:val="none" w:sz="0" w:space="0" w:color="auto"/>
            <w:bottom w:val="none" w:sz="0" w:space="0" w:color="auto"/>
            <w:right w:val="none" w:sz="0" w:space="0" w:color="auto"/>
          </w:divBdr>
        </w:div>
        <w:div w:id="1506436070">
          <w:marLeft w:val="274"/>
          <w:marRight w:val="0"/>
          <w:marTop w:val="0"/>
          <w:marBottom w:val="160"/>
          <w:divBdr>
            <w:top w:val="none" w:sz="0" w:space="0" w:color="auto"/>
            <w:left w:val="none" w:sz="0" w:space="0" w:color="auto"/>
            <w:bottom w:val="none" w:sz="0" w:space="0" w:color="auto"/>
            <w:right w:val="none" w:sz="0" w:space="0" w:color="auto"/>
          </w:divBdr>
        </w:div>
      </w:divsChild>
    </w:div>
    <w:div w:id="294600225">
      <w:bodyDiv w:val="1"/>
      <w:marLeft w:val="0"/>
      <w:marRight w:val="0"/>
      <w:marTop w:val="0"/>
      <w:marBottom w:val="0"/>
      <w:divBdr>
        <w:top w:val="none" w:sz="0" w:space="0" w:color="auto"/>
        <w:left w:val="none" w:sz="0" w:space="0" w:color="auto"/>
        <w:bottom w:val="none" w:sz="0" w:space="0" w:color="auto"/>
        <w:right w:val="none" w:sz="0" w:space="0" w:color="auto"/>
      </w:divBdr>
    </w:div>
    <w:div w:id="303049582">
      <w:bodyDiv w:val="1"/>
      <w:marLeft w:val="0"/>
      <w:marRight w:val="0"/>
      <w:marTop w:val="0"/>
      <w:marBottom w:val="0"/>
      <w:divBdr>
        <w:top w:val="none" w:sz="0" w:space="0" w:color="auto"/>
        <w:left w:val="none" w:sz="0" w:space="0" w:color="auto"/>
        <w:bottom w:val="none" w:sz="0" w:space="0" w:color="auto"/>
        <w:right w:val="none" w:sz="0" w:space="0" w:color="auto"/>
      </w:divBdr>
    </w:div>
    <w:div w:id="321857383">
      <w:bodyDiv w:val="1"/>
      <w:marLeft w:val="0"/>
      <w:marRight w:val="0"/>
      <w:marTop w:val="0"/>
      <w:marBottom w:val="0"/>
      <w:divBdr>
        <w:top w:val="none" w:sz="0" w:space="0" w:color="auto"/>
        <w:left w:val="none" w:sz="0" w:space="0" w:color="auto"/>
        <w:bottom w:val="none" w:sz="0" w:space="0" w:color="auto"/>
        <w:right w:val="none" w:sz="0" w:space="0" w:color="auto"/>
      </w:divBdr>
    </w:div>
    <w:div w:id="329529305">
      <w:bodyDiv w:val="1"/>
      <w:marLeft w:val="0"/>
      <w:marRight w:val="0"/>
      <w:marTop w:val="0"/>
      <w:marBottom w:val="0"/>
      <w:divBdr>
        <w:top w:val="none" w:sz="0" w:space="0" w:color="auto"/>
        <w:left w:val="none" w:sz="0" w:space="0" w:color="auto"/>
        <w:bottom w:val="none" w:sz="0" w:space="0" w:color="auto"/>
        <w:right w:val="none" w:sz="0" w:space="0" w:color="auto"/>
      </w:divBdr>
    </w:div>
    <w:div w:id="341398877">
      <w:bodyDiv w:val="1"/>
      <w:marLeft w:val="0"/>
      <w:marRight w:val="0"/>
      <w:marTop w:val="0"/>
      <w:marBottom w:val="0"/>
      <w:divBdr>
        <w:top w:val="none" w:sz="0" w:space="0" w:color="auto"/>
        <w:left w:val="none" w:sz="0" w:space="0" w:color="auto"/>
        <w:bottom w:val="none" w:sz="0" w:space="0" w:color="auto"/>
        <w:right w:val="none" w:sz="0" w:space="0" w:color="auto"/>
      </w:divBdr>
      <w:divsChild>
        <w:div w:id="609245671">
          <w:marLeft w:val="360"/>
          <w:marRight w:val="0"/>
          <w:marTop w:val="0"/>
          <w:marBottom w:val="0"/>
          <w:divBdr>
            <w:top w:val="none" w:sz="0" w:space="0" w:color="auto"/>
            <w:left w:val="none" w:sz="0" w:space="0" w:color="auto"/>
            <w:bottom w:val="none" w:sz="0" w:space="0" w:color="auto"/>
            <w:right w:val="none" w:sz="0" w:space="0" w:color="auto"/>
          </w:divBdr>
        </w:div>
      </w:divsChild>
    </w:div>
    <w:div w:id="349456972">
      <w:bodyDiv w:val="1"/>
      <w:marLeft w:val="0"/>
      <w:marRight w:val="0"/>
      <w:marTop w:val="0"/>
      <w:marBottom w:val="0"/>
      <w:divBdr>
        <w:top w:val="none" w:sz="0" w:space="0" w:color="auto"/>
        <w:left w:val="none" w:sz="0" w:space="0" w:color="auto"/>
        <w:bottom w:val="none" w:sz="0" w:space="0" w:color="auto"/>
        <w:right w:val="none" w:sz="0" w:space="0" w:color="auto"/>
      </w:divBdr>
      <w:divsChild>
        <w:div w:id="497234943">
          <w:marLeft w:val="360"/>
          <w:marRight w:val="0"/>
          <w:marTop w:val="0"/>
          <w:marBottom w:val="0"/>
          <w:divBdr>
            <w:top w:val="none" w:sz="0" w:space="0" w:color="auto"/>
            <w:left w:val="none" w:sz="0" w:space="0" w:color="auto"/>
            <w:bottom w:val="none" w:sz="0" w:space="0" w:color="auto"/>
            <w:right w:val="none" w:sz="0" w:space="0" w:color="auto"/>
          </w:divBdr>
        </w:div>
        <w:div w:id="932974049">
          <w:marLeft w:val="360"/>
          <w:marRight w:val="0"/>
          <w:marTop w:val="0"/>
          <w:marBottom w:val="0"/>
          <w:divBdr>
            <w:top w:val="none" w:sz="0" w:space="0" w:color="auto"/>
            <w:left w:val="none" w:sz="0" w:space="0" w:color="auto"/>
            <w:bottom w:val="none" w:sz="0" w:space="0" w:color="auto"/>
            <w:right w:val="none" w:sz="0" w:space="0" w:color="auto"/>
          </w:divBdr>
        </w:div>
        <w:div w:id="1223058247">
          <w:marLeft w:val="360"/>
          <w:marRight w:val="0"/>
          <w:marTop w:val="0"/>
          <w:marBottom w:val="0"/>
          <w:divBdr>
            <w:top w:val="none" w:sz="0" w:space="0" w:color="auto"/>
            <w:left w:val="none" w:sz="0" w:space="0" w:color="auto"/>
            <w:bottom w:val="none" w:sz="0" w:space="0" w:color="auto"/>
            <w:right w:val="none" w:sz="0" w:space="0" w:color="auto"/>
          </w:divBdr>
        </w:div>
        <w:div w:id="1338969519">
          <w:marLeft w:val="360"/>
          <w:marRight w:val="0"/>
          <w:marTop w:val="0"/>
          <w:marBottom w:val="0"/>
          <w:divBdr>
            <w:top w:val="none" w:sz="0" w:space="0" w:color="auto"/>
            <w:left w:val="none" w:sz="0" w:space="0" w:color="auto"/>
            <w:bottom w:val="none" w:sz="0" w:space="0" w:color="auto"/>
            <w:right w:val="none" w:sz="0" w:space="0" w:color="auto"/>
          </w:divBdr>
        </w:div>
        <w:div w:id="1528445473">
          <w:marLeft w:val="360"/>
          <w:marRight w:val="0"/>
          <w:marTop w:val="0"/>
          <w:marBottom w:val="0"/>
          <w:divBdr>
            <w:top w:val="none" w:sz="0" w:space="0" w:color="auto"/>
            <w:left w:val="none" w:sz="0" w:space="0" w:color="auto"/>
            <w:bottom w:val="none" w:sz="0" w:space="0" w:color="auto"/>
            <w:right w:val="none" w:sz="0" w:space="0" w:color="auto"/>
          </w:divBdr>
        </w:div>
      </w:divsChild>
    </w:div>
    <w:div w:id="406264846">
      <w:bodyDiv w:val="1"/>
      <w:marLeft w:val="0"/>
      <w:marRight w:val="0"/>
      <w:marTop w:val="0"/>
      <w:marBottom w:val="0"/>
      <w:divBdr>
        <w:top w:val="none" w:sz="0" w:space="0" w:color="auto"/>
        <w:left w:val="none" w:sz="0" w:space="0" w:color="auto"/>
        <w:bottom w:val="none" w:sz="0" w:space="0" w:color="auto"/>
        <w:right w:val="none" w:sz="0" w:space="0" w:color="auto"/>
      </w:divBdr>
    </w:div>
    <w:div w:id="412896698">
      <w:bodyDiv w:val="1"/>
      <w:marLeft w:val="0"/>
      <w:marRight w:val="0"/>
      <w:marTop w:val="0"/>
      <w:marBottom w:val="0"/>
      <w:divBdr>
        <w:top w:val="none" w:sz="0" w:space="0" w:color="auto"/>
        <w:left w:val="none" w:sz="0" w:space="0" w:color="auto"/>
        <w:bottom w:val="none" w:sz="0" w:space="0" w:color="auto"/>
        <w:right w:val="none" w:sz="0" w:space="0" w:color="auto"/>
      </w:divBdr>
    </w:div>
    <w:div w:id="577784275">
      <w:bodyDiv w:val="1"/>
      <w:marLeft w:val="0"/>
      <w:marRight w:val="0"/>
      <w:marTop w:val="0"/>
      <w:marBottom w:val="0"/>
      <w:divBdr>
        <w:top w:val="none" w:sz="0" w:space="0" w:color="auto"/>
        <w:left w:val="none" w:sz="0" w:space="0" w:color="auto"/>
        <w:bottom w:val="none" w:sz="0" w:space="0" w:color="auto"/>
        <w:right w:val="none" w:sz="0" w:space="0" w:color="auto"/>
      </w:divBdr>
    </w:div>
    <w:div w:id="611864930">
      <w:bodyDiv w:val="1"/>
      <w:marLeft w:val="0"/>
      <w:marRight w:val="0"/>
      <w:marTop w:val="0"/>
      <w:marBottom w:val="0"/>
      <w:divBdr>
        <w:top w:val="none" w:sz="0" w:space="0" w:color="auto"/>
        <w:left w:val="none" w:sz="0" w:space="0" w:color="auto"/>
        <w:bottom w:val="none" w:sz="0" w:space="0" w:color="auto"/>
        <w:right w:val="none" w:sz="0" w:space="0" w:color="auto"/>
      </w:divBdr>
      <w:divsChild>
        <w:div w:id="1751196505">
          <w:marLeft w:val="360"/>
          <w:marRight w:val="0"/>
          <w:marTop w:val="0"/>
          <w:marBottom w:val="0"/>
          <w:divBdr>
            <w:top w:val="none" w:sz="0" w:space="0" w:color="auto"/>
            <w:left w:val="none" w:sz="0" w:space="0" w:color="auto"/>
            <w:bottom w:val="none" w:sz="0" w:space="0" w:color="auto"/>
            <w:right w:val="none" w:sz="0" w:space="0" w:color="auto"/>
          </w:divBdr>
        </w:div>
      </w:divsChild>
    </w:div>
    <w:div w:id="682630118">
      <w:bodyDiv w:val="1"/>
      <w:marLeft w:val="0"/>
      <w:marRight w:val="0"/>
      <w:marTop w:val="0"/>
      <w:marBottom w:val="0"/>
      <w:divBdr>
        <w:top w:val="none" w:sz="0" w:space="0" w:color="auto"/>
        <w:left w:val="none" w:sz="0" w:space="0" w:color="auto"/>
        <w:bottom w:val="none" w:sz="0" w:space="0" w:color="auto"/>
        <w:right w:val="none" w:sz="0" w:space="0" w:color="auto"/>
      </w:divBdr>
      <w:divsChild>
        <w:div w:id="407922593">
          <w:marLeft w:val="274"/>
          <w:marRight w:val="0"/>
          <w:marTop w:val="0"/>
          <w:marBottom w:val="0"/>
          <w:divBdr>
            <w:top w:val="none" w:sz="0" w:space="0" w:color="auto"/>
            <w:left w:val="none" w:sz="0" w:space="0" w:color="auto"/>
            <w:bottom w:val="none" w:sz="0" w:space="0" w:color="auto"/>
            <w:right w:val="none" w:sz="0" w:space="0" w:color="auto"/>
          </w:divBdr>
        </w:div>
        <w:div w:id="1327174483">
          <w:marLeft w:val="274"/>
          <w:marRight w:val="0"/>
          <w:marTop w:val="0"/>
          <w:marBottom w:val="0"/>
          <w:divBdr>
            <w:top w:val="none" w:sz="0" w:space="0" w:color="auto"/>
            <w:left w:val="none" w:sz="0" w:space="0" w:color="auto"/>
            <w:bottom w:val="none" w:sz="0" w:space="0" w:color="auto"/>
            <w:right w:val="none" w:sz="0" w:space="0" w:color="auto"/>
          </w:divBdr>
        </w:div>
        <w:div w:id="1353384056">
          <w:marLeft w:val="274"/>
          <w:marRight w:val="0"/>
          <w:marTop w:val="0"/>
          <w:marBottom w:val="0"/>
          <w:divBdr>
            <w:top w:val="none" w:sz="0" w:space="0" w:color="auto"/>
            <w:left w:val="none" w:sz="0" w:space="0" w:color="auto"/>
            <w:bottom w:val="none" w:sz="0" w:space="0" w:color="auto"/>
            <w:right w:val="none" w:sz="0" w:space="0" w:color="auto"/>
          </w:divBdr>
        </w:div>
        <w:div w:id="1386488326">
          <w:marLeft w:val="274"/>
          <w:marRight w:val="0"/>
          <w:marTop w:val="0"/>
          <w:marBottom w:val="0"/>
          <w:divBdr>
            <w:top w:val="none" w:sz="0" w:space="0" w:color="auto"/>
            <w:left w:val="none" w:sz="0" w:space="0" w:color="auto"/>
            <w:bottom w:val="none" w:sz="0" w:space="0" w:color="auto"/>
            <w:right w:val="none" w:sz="0" w:space="0" w:color="auto"/>
          </w:divBdr>
        </w:div>
      </w:divsChild>
    </w:div>
    <w:div w:id="846215999">
      <w:bodyDiv w:val="1"/>
      <w:marLeft w:val="0"/>
      <w:marRight w:val="0"/>
      <w:marTop w:val="0"/>
      <w:marBottom w:val="0"/>
      <w:divBdr>
        <w:top w:val="none" w:sz="0" w:space="0" w:color="auto"/>
        <w:left w:val="none" w:sz="0" w:space="0" w:color="auto"/>
        <w:bottom w:val="none" w:sz="0" w:space="0" w:color="auto"/>
        <w:right w:val="none" w:sz="0" w:space="0" w:color="auto"/>
      </w:divBdr>
    </w:div>
    <w:div w:id="1079475921">
      <w:bodyDiv w:val="1"/>
      <w:marLeft w:val="0"/>
      <w:marRight w:val="0"/>
      <w:marTop w:val="0"/>
      <w:marBottom w:val="0"/>
      <w:divBdr>
        <w:top w:val="none" w:sz="0" w:space="0" w:color="auto"/>
        <w:left w:val="none" w:sz="0" w:space="0" w:color="auto"/>
        <w:bottom w:val="none" w:sz="0" w:space="0" w:color="auto"/>
        <w:right w:val="none" w:sz="0" w:space="0" w:color="auto"/>
      </w:divBdr>
      <w:divsChild>
        <w:div w:id="1419055560">
          <w:marLeft w:val="360"/>
          <w:marRight w:val="0"/>
          <w:marTop w:val="0"/>
          <w:marBottom w:val="0"/>
          <w:divBdr>
            <w:top w:val="none" w:sz="0" w:space="0" w:color="auto"/>
            <w:left w:val="none" w:sz="0" w:space="0" w:color="auto"/>
            <w:bottom w:val="none" w:sz="0" w:space="0" w:color="auto"/>
            <w:right w:val="none" w:sz="0" w:space="0" w:color="auto"/>
          </w:divBdr>
        </w:div>
      </w:divsChild>
    </w:div>
    <w:div w:id="1262761651">
      <w:bodyDiv w:val="1"/>
      <w:marLeft w:val="0"/>
      <w:marRight w:val="0"/>
      <w:marTop w:val="0"/>
      <w:marBottom w:val="0"/>
      <w:divBdr>
        <w:top w:val="none" w:sz="0" w:space="0" w:color="auto"/>
        <w:left w:val="none" w:sz="0" w:space="0" w:color="auto"/>
        <w:bottom w:val="none" w:sz="0" w:space="0" w:color="auto"/>
        <w:right w:val="none" w:sz="0" w:space="0" w:color="auto"/>
      </w:divBdr>
    </w:div>
    <w:div w:id="1356811020">
      <w:bodyDiv w:val="1"/>
      <w:marLeft w:val="0"/>
      <w:marRight w:val="0"/>
      <w:marTop w:val="0"/>
      <w:marBottom w:val="0"/>
      <w:divBdr>
        <w:top w:val="none" w:sz="0" w:space="0" w:color="auto"/>
        <w:left w:val="none" w:sz="0" w:space="0" w:color="auto"/>
        <w:bottom w:val="none" w:sz="0" w:space="0" w:color="auto"/>
        <w:right w:val="none" w:sz="0" w:space="0" w:color="auto"/>
      </w:divBdr>
      <w:divsChild>
        <w:div w:id="564148223">
          <w:marLeft w:val="274"/>
          <w:marRight w:val="0"/>
          <w:marTop w:val="0"/>
          <w:marBottom w:val="0"/>
          <w:divBdr>
            <w:top w:val="none" w:sz="0" w:space="0" w:color="auto"/>
            <w:left w:val="none" w:sz="0" w:space="0" w:color="auto"/>
            <w:bottom w:val="none" w:sz="0" w:space="0" w:color="auto"/>
            <w:right w:val="none" w:sz="0" w:space="0" w:color="auto"/>
          </w:divBdr>
        </w:div>
        <w:div w:id="1608465237">
          <w:marLeft w:val="274"/>
          <w:marRight w:val="0"/>
          <w:marTop w:val="0"/>
          <w:marBottom w:val="0"/>
          <w:divBdr>
            <w:top w:val="none" w:sz="0" w:space="0" w:color="auto"/>
            <w:left w:val="none" w:sz="0" w:space="0" w:color="auto"/>
            <w:bottom w:val="none" w:sz="0" w:space="0" w:color="auto"/>
            <w:right w:val="none" w:sz="0" w:space="0" w:color="auto"/>
          </w:divBdr>
        </w:div>
        <w:div w:id="1712537863">
          <w:marLeft w:val="274"/>
          <w:marRight w:val="0"/>
          <w:marTop w:val="0"/>
          <w:marBottom w:val="160"/>
          <w:divBdr>
            <w:top w:val="none" w:sz="0" w:space="0" w:color="auto"/>
            <w:left w:val="none" w:sz="0" w:space="0" w:color="auto"/>
            <w:bottom w:val="none" w:sz="0" w:space="0" w:color="auto"/>
            <w:right w:val="none" w:sz="0" w:space="0" w:color="auto"/>
          </w:divBdr>
        </w:div>
      </w:divsChild>
    </w:div>
    <w:div w:id="1367290472">
      <w:bodyDiv w:val="1"/>
      <w:marLeft w:val="0"/>
      <w:marRight w:val="0"/>
      <w:marTop w:val="0"/>
      <w:marBottom w:val="0"/>
      <w:divBdr>
        <w:top w:val="none" w:sz="0" w:space="0" w:color="auto"/>
        <w:left w:val="none" w:sz="0" w:space="0" w:color="auto"/>
        <w:bottom w:val="none" w:sz="0" w:space="0" w:color="auto"/>
        <w:right w:val="none" w:sz="0" w:space="0" w:color="auto"/>
      </w:divBdr>
    </w:div>
    <w:div w:id="1382364300">
      <w:bodyDiv w:val="1"/>
      <w:marLeft w:val="0"/>
      <w:marRight w:val="0"/>
      <w:marTop w:val="0"/>
      <w:marBottom w:val="0"/>
      <w:divBdr>
        <w:top w:val="none" w:sz="0" w:space="0" w:color="auto"/>
        <w:left w:val="none" w:sz="0" w:space="0" w:color="auto"/>
        <w:bottom w:val="none" w:sz="0" w:space="0" w:color="auto"/>
        <w:right w:val="none" w:sz="0" w:space="0" w:color="auto"/>
      </w:divBdr>
    </w:div>
    <w:div w:id="1699161446">
      <w:bodyDiv w:val="1"/>
      <w:marLeft w:val="0"/>
      <w:marRight w:val="0"/>
      <w:marTop w:val="0"/>
      <w:marBottom w:val="0"/>
      <w:divBdr>
        <w:top w:val="none" w:sz="0" w:space="0" w:color="auto"/>
        <w:left w:val="none" w:sz="0" w:space="0" w:color="auto"/>
        <w:bottom w:val="none" w:sz="0" w:space="0" w:color="auto"/>
        <w:right w:val="none" w:sz="0" w:space="0" w:color="auto"/>
      </w:divBdr>
    </w:div>
    <w:div w:id="1893728969">
      <w:bodyDiv w:val="1"/>
      <w:marLeft w:val="0"/>
      <w:marRight w:val="0"/>
      <w:marTop w:val="0"/>
      <w:marBottom w:val="0"/>
      <w:divBdr>
        <w:top w:val="none" w:sz="0" w:space="0" w:color="auto"/>
        <w:left w:val="none" w:sz="0" w:space="0" w:color="auto"/>
        <w:bottom w:val="none" w:sz="0" w:space="0" w:color="auto"/>
        <w:right w:val="none" w:sz="0" w:space="0" w:color="auto"/>
      </w:divBdr>
    </w:div>
    <w:div w:id="1971588758">
      <w:bodyDiv w:val="1"/>
      <w:marLeft w:val="0"/>
      <w:marRight w:val="0"/>
      <w:marTop w:val="0"/>
      <w:marBottom w:val="0"/>
      <w:divBdr>
        <w:top w:val="none" w:sz="0" w:space="0" w:color="auto"/>
        <w:left w:val="none" w:sz="0" w:space="0" w:color="auto"/>
        <w:bottom w:val="none" w:sz="0" w:space="0" w:color="auto"/>
        <w:right w:val="none" w:sz="0" w:space="0" w:color="auto"/>
      </w:divBdr>
      <w:divsChild>
        <w:div w:id="378359244">
          <w:marLeft w:val="360"/>
          <w:marRight w:val="0"/>
          <w:marTop w:val="0"/>
          <w:marBottom w:val="0"/>
          <w:divBdr>
            <w:top w:val="none" w:sz="0" w:space="0" w:color="auto"/>
            <w:left w:val="none" w:sz="0" w:space="0" w:color="auto"/>
            <w:bottom w:val="none" w:sz="0" w:space="0" w:color="auto"/>
            <w:right w:val="none" w:sz="0" w:space="0" w:color="auto"/>
          </w:divBdr>
        </w:div>
        <w:div w:id="827131349">
          <w:marLeft w:val="360"/>
          <w:marRight w:val="0"/>
          <w:marTop w:val="0"/>
          <w:marBottom w:val="0"/>
          <w:divBdr>
            <w:top w:val="none" w:sz="0" w:space="0" w:color="auto"/>
            <w:left w:val="none" w:sz="0" w:space="0" w:color="auto"/>
            <w:bottom w:val="none" w:sz="0" w:space="0" w:color="auto"/>
            <w:right w:val="none" w:sz="0" w:space="0" w:color="auto"/>
          </w:divBdr>
        </w:div>
        <w:div w:id="1767848370">
          <w:marLeft w:val="360"/>
          <w:marRight w:val="0"/>
          <w:marTop w:val="0"/>
          <w:marBottom w:val="0"/>
          <w:divBdr>
            <w:top w:val="none" w:sz="0" w:space="0" w:color="auto"/>
            <w:left w:val="none" w:sz="0" w:space="0" w:color="auto"/>
            <w:bottom w:val="none" w:sz="0" w:space="0" w:color="auto"/>
            <w:right w:val="none" w:sz="0" w:space="0" w:color="auto"/>
          </w:divBdr>
        </w:div>
      </w:divsChild>
    </w:div>
    <w:div w:id="2116173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eader" Target="header3.xml"/><Relationship Id="rId26" Type="http://schemas.openxmlformats.org/officeDocument/2006/relationships/chart" Target="charts/chart8.xml"/><Relationship Id="rId39" Type="http://schemas.openxmlformats.org/officeDocument/2006/relationships/image" Target="media/image5.png"/><Relationship Id="rId21" Type="http://schemas.openxmlformats.org/officeDocument/2006/relationships/chart" Target="charts/chart3.xml"/><Relationship Id="rId34" Type="http://schemas.openxmlformats.org/officeDocument/2006/relationships/chart" Target="charts/chart15.xm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image" Target="media/image34.png"/><Relationship Id="rId76" Type="http://schemas.openxmlformats.org/officeDocument/2006/relationships/image" Target="media/image42.png"/><Relationship Id="rId84" Type="http://schemas.openxmlformats.org/officeDocument/2006/relationships/image" Target="media/image50.png"/><Relationship Id="rId89" Type="http://schemas.openxmlformats.org/officeDocument/2006/relationships/image" Target="media/image55.png"/><Relationship Id="rId7" Type="http://schemas.openxmlformats.org/officeDocument/2006/relationships/styles" Target="styles.xml"/><Relationship Id="rId71"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chart" Target="charts/chart10.xml"/><Relationship Id="rId11" Type="http://schemas.openxmlformats.org/officeDocument/2006/relationships/endnotes" Target="endnotes.xml"/><Relationship Id="rId24" Type="http://schemas.openxmlformats.org/officeDocument/2006/relationships/chart" Target="charts/chart6.xml"/><Relationship Id="rId32" Type="http://schemas.openxmlformats.org/officeDocument/2006/relationships/chart" Target="charts/chart13.xm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image" Target="media/image32.png"/><Relationship Id="rId74" Type="http://schemas.openxmlformats.org/officeDocument/2006/relationships/image" Target="media/image40.png"/><Relationship Id="rId79" Type="http://schemas.openxmlformats.org/officeDocument/2006/relationships/image" Target="media/image45.png"/><Relationship Id="rId87" Type="http://schemas.openxmlformats.org/officeDocument/2006/relationships/image" Target="media/image53.png"/><Relationship Id="rId5" Type="http://schemas.openxmlformats.org/officeDocument/2006/relationships/customXml" Target="../customXml/item5.xml"/><Relationship Id="rId61" Type="http://schemas.openxmlformats.org/officeDocument/2006/relationships/image" Target="media/image27.png"/><Relationship Id="rId82" Type="http://schemas.openxmlformats.org/officeDocument/2006/relationships/image" Target="media/image48.png"/><Relationship Id="rId90" Type="http://schemas.openxmlformats.org/officeDocument/2006/relationships/fontTable" Target="fontTable.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1.xml"/><Relationship Id="rId35" Type="http://schemas.microsoft.com/office/2014/relationships/chartEx" Target="charts/chartEx1.xm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image" Target="media/image43.png"/><Relationship Id="rId8" Type="http://schemas.openxmlformats.org/officeDocument/2006/relationships/settings" Target="settings.xml"/><Relationship Id="rId51" Type="http://schemas.openxmlformats.org/officeDocument/2006/relationships/image" Target="media/image17.png"/><Relationship Id="rId72" Type="http://schemas.openxmlformats.org/officeDocument/2006/relationships/image" Target="media/image38.png"/><Relationship Id="rId80" Type="http://schemas.openxmlformats.org/officeDocument/2006/relationships/image" Target="media/image46.png"/><Relationship Id="rId85" Type="http://schemas.openxmlformats.org/officeDocument/2006/relationships/image" Target="media/image51.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chart" Target="charts/chart7.xml"/><Relationship Id="rId33" Type="http://schemas.openxmlformats.org/officeDocument/2006/relationships/chart" Target="charts/chart14.xml"/><Relationship Id="rId38" Type="http://schemas.openxmlformats.org/officeDocument/2006/relationships/image" Target="media/image4.png"/><Relationship Id="rId46" Type="http://schemas.openxmlformats.org/officeDocument/2006/relationships/image" Target="media/image12.pn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chart" Target="charts/chart2.xm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chart" Target="charts/chart5.xml"/><Relationship Id="rId28" Type="http://schemas.openxmlformats.org/officeDocument/2006/relationships/image" Target="media/image2.png"/><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footnotes" Target="footnotes.xml"/><Relationship Id="rId31" Type="http://schemas.openxmlformats.org/officeDocument/2006/relationships/chart" Target="charts/chart12.xm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s>
</file>

<file path=word/_rels/footnotes.xml.rels><?xml version="1.0" encoding="UTF-8" standalone="yes"?>
<Relationships xmlns="http://schemas.openxmlformats.org/package/2006/relationships"><Relationship Id="rId1" Type="http://schemas.openxmlformats.org/officeDocument/2006/relationships/hyperlink" Target="https://www.apsc.gov.au/publication/working-minister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vicgov.sharepoint.com/sites/msteams_ca5ffc/Shared%20Documents/Silver%20Review%20Response/TYPESET/Report%20Figures%20-%20For%20Strat%20Comm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vicgov.sharepoint.com/sites/msteams_ca5ffc/Shared%20Documents/Silver%20Review%20Response/TYPESET/Report%20Figures%20-%20For%20Strat%20Comms.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https://vicgov.sharepoint.com/sites/msteams_ca5ffc/Shared%20Documents/Silver%20Review%20Response/TYPESET/Report%20Figures%20-%20For%20Strat%20Comm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vicgov.sharepoint.com/sites/msteams_ca5ffc/Shared%20Documents/Silver%20Review%20Response/TYPESET/Report%20Figures%20-%20For%20Strat%20Comm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vicgov.sharepoint.com/sites/msteams_ca5ffc/Shared%20Documents/Silver%20Review%20Response/TYPESET/Report%20Figures%20-%20For%20Strat%20Comm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vicgov.sharepoint.com/sites/msteams_ca5ffc/Shared%20Documents/Silver%20Review%20Response/TYPESET/Report%20Figures%20-%20For%20Strat%20Comm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vicgov.sharepoint.com/sites/msteams_ca5ffc/Shared%20Documents/Silver%20Review%20Response/TYPESET/Report%20Figures%20-%20For%20Strat%20Comms.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https://vicgov.sharepoint.com/sites/msteams_ca5ffc/Shared%20Documents/Silver%20Review%20Response/TYPESET/Report%20Figures%20-%20For%20Strat%20Comm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vicgov.sharepoint.com/sites/msteams_ca5ffc/Shared%20Documents/Silver%20Review%20Response/TYPESET/Report%20Figures%20-%20For%20Strat%20Comm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vicgov.sharepoint.com/sites/msteams_ca5ffc/Shared%20Documents/Silver%20Review%20Response/TYPESET/Report%20Figures%20-%20For%20Strat%20Comms.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https://vicgov.sharepoint.com/sites/msteams_ca5ffc/Shared%20Documents/Silver%20Review%20Response/TYPESET/Report%20Figures%20-%20For%20Strat%20Comm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vicgov.sharepoint.com/sites/msteams_ca5ffc/Shared%20Documents/Silver%20Review%20Response/TYPESET/Report%20Figures%20-%20For%20Strat%20Comms.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3" Type="http://schemas.openxmlformats.org/officeDocument/2006/relationships/oleObject" Target="https://vicgov.sharepoint.com/sites/msteams_ca5ffc/Shared%20Documents/Silver%20Review%20Response/TYPESET/Report%20Figures%20-%20For%20Strat%20Comm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vicgov.sharepoint.com/sites/msteams_ca5ffc/Shared%20Documents/Silver%20Review%20Response/TYPESET/Report%20Figures%20-%20For%20Strat%20Comm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vicgov.sharepoint.com/sites/msteams_ca5ffc/Shared%20Documents/Silver%20Review%20Response/TYPESET/Report%20Figures%20-%20For%20Strat%20Comms.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https://vicgov.sharepoint.com/sites/msteams_ca5ffc/Shared%20Documents/Silver%20Review%20Response/TYPESET/Report%20Figures%20-%20For%20Strat%20Comm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920" b="0" i="0" u="none" strike="noStrike" kern="1200" spc="0" baseline="0">
                <a:solidFill>
                  <a:sysClr val="windowText" lastClr="000000"/>
                </a:solidFill>
                <a:latin typeface="Aptos" panose="020B0004020202020204" pitchFamily="34" charset="0"/>
                <a:ea typeface="+mn-ea"/>
                <a:cs typeface="+mn-cs"/>
              </a:defRPr>
            </a:pPr>
            <a:r>
              <a:rPr lang="en-AU" sz="1100"/>
              <a:t>$</a:t>
            </a:r>
            <a:r>
              <a:rPr lang="en-AU" sz="1100" baseline="0"/>
              <a:t> per capita (real, 2023-24)</a:t>
            </a:r>
            <a:endParaRPr lang="en-AU" sz="1100"/>
          </a:p>
        </c:rich>
      </c:tx>
      <c:layout>
        <c:manualLayout>
          <c:xMode val="edge"/>
          <c:yMode val="edge"/>
          <c:x val="0"/>
          <c:y val="9.664923271452382E-3"/>
        </c:manualLayout>
      </c:layout>
      <c:overlay val="0"/>
      <c:spPr>
        <a:noFill/>
        <a:ln>
          <a:noFill/>
        </a:ln>
        <a:effectLst/>
      </c:spPr>
      <c:txPr>
        <a:bodyPr rot="0" spcFirstLastPara="1" vertOverflow="ellipsis" vert="horz" wrap="square" anchor="ctr" anchorCtr="1"/>
        <a:lstStyle/>
        <a:p>
          <a:pPr>
            <a:defRPr sz="1920" b="0" i="0" u="none" strike="noStrike" kern="1200" spc="0" baseline="0">
              <a:solidFill>
                <a:sysClr val="windowText" lastClr="000000"/>
              </a:solidFill>
              <a:latin typeface="Aptos" panose="020B0004020202020204" pitchFamily="34" charset="0"/>
              <a:ea typeface="+mn-ea"/>
              <a:cs typeface="+mn-cs"/>
            </a:defRPr>
          </a:pPr>
          <a:endParaRPr lang="en-AU"/>
        </a:p>
      </c:txPr>
    </c:title>
    <c:autoTitleDeleted val="0"/>
    <c:plotArea>
      <c:layout/>
      <c:areaChart>
        <c:grouping val="standard"/>
        <c:varyColors val="0"/>
        <c:ser>
          <c:idx val="2"/>
          <c:order val="2"/>
          <c:tx>
            <c:v>SHADING</c:v>
          </c:tx>
          <c:spPr>
            <a:solidFill>
              <a:schemeClr val="bg1">
                <a:lumMod val="75000"/>
              </a:schemeClr>
            </a:solidFill>
            <a:ln>
              <a:noFill/>
            </a:ln>
            <a:effectLst/>
          </c:spPr>
          <c:val>
            <c:numRef>
              <c:f>'2.1'!$E$13:$AD$13</c:f>
              <c:numCache>
                <c:formatCode>General</c:formatCode>
                <c:ptCount val="26"/>
                <c:pt idx="21">
                  <c:v>20000</c:v>
                </c:pt>
                <c:pt idx="22">
                  <c:v>20000</c:v>
                </c:pt>
                <c:pt idx="23">
                  <c:v>20000</c:v>
                </c:pt>
                <c:pt idx="24">
                  <c:v>20000</c:v>
                </c:pt>
                <c:pt idx="25">
                  <c:v>20000</c:v>
                </c:pt>
              </c:numCache>
            </c:numRef>
          </c:val>
          <c:extLst>
            <c:ext xmlns:c16="http://schemas.microsoft.com/office/drawing/2014/chart" uri="{C3380CC4-5D6E-409C-BE32-E72D297353CC}">
              <c16:uniqueId val="{00000000-40F7-4B64-89E6-BE7C27C65020}"/>
            </c:ext>
          </c:extLst>
        </c:ser>
        <c:dLbls>
          <c:showLegendKey val="0"/>
          <c:showVal val="0"/>
          <c:showCatName val="0"/>
          <c:showSerName val="0"/>
          <c:showPercent val="0"/>
          <c:showBubbleSize val="0"/>
        </c:dLbls>
        <c:axId val="289141927"/>
        <c:axId val="289143727"/>
      </c:areaChart>
      <c:lineChart>
        <c:grouping val="standard"/>
        <c:varyColors val="0"/>
        <c:ser>
          <c:idx val="0"/>
          <c:order val="0"/>
          <c:tx>
            <c:strRef>
              <c:f>'2.1'!$D$11</c:f>
              <c:strCache>
                <c:ptCount val="1"/>
                <c:pt idx="0">
                  <c:v>Real general govt. expenditure per capita, Victoria</c:v>
                </c:pt>
              </c:strCache>
            </c:strRef>
          </c:tx>
          <c:spPr>
            <a:ln w="28575" cap="rnd">
              <a:solidFill>
                <a:srgbClr val="1CADE4"/>
              </a:solidFill>
              <a:round/>
            </a:ln>
            <a:effectLst/>
          </c:spPr>
          <c:marker>
            <c:symbol val="none"/>
          </c:marker>
          <c:cat>
            <c:strRef>
              <c:f>'2.1'!$E$10:$AD$10</c:f>
              <c:strCache>
                <c:ptCount val="26"/>
                <c:pt idx="0">
                  <c:v>2003-04</c:v>
                </c:pt>
                <c:pt idx="1">
                  <c:v>2004-05</c:v>
                </c:pt>
                <c:pt idx="2">
                  <c:v>2005-06</c:v>
                </c:pt>
                <c:pt idx="3">
                  <c:v>2006-07</c:v>
                </c:pt>
                <c:pt idx="4">
                  <c:v>2007-08</c:v>
                </c:pt>
                <c:pt idx="5">
                  <c:v>2008-09</c:v>
                </c:pt>
                <c:pt idx="6">
                  <c:v>2009-10</c:v>
                </c:pt>
                <c:pt idx="7">
                  <c:v>2010-11</c:v>
                </c:pt>
                <c:pt idx="8">
                  <c:v>2011-12</c:v>
                </c:pt>
                <c:pt idx="9">
                  <c:v>2012-13</c:v>
                </c:pt>
                <c:pt idx="10">
                  <c:v>2013-14</c:v>
                </c:pt>
                <c:pt idx="11">
                  <c:v>2014-15</c:v>
                </c:pt>
                <c:pt idx="12">
                  <c:v>2015-16</c:v>
                </c:pt>
                <c:pt idx="13">
                  <c:v>2016-17</c:v>
                </c:pt>
                <c:pt idx="14">
                  <c:v>2017-18</c:v>
                </c:pt>
                <c:pt idx="15">
                  <c:v>2018-19</c:v>
                </c:pt>
                <c:pt idx="16">
                  <c:v>2019-20</c:v>
                </c:pt>
                <c:pt idx="17">
                  <c:v>2020-21</c:v>
                </c:pt>
                <c:pt idx="18">
                  <c:v>2021-22</c:v>
                </c:pt>
                <c:pt idx="19">
                  <c:v>2022-23</c:v>
                </c:pt>
                <c:pt idx="20">
                  <c:v>2023-24</c:v>
                </c:pt>
                <c:pt idx="21">
                  <c:v>2024-25</c:v>
                </c:pt>
                <c:pt idx="22">
                  <c:v>2025-26</c:v>
                </c:pt>
                <c:pt idx="23">
                  <c:v>2026-27</c:v>
                </c:pt>
                <c:pt idx="24">
                  <c:v>2027-28</c:v>
                </c:pt>
                <c:pt idx="25">
                  <c:v>2028-29</c:v>
                </c:pt>
              </c:strCache>
            </c:strRef>
          </c:cat>
          <c:val>
            <c:numRef>
              <c:f>'2.1'!$E$11:$AD$11</c:f>
              <c:numCache>
                <c:formatCode>_-* #,##0.0_-;\-* #,##0.0_-;_-* "-"??_-;_-@_-</c:formatCode>
                <c:ptCount val="26"/>
                <c:pt idx="0">
                  <c:v>9539.3793645526348</c:v>
                </c:pt>
                <c:pt idx="1">
                  <c:v>9740.8860986727523</c:v>
                </c:pt>
                <c:pt idx="2">
                  <c:v>9982.1821204375719</c:v>
                </c:pt>
                <c:pt idx="3">
                  <c:v>10256.232444017858</c:v>
                </c:pt>
                <c:pt idx="4">
                  <c:v>10349.334739087231</c:v>
                </c:pt>
                <c:pt idx="5">
                  <c:v>10739.49692016924</c:v>
                </c:pt>
                <c:pt idx="6">
                  <c:v>11622.678599711537</c:v>
                </c:pt>
                <c:pt idx="7">
                  <c:v>11512.314023993671</c:v>
                </c:pt>
                <c:pt idx="8">
                  <c:v>11464.154560011997</c:v>
                </c:pt>
                <c:pt idx="9">
                  <c:v>11348.374537189187</c:v>
                </c:pt>
                <c:pt idx="10">
                  <c:v>11141.236933964181</c:v>
                </c:pt>
                <c:pt idx="11">
                  <c:v>11184.205415038858</c:v>
                </c:pt>
                <c:pt idx="12">
                  <c:v>11068.205461868767</c:v>
                </c:pt>
                <c:pt idx="13">
                  <c:v>11478.722578498027</c:v>
                </c:pt>
                <c:pt idx="14">
                  <c:v>11822.314824063444</c:v>
                </c:pt>
                <c:pt idx="15">
                  <c:v>12593.014878413189</c:v>
                </c:pt>
                <c:pt idx="16">
                  <c:v>13329.302126741706</c:v>
                </c:pt>
                <c:pt idx="17">
                  <c:v>15514.160042177646</c:v>
                </c:pt>
                <c:pt idx="18">
                  <c:v>16284.150982338248</c:v>
                </c:pt>
                <c:pt idx="19">
                  <c:v>14304.40800223778</c:v>
                </c:pt>
                <c:pt idx="20">
                  <c:v>13939.324695747171</c:v>
                </c:pt>
                <c:pt idx="21">
                  <c:v>14315.579133590318</c:v>
                </c:pt>
                <c:pt idx="22">
                  <c:v>14160.457844664053</c:v>
                </c:pt>
                <c:pt idx="23">
                  <c:v>13623.325518307518</c:v>
                </c:pt>
                <c:pt idx="24">
                  <c:v>13366.324064238015</c:v>
                </c:pt>
                <c:pt idx="25">
                  <c:v>13344.857319711677</c:v>
                </c:pt>
              </c:numCache>
            </c:numRef>
          </c:val>
          <c:smooth val="0"/>
          <c:extLst>
            <c:ext xmlns:c16="http://schemas.microsoft.com/office/drawing/2014/chart" uri="{C3380CC4-5D6E-409C-BE32-E72D297353CC}">
              <c16:uniqueId val="{00000001-40F7-4B64-89E6-BE7C27C65020}"/>
            </c:ext>
          </c:extLst>
        </c:ser>
        <c:ser>
          <c:idx val="1"/>
          <c:order val="1"/>
          <c:tx>
            <c:strRef>
              <c:f>'2.1'!$D$12</c:f>
              <c:strCache>
                <c:ptCount val="1"/>
                <c:pt idx="0">
                  <c:v>Real general govt. revenue per capita, Victoria</c:v>
                </c:pt>
              </c:strCache>
            </c:strRef>
          </c:tx>
          <c:spPr>
            <a:ln w="28575" cap="rnd">
              <a:solidFill>
                <a:srgbClr val="264C72"/>
              </a:solidFill>
              <a:round/>
            </a:ln>
            <a:effectLst/>
          </c:spPr>
          <c:marker>
            <c:symbol val="none"/>
          </c:marker>
          <c:cat>
            <c:strRef>
              <c:f>'2.1'!$E$10:$AD$10</c:f>
              <c:strCache>
                <c:ptCount val="26"/>
                <c:pt idx="0">
                  <c:v>2003-04</c:v>
                </c:pt>
                <c:pt idx="1">
                  <c:v>2004-05</c:v>
                </c:pt>
                <c:pt idx="2">
                  <c:v>2005-06</c:v>
                </c:pt>
                <c:pt idx="3">
                  <c:v>2006-07</c:v>
                </c:pt>
                <c:pt idx="4">
                  <c:v>2007-08</c:v>
                </c:pt>
                <c:pt idx="5">
                  <c:v>2008-09</c:v>
                </c:pt>
                <c:pt idx="6">
                  <c:v>2009-10</c:v>
                </c:pt>
                <c:pt idx="7">
                  <c:v>2010-11</c:v>
                </c:pt>
                <c:pt idx="8">
                  <c:v>2011-12</c:v>
                </c:pt>
                <c:pt idx="9">
                  <c:v>2012-13</c:v>
                </c:pt>
                <c:pt idx="10">
                  <c:v>2013-14</c:v>
                </c:pt>
                <c:pt idx="11">
                  <c:v>2014-15</c:v>
                </c:pt>
                <c:pt idx="12">
                  <c:v>2015-16</c:v>
                </c:pt>
                <c:pt idx="13">
                  <c:v>2016-17</c:v>
                </c:pt>
                <c:pt idx="14">
                  <c:v>2017-18</c:v>
                </c:pt>
                <c:pt idx="15">
                  <c:v>2018-19</c:v>
                </c:pt>
                <c:pt idx="16">
                  <c:v>2019-20</c:v>
                </c:pt>
                <c:pt idx="17">
                  <c:v>2020-21</c:v>
                </c:pt>
                <c:pt idx="18">
                  <c:v>2021-22</c:v>
                </c:pt>
                <c:pt idx="19">
                  <c:v>2022-23</c:v>
                </c:pt>
                <c:pt idx="20">
                  <c:v>2023-24</c:v>
                </c:pt>
                <c:pt idx="21">
                  <c:v>2024-25</c:v>
                </c:pt>
                <c:pt idx="22">
                  <c:v>2025-26</c:v>
                </c:pt>
                <c:pt idx="23">
                  <c:v>2026-27</c:v>
                </c:pt>
                <c:pt idx="24">
                  <c:v>2027-28</c:v>
                </c:pt>
                <c:pt idx="25">
                  <c:v>2028-29</c:v>
                </c:pt>
              </c:strCache>
            </c:strRef>
          </c:cat>
          <c:val>
            <c:numRef>
              <c:f>'2.1'!$E$12:$AD$12</c:f>
              <c:numCache>
                <c:formatCode>_-* #,##0.0_-;\-* #,##0.0_-;_-* "-"??_-;_-@_-</c:formatCode>
                <c:ptCount val="26"/>
                <c:pt idx="0">
                  <c:v>9874.0208804759404</c:v>
                </c:pt>
                <c:pt idx="1">
                  <c:v>10007.60892297889</c:v>
                </c:pt>
                <c:pt idx="2">
                  <c:v>10246.420664496729</c:v>
                </c:pt>
                <c:pt idx="3">
                  <c:v>10664.176657780863</c:v>
                </c:pt>
                <c:pt idx="4">
                  <c:v>10826.752863126198</c:v>
                </c:pt>
                <c:pt idx="5">
                  <c:v>10808.602672658399</c:v>
                </c:pt>
                <c:pt idx="6">
                  <c:v>11792.913169656291</c:v>
                </c:pt>
                <c:pt idx="7">
                  <c:v>11643.167352093062</c:v>
                </c:pt>
                <c:pt idx="8">
                  <c:v>11602.575143032782</c:v>
                </c:pt>
                <c:pt idx="9">
                  <c:v>11274.955815971562</c:v>
                </c:pt>
                <c:pt idx="10">
                  <c:v>11579.007110782288</c:v>
                </c:pt>
                <c:pt idx="11">
                  <c:v>11442.547111839021</c:v>
                </c:pt>
                <c:pt idx="12">
                  <c:v>11613.654441510422</c:v>
                </c:pt>
                <c:pt idx="13">
                  <c:v>12012.870210029485</c:v>
                </c:pt>
                <c:pt idx="14">
                  <c:v>12261.329837154191</c:v>
                </c:pt>
                <c:pt idx="15">
                  <c:v>12771.169406375437</c:v>
                </c:pt>
                <c:pt idx="16">
                  <c:v>12159.160731948192</c:v>
                </c:pt>
                <c:pt idx="17">
                  <c:v>12924.258293274084</c:v>
                </c:pt>
                <c:pt idx="18">
                  <c:v>13964.486573615834</c:v>
                </c:pt>
                <c:pt idx="19">
                  <c:v>12951.861843594768</c:v>
                </c:pt>
                <c:pt idx="20">
                  <c:v>13334.134394140243</c:v>
                </c:pt>
                <c:pt idx="21">
                  <c:v>13842.194299906057</c:v>
                </c:pt>
                <c:pt idx="22">
                  <c:v>14240.815645651826</c:v>
                </c:pt>
                <c:pt idx="23">
                  <c:v>13865.259838571135</c:v>
                </c:pt>
                <c:pt idx="24">
                  <c:v>13653.192614747868</c:v>
                </c:pt>
                <c:pt idx="25">
                  <c:v>13518.938447797911</c:v>
                </c:pt>
              </c:numCache>
            </c:numRef>
          </c:val>
          <c:smooth val="0"/>
          <c:extLst>
            <c:ext xmlns:c16="http://schemas.microsoft.com/office/drawing/2014/chart" uri="{C3380CC4-5D6E-409C-BE32-E72D297353CC}">
              <c16:uniqueId val="{00000002-40F7-4B64-89E6-BE7C27C65020}"/>
            </c:ext>
          </c:extLst>
        </c:ser>
        <c:dLbls>
          <c:showLegendKey val="0"/>
          <c:showVal val="0"/>
          <c:showCatName val="0"/>
          <c:showSerName val="0"/>
          <c:showPercent val="0"/>
          <c:showBubbleSize val="0"/>
        </c:dLbls>
        <c:marker val="1"/>
        <c:smooth val="0"/>
        <c:axId val="289141927"/>
        <c:axId val="289143727"/>
      </c:lineChart>
      <c:catAx>
        <c:axId val="28914192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ptos" panose="020B0004020202020204" pitchFamily="34" charset="0"/>
                <a:ea typeface="+mn-ea"/>
                <a:cs typeface="+mn-cs"/>
              </a:defRPr>
            </a:pPr>
            <a:endParaRPr lang="en-US"/>
          </a:p>
        </c:txPr>
        <c:crossAx val="289143727"/>
        <c:crosses val="autoZero"/>
        <c:auto val="1"/>
        <c:lblAlgn val="ctr"/>
        <c:lblOffset val="100"/>
        <c:tickLblSkip val="5"/>
        <c:tickMarkSkip val="5"/>
        <c:noMultiLvlLbl val="0"/>
      </c:catAx>
      <c:valAx>
        <c:axId val="289143727"/>
        <c:scaling>
          <c:orientation val="minMax"/>
          <c:max val="20000"/>
        </c:scaling>
        <c:delete val="0"/>
        <c:axPos val="l"/>
        <c:numFmt formatCode="#,##0;\(#,##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ptos" panose="020B0004020202020204" pitchFamily="34" charset="0"/>
                <a:ea typeface="+mn-ea"/>
                <a:cs typeface="+mn-cs"/>
              </a:defRPr>
            </a:pPr>
            <a:endParaRPr lang="en-US"/>
          </a:p>
        </c:txPr>
        <c:crossAx val="289141927"/>
        <c:crosses val="autoZero"/>
        <c:crossBetween val="between"/>
        <c:majorUnit val="40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600">
          <a:solidFill>
            <a:sysClr val="windowText" lastClr="000000"/>
          </a:solidFill>
          <a:latin typeface="Aptos" panose="020B0004020202020204" pitchFamily="34" charset="0"/>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920" b="0" i="0" u="none" strike="noStrike" kern="1200" spc="0" baseline="0">
                <a:solidFill>
                  <a:sysClr val="windowText" lastClr="000000"/>
                </a:solidFill>
                <a:latin typeface="Aptos" panose="020B0004020202020204" pitchFamily="34" charset="0"/>
                <a:ea typeface="+mn-ea"/>
                <a:cs typeface="+mn-cs"/>
              </a:defRPr>
            </a:pPr>
            <a:r>
              <a:rPr kumimoji="0" lang="en-AU" sz="1100" b="0" i="0" u="none" strike="noStrike" kern="0" cap="none" spc="0" normalizeH="0" baseline="0" noProof="0">
                <a:ln>
                  <a:noFill/>
                </a:ln>
                <a:solidFill>
                  <a:sysClr val="windowText" lastClr="000000"/>
                </a:solidFill>
                <a:effectLst/>
                <a:uLnTx/>
                <a:uFillTx/>
                <a:latin typeface="Aptos" panose="020B0004020202020204" pitchFamily="34" charset="0"/>
              </a:rPr>
              <a:t>$ (real, 2023/24)</a:t>
            </a:r>
          </a:p>
        </c:rich>
      </c:tx>
      <c:layout>
        <c:manualLayout>
          <c:xMode val="edge"/>
          <c:yMode val="edge"/>
          <c:x val="8.8632838466651889E-3"/>
          <c:y val="6.4303058374387692E-3"/>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920" b="0" i="0" u="none" strike="noStrike" kern="1200" spc="0" baseline="0">
              <a:solidFill>
                <a:sysClr val="windowText" lastClr="000000"/>
              </a:solidFill>
              <a:latin typeface="Aptos" panose="020B0004020202020204" pitchFamily="34" charset="0"/>
              <a:ea typeface="+mn-ea"/>
              <a:cs typeface="+mn-cs"/>
            </a:defRPr>
          </a:pPr>
          <a:endParaRPr lang="en-US"/>
        </a:p>
      </c:txPr>
    </c:title>
    <c:autoTitleDeleted val="0"/>
    <c:plotArea>
      <c:layout/>
      <c:lineChart>
        <c:grouping val="standard"/>
        <c:varyColors val="0"/>
        <c:ser>
          <c:idx val="0"/>
          <c:order val="0"/>
          <c:tx>
            <c:strRef>
              <c:f>'3.2'!$D$12</c:f>
              <c:strCache>
                <c:ptCount val="1"/>
                <c:pt idx="0">
                  <c:v>Victoria</c:v>
                </c:pt>
              </c:strCache>
            </c:strRef>
          </c:tx>
          <c:spPr>
            <a:ln w="28575" cap="rnd">
              <a:solidFill>
                <a:srgbClr val="1CADE4"/>
              </a:solidFill>
              <a:round/>
            </a:ln>
            <a:effectLst/>
          </c:spPr>
          <c:marker>
            <c:symbol val="none"/>
          </c:marker>
          <c:cat>
            <c:strRef>
              <c:f>'3.2'!$E$11:$N$11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'3.2'!$E$12:$N$12</c:f>
              <c:numCache>
                <c:formatCode>_-* #,##0_-;\-* #,##0_-;_-* "-"??_-;_-@_-</c:formatCode>
                <c:ptCount val="10"/>
                <c:pt idx="0">
                  <c:v>3037.2590857082969</c:v>
                </c:pt>
                <c:pt idx="1">
                  <c:v>3105.3390775062335</c:v>
                </c:pt>
                <c:pt idx="2">
                  <c:v>3273.2605415649832</c:v>
                </c:pt>
                <c:pt idx="3">
                  <c:v>3395.9865151353188</c:v>
                </c:pt>
                <c:pt idx="4">
                  <c:v>3639.0701185717344</c:v>
                </c:pt>
                <c:pt idx="5">
                  <c:v>3869.3756186432474</c:v>
                </c:pt>
                <c:pt idx="6">
                  <c:v>4362.4675710378997</c:v>
                </c:pt>
                <c:pt idx="7">
                  <c:v>4706.9206799703898</c:v>
                </c:pt>
                <c:pt idx="8">
                  <c:v>4375.0705557087185</c:v>
                </c:pt>
                <c:pt idx="9">
                  <c:v>4236.7374298922196</c:v>
                </c:pt>
              </c:numCache>
            </c:numRef>
          </c:val>
          <c:smooth val="0"/>
          <c:extLst>
            <c:ext xmlns:c16="http://schemas.microsoft.com/office/drawing/2014/chart" uri="{C3380CC4-5D6E-409C-BE32-E72D297353CC}">
              <c16:uniqueId val="{00000000-1337-4A06-866F-13E5BDACF37A}"/>
            </c:ext>
          </c:extLst>
        </c:ser>
        <c:ser>
          <c:idx val="1"/>
          <c:order val="1"/>
          <c:tx>
            <c:strRef>
              <c:f>'3.2'!$D$13</c:f>
              <c:strCache>
                <c:ptCount val="1"/>
                <c:pt idx="0">
                  <c:v>New South Wales</c:v>
                </c:pt>
              </c:strCache>
            </c:strRef>
          </c:tx>
          <c:spPr>
            <a:ln w="28575" cap="rnd">
              <a:solidFill>
                <a:srgbClr val="E97132"/>
              </a:solidFill>
              <a:round/>
            </a:ln>
            <a:effectLst/>
          </c:spPr>
          <c:marker>
            <c:symbol val="none"/>
          </c:marker>
          <c:cat>
            <c:strRef>
              <c:f>'3.2'!$E$11:$N$11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'3.2'!$E$13:$N$13</c:f>
              <c:numCache>
                <c:formatCode>_-* #,##0_-;\-* #,##0_-;_-* "-"??_-;_-@_-</c:formatCode>
                <c:ptCount val="10"/>
                <c:pt idx="0">
                  <c:v>3083.1213094620744</c:v>
                </c:pt>
                <c:pt idx="1">
                  <c:v>3183.0650727548646</c:v>
                </c:pt>
                <c:pt idx="2">
                  <c:v>3280.0127957941863</c:v>
                </c:pt>
                <c:pt idx="3">
                  <c:v>3316.0842724085192</c:v>
                </c:pt>
                <c:pt idx="4">
                  <c:v>3421.996444390566</c:v>
                </c:pt>
                <c:pt idx="5">
                  <c:v>3569.6466856982029</c:v>
                </c:pt>
                <c:pt idx="6">
                  <c:v>3719.2611163960646</c:v>
                </c:pt>
                <c:pt idx="7">
                  <c:v>3963.2138372288669</c:v>
                </c:pt>
                <c:pt idx="8">
                  <c:v>3677.6512048034551</c:v>
                </c:pt>
                <c:pt idx="9">
                  <c:v>3637.2046134864217</c:v>
                </c:pt>
              </c:numCache>
            </c:numRef>
          </c:val>
          <c:smooth val="0"/>
          <c:extLst>
            <c:ext xmlns:c16="http://schemas.microsoft.com/office/drawing/2014/chart" uri="{C3380CC4-5D6E-409C-BE32-E72D297353CC}">
              <c16:uniqueId val="{00000001-1337-4A06-866F-13E5BDACF37A}"/>
            </c:ext>
          </c:extLst>
        </c:ser>
        <c:ser>
          <c:idx val="2"/>
          <c:order val="2"/>
          <c:tx>
            <c:strRef>
              <c:f>'3.2'!$D$14</c:f>
              <c:strCache>
                <c:ptCount val="1"/>
                <c:pt idx="0">
                  <c:v>Commonwealth</c:v>
                </c:pt>
              </c:strCache>
            </c:strRef>
          </c:tx>
          <c:spPr>
            <a:ln w="28575" cap="rnd">
              <a:solidFill>
                <a:srgbClr val="800080"/>
              </a:solidFill>
              <a:round/>
            </a:ln>
            <a:effectLst/>
          </c:spPr>
          <c:marker>
            <c:symbol val="none"/>
          </c:marker>
          <c:cat>
            <c:strRef>
              <c:f>'3.2'!$E$11:$N$11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'3.2'!$E$14:$N$14</c:f>
              <c:numCache>
                <c:formatCode>_-* #,##0_-;\-* #,##0_-;_-* "-"??_-;_-@_-</c:formatCode>
                <c:ptCount val="10"/>
                <c:pt idx="0">
                  <c:v>3542.517948529568</c:v>
                </c:pt>
                <c:pt idx="1">
                  <c:v>3608.322869198551</c:v>
                </c:pt>
                <c:pt idx="2">
                  <c:v>3781.5273183114073</c:v>
                </c:pt>
                <c:pt idx="3">
                  <c:v>3867.587085773433</c:v>
                </c:pt>
                <c:pt idx="4">
                  <c:v>3916.1809683360593</c:v>
                </c:pt>
                <c:pt idx="5">
                  <c:v>4163.5783511663985</c:v>
                </c:pt>
                <c:pt idx="6">
                  <c:v>4402.4461372061505</c:v>
                </c:pt>
                <c:pt idx="7">
                  <c:v>4708.0566557948205</c:v>
                </c:pt>
                <c:pt idx="8">
                  <c:v>4179.4374831409341</c:v>
                </c:pt>
                <c:pt idx="9">
                  <c:v>4002.5933309943689</c:v>
                </c:pt>
              </c:numCache>
            </c:numRef>
          </c:val>
          <c:smooth val="0"/>
          <c:extLst>
            <c:ext xmlns:c16="http://schemas.microsoft.com/office/drawing/2014/chart" uri="{C3380CC4-5D6E-409C-BE32-E72D297353CC}">
              <c16:uniqueId val="{00000002-1337-4A06-866F-13E5BDACF37A}"/>
            </c:ext>
          </c:extLst>
        </c:ser>
        <c:dLbls>
          <c:showLegendKey val="0"/>
          <c:showVal val="0"/>
          <c:showCatName val="0"/>
          <c:showSerName val="0"/>
          <c:showPercent val="0"/>
          <c:showBubbleSize val="0"/>
        </c:dLbls>
        <c:smooth val="0"/>
        <c:axId val="316034719"/>
        <c:axId val="316035799"/>
      </c:lineChart>
      <c:catAx>
        <c:axId val="316034719"/>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ptos" panose="020B0004020202020204" pitchFamily="34" charset="0"/>
                <a:ea typeface="+mn-ea"/>
                <a:cs typeface="+mn-cs"/>
              </a:defRPr>
            </a:pPr>
            <a:endParaRPr lang="en-US"/>
          </a:p>
        </c:txPr>
        <c:crossAx val="316035799"/>
        <c:crosses val="autoZero"/>
        <c:auto val="1"/>
        <c:lblAlgn val="ctr"/>
        <c:lblOffset val="100"/>
        <c:tickLblSkip val="3"/>
        <c:tickMarkSkip val="3"/>
        <c:noMultiLvlLbl val="0"/>
      </c:catAx>
      <c:valAx>
        <c:axId val="316035799"/>
        <c:scaling>
          <c:orientation val="minMax"/>
          <c:min val="2000"/>
        </c:scaling>
        <c:delete val="0"/>
        <c:axPos val="l"/>
        <c:numFmt formatCode="#,##0;\(#,##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ptos" panose="020B0004020202020204" pitchFamily="34" charset="0"/>
                <a:ea typeface="+mn-ea"/>
                <a:cs typeface="+mn-cs"/>
              </a:defRPr>
            </a:pPr>
            <a:endParaRPr lang="en-US"/>
          </a:p>
        </c:txPr>
        <c:crossAx val="316034719"/>
        <c:crosses val="autoZero"/>
        <c:crossBetween val="midCat"/>
        <c:majorUnit val="5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600">
          <a:solidFill>
            <a:sysClr val="windowText" lastClr="000000"/>
          </a:solidFill>
          <a:latin typeface="Aptos" panose="020B000402020202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49443746522129"/>
          <c:y val="4.7102798199368003E-2"/>
          <c:w val="0.85845998101758636"/>
          <c:h val="0.82613179311589613"/>
        </c:manualLayout>
      </c:layout>
      <c:barChart>
        <c:barDir val="col"/>
        <c:grouping val="clustered"/>
        <c:varyColors val="0"/>
        <c:ser>
          <c:idx val="0"/>
          <c:order val="0"/>
          <c:tx>
            <c:strRef>
              <c:f>'3.3'!$D$10</c:f>
              <c:strCache>
                <c:ptCount val="1"/>
                <c:pt idx="0">
                  <c:v>Admitted Services</c:v>
                </c:pt>
              </c:strCache>
            </c:strRef>
          </c:tx>
          <c:spPr>
            <a:solidFill>
              <a:srgbClr val="1CADE4"/>
            </a:solidFill>
            <a:ln>
              <a:noFill/>
            </a:ln>
            <a:effectLst/>
          </c:spPr>
          <c:invertIfNegative val="0"/>
          <c:cat>
            <c:strRef>
              <c:f>'3.3'!$F$9:$S$9</c:f>
              <c:strCache>
                <c:ptCount val="14"/>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pt idx="12">
                  <c:v>2022-23</c:v>
                </c:pt>
                <c:pt idx="13">
                  <c:v>2023-24</c:v>
                </c:pt>
              </c:strCache>
            </c:strRef>
          </c:cat>
          <c:val>
            <c:numRef>
              <c:f>'3.3'!$F$10:$S$10</c:f>
              <c:numCache>
                <c:formatCode>General</c:formatCode>
                <c:ptCount val="14"/>
                <c:pt idx="0">
                  <c:v>26.100000000000364</c:v>
                </c:pt>
                <c:pt idx="1">
                  <c:v>-89.400000000000546</c:v>
                </c:pt>
                <c:pt idx="2">
                  <c:v>-149.60000000000036</c:v>
                </c:pt>
                <c:pt idx="3">
                  <c:v>-36.799999999999272</c:v>
                </c:pt>
                <c:pt idx="4">
                  <c:v>127.10000000000036</c:v>
                </c:pt>
                <c:pt idx="5">
                  <c:v>285</c:v>
                </c:pt>
                <c:pt idx="6">
                  <c:v>507.39999999999964</c:v>
                </c:pt>
                <c:pt idx="7">
                  <c:v>372.80000000000109</c:v>
                </c:pt>
                <c:pt idx="8">
                  <c:v>35.899999999999636</c:v>
                </c:pt>
                <c:pt idx="9">
                  <c:v>1730.1999999999989</c:v>
                </c:pt>
                <c:pt idx="10">
                  <c:v>859.39999999999964</c:v>
                </c:pt>
                <c:pt idx="11">
                  <c:v>2603.6000000000004</c:v>
                </c:pt>
                <c:pt idx="12">
                  <c:v>2130.2999999999993</c:v>
                </c:pt>
                <c:pt idx="13">
                  <c:v>1592.3999999999996</c:v>
                </c:pt>
              </c:numCache>
            </c:numRef>
          </c:val>
          <c:extLst>
            <c:ext xmlns:c16="http://schemas.microsoft.com/office/drawing/2014/chart" uri="{C3380CC4-5D6E-409C-BE32-E72D297353CC}">
              <c16:uniqueId val="{00000000-64DB-4D33-80D1-38FA4BC5D7FA}"/>
            </c:ext>
          </c:extLst>
        </c:ser>
        <c:dLbls>
          <c:showLegendKey val="0"/>
          <c:showVal val="0"/>
          <c:showCatName val="0"/>
          <c:showSerName val="0"/>
          <c:showPercent val="0"/>
          <c:showBubbleSize val="0"/>
        </c:dLbls>
        <c:gapWidth val="50"/>
        <c:overlap val="-27"/>
        <c:axId val="3016255"/>
        <c:axId val="3016615"/>
      </c:barChart>
      <c:catAx>
        <c:axId val="3016255"/>
        <c:scaling>
          <c:orientation val="minMax"/>
        </c:scaling>
        <c:delete val="0"/>
        <c:axPos val="b"/>
        <c:numFmt formatCode="#,##0.00" sourceLinked="0"/>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ptos" panose="020B0004020202020204" pitchFamily="34" charset="0"/>
                <a:ea typeface="+mn-ea"/>
                <a:cs typeface="+mn-cs"/>
              </a:defRPr>
            </a:pPr>
            <a:endParaRPr lang="en-US"/>
          </a:p>
        </c:txPr>
        <c:crossAx val="3016615"/>
        <c:crosses val="autoZero"/>
        <c:auto val="1"/>
        <c:lblAlgn val="ctr"/>
        <c:lblOffset val="100"/>
        <c:tickLblSkip val="1"/>
        <c:tickMarkSkip val="5"/>
        <c:noMultiLvlLbl val="0"/>
      </c:catAx>
      <c:valAx>
        <c:axId val="3016615"/>
        <c:scaling>
          <c:orientation val="minMax"/>
        </c:scaling>
        <c:delete val="0"/>
        <c:axPos val="l"/>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ptos" panose="020B0004020202020204" pitchFamily="34" charset="0"/>
                <a:ea typeface="+mn-ea"/>
                <a:cs typeface="+mn-cs"/>
              </a:defRPr>
            </a:pPr>
            <a:endParaRPr lang="en-US"/>
          </a:p>
        </c:txPr>
        <c:crossAx val="301625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600">
          <a:solidFill>
            <a:sysClr val="windowText" lastClr="000000"/>
          </a:solidFill>
          <a:latin typeface="Aptos" panose="020B00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l" defTabSz="914400" rtl="0" eaLnBrk="1" fontAlgn="auto" latinLnBrk="0" hangingPunct="1">
              <a:lnSpc>
                <a:spcPct val="100000"/>
              </a:lnSpc>
              <a:spcBef>
                <a:spcPts val="0"/>
              </a:spcBef>
              <a:spcAft>
                <a:spcPts val="0"/>
              </a:spcAft>
              <a:buClrTx/>
              <a:buSzTx/>
              <a:buFontTx/>
              <a:buNone/>
              <a:tabLst/>
              <a:defRPr sz="1920" b="0" i="0" u="none" strike="noStrike" kern="1200" spc="0" baseline="0">
                <a:solidFill>
                  <a:sysClr val="windowText" lastClr="000000"/>
                </a:solidFill>
                <a:latin typeface="Aptos" panose="020B0004020202020204" pitchFamily="34" charset="0"/>
                <a:ea typeface="+mn-ea"/>
                <a:cs typeface="+mn-cs"/>
              </a:defRPr>
            </a:pPr>
            <a:r>
              <a:rPr lang="en-AU" sz="1100">
                <a:solidFill>
                  <a:sysClr val="windowText" lastClr="000000"/>
                </a:solidFill>
                <a:latin typeface="Aptos" panose="020B0004020202020204" pitchFamily="34" charset="0"/>
              </a:rPr>
              <a:t>Cumulative difference between actual and population share of infrastructure funding, $ millions</a:t>
            </a:r>
          </a:p>
          <a:p>
            <a:pPr marL="0" marR="0" lvl="0" indent="0" algn="l" defTabSz="914400" rtl="0" eaLnBrk="1" fontAlgn="auto" latinLnBrk="0" hangingPunct="1">
              <a:lnSpc>
                <a:spcPct val="100000"/>
              </a:lnSpc>
              <a:spcBef>
                <a:spcPts val="0"/>
              </a:spcBef>
              <a:spcAft>
                <a:spcPts val="0"/>
              </a:spcAft>
              <a:buClrTx/>
              <a:buSzTx/>
              <a:buFontTx/>
              <a:buNone/>
              <a:tabLst/>
              <a:defRPr/>
            </a:pPr>
            <a:endParaRPr lang="en-AU"/>
          </a:p>
        </c:rich>
      </c:tx>
      <c:layout>
        <c:manualLayout>
          <c:xMode val="edge"/>
          <c:yMode val="edge"/>
          <c:x val="9.2338668169470173E-3"/>
          <c:y val="1.3744257274119447E-2"/>
        </c:manualLayout>
      </c:layout>
      <c:overlay val="0"/>
      <c:spPr>
        <a:noFill/>
        <a:ln>
          <a:noFill/>
        </a:ln>
        <a:effectLst/>
      </c:spPr>
      <c:txPr>
        <a:bodyPr rot="0" spcFirstLastPara="1" vertOverflow="ellipsis" vert="horz" wrap="square" anchor="ctr" anchorCtr="1"/>
        <a:lstStyle/>
        <a:p>
          <a:pPr marL="0" marR="0" lvl="0" indent="0" algn="l" defTabSz="914400" rtl="0" eaLnBrk="1" fontAlgn="auto" latinLnBrk="0" hangingPunct="1">
            <a:lnSpc>
              <a:spcPct val="100000"/>
            </a:lnSpc>
            <a:spcBef>
              <a:spcPts val="0"/>
            </a:spcBef>
            <a:spcAft>
              <a:spcPts val="0"/>
            </a:spcAft>
            <a:buClrTx/>
            <a:buSzTx/>
            <a:buFontTx/>
            <a:buNone/>
            <a:tabLst/>
            <a:defRPr sz="1920" b="0" i="0" u="none" strike="noStrike" kern="1200" spc="0" baseline="0">
              <a:solidFill>
                <a:sysClr val="windowText" lastClr="000000"/>
              </a:solidFill>
              <a:latin typeface="Aptos" panose="020B0004020202020204" pitchFamily="34" charset="0"/>
              <a:ea typeface="+mn-ea"/>
              <a:cs typeface="+mn-cs"/>
            </a:defRPr>
          </a:pPr>
          <a:endParaRPr lang="en-US"/>
        </a:p>
      </c:txPr>
    </c:title>
    <c:autoTitleDeleted val="0"/>
    <c:plotArea>
      <c:layout/>
      <c:lineChart>
        <c:grouping val="standard"/>
        <c:varyColors val="0"/>
        <c:ser>
          <c:idx val="0"/>
          <c:order val="0"/>
          <c:tx>
            <c:strRef>
              <c:f>'4.1'!$E$44</c:f>
              <c:strCache>
                <c:ptCount val="1"/>
                <c:pt idx="0">
                  <c:v>NSW</c:v>
                </c:pt>
              </c:strCache>
            </c:strRef>
          </c:tx>
          <c:spPr>
            <a:ln w="28575" cap="rnd">
              <a:solidFill>
                <a:schemeClr val="accent2"/>
              </a:solidFill>
              <a:round/>
            </a:ln>
            <a:effectLst/>
          </c:spPr>
          <c:marker>
            <c:symbol val="none"/>
          </c:marker>
          <c:cat>
            <c:strRef>
              <c:f>'4.1'!$D$45:$D$54</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'4.1'!$E$45:$E$54</c:f>
              <c:numCache>
                <c:formatCode>_(* #,##0.00_);_(* \(#,##0.00\);_(* "-"??_);_(@_)</c:formatCode>
                <c:ptCount val="10"/>
                <c:pt idx="0">
                  <c:v>189.48547865531009</c:v>
                </c:pt>
                <c:pt idx="1">
                  <c:v>395.36018289054755</c:v>
                </c:pt>
                <c:pt idx="2">
                  <c:v>1587.6627478004871</c:v>
                </c:pt>
                <c:pt idx="3">
                  <c:v>2151.9660332586968</c:v>
                </c:pt>
                <c:pt idx="4">
                  <c:v>2273.9928923184225</c:v>
                </c:pt>
                <c:pt idx="5">
                  <c:v>2478.0093653927156</c:v>
                </c:pt>
                <c:pt idx="6">
                  <c:v>2592.3508999293949</c:v>
                </c:pt>
                <c:pt idx="7">
                  <c:v>2588.8366652069622</c:v>
                </c:pt>
                <c:pt idx="8">
                  <c:v>2672.6721378338616</c:v>
                </c:pt>
                <c:pt idx="9">
                  <c:v>2870.3079384305906</c:v>
                </c:pt>
              </c:numCache>
            </c:numRef>
          </c:val>
          <c:smooth val="0"/>
          <c:extLst>
            <c:ext xmlns:c16="http://schemas.microsoft.com/office/drawing/2014/chart" uri="{C3380CC4-5D6E-409C-BE32-E72D297353CC}">
              <c16:uniqueId val="{00000000-A34C-4CC5-BEB6-FA808A32A35A}"/>
            </c:ext>
          </c:extLst>
        </c:ser>
        <c:ser>
          <c:idx val="1"/>
          <c:order val="1"/>
          <c:tx>
            <c:strRef>
              <c:f>'4.1'!$F$44</c:f>
              <c:strCache>
                <c:ptCount val="1"/>
                <c:pt idx="0">
                  <c:v>VIC</c:v>
                </c:pt>
              </c:strCache>
            </c:strRef>
          </c:tx>
          <c:spPr>
            <a:ln w="28575" cap="rnd">
              <a:solidFill>
                <a:srgbClr val="1CADE4"/>
              </a:solidFill>
              <a:round/>
            </a:ln>
            <a:effectLst/>
          </c:spPr>
          <c:marker>
            <c:symbol val="none"/>
          </c:marker>
          <c:cat>
            <c:strRef>
              <c:f>'4.1'!$D$45:$D$54</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'4.1'!$F$45:$F$54</c:f>
              <c:numCache>
                <c:formatCode>_(* #,##0.00_);_(* \(#,##0.00\);_(* "-"??_);_(@_)</c:formatCode>
                <c:ptCount val="10"/>
                <c:pt idx="0">
                  <c:v>-741.62092686655637</c:v>
                </c:pt>
                <c:pt idx="1">
                  <c:v>-1639.8366421714627</c:v>
                </c:pt>
                <c:pt idx="2">
                  <c:v>-2929.2341895948425</c:v>
                </c:pt>
                <c:pt idx="3">
                  <c:v>-4266.1074652883299</c:v>
                </c:pt>
                <c:pt idx="4">
                  <c:v>-5233.9001412801417</c:v>
                </c:pt>
                <c:pt idx="5">
                  <c:v>-5622.9209259496492</c:v>
                </c:pt>
                <c:pt idx="6">
                  <c:v>-6535.6647047961305</c:v>
                </c:pt>
                <c:pt idx="7">
                  <c:v>-7287.2685815960431</c:v>
                </c:pt>
                <c:pt idx="8">
                  <c:v>-8308.8300925462954</c:v>
                </c:pt>
                <c:pt idx="9">
                  <c:v>-9424.9885939532051</c:v>
                </c:pt>
              </c:numCache>
            </c:numRef>
          </c:val>
          <c:smooth val="0"/>
          <c:extLst>
            <c:ext xmlns:c16="http://schemas.microsoft.com/office/drawing/2014/chart" uri="{C3380CC4-5D6E-409C-BE32-E72D297353CC}">
              <c16:uniqueId val="{00000001-A34C-4CC5-BEB6-FA808A32A35A}"/>
            </c:ext>
          </c:extLst>
        </c:ser>
        <c:ser>
          <c:idx val="2"/>
          <c:order val="2"/>
          <c:tx>
            <c:strRef>
              <c:f>'4.1'!$G$44</c:f>
              <c:strCache>
                <c:ptCount val="1"/>
                <c:pt idx="0">
                  <c:v>QLD</c:v>
                </c:pt>
              </c:strCache>
            </c:strRef>
          </c:tx>
          <c:spPr>
            <a:ln w="28575" cap="rnd">
              <a:solidFill>
                <a:srgbClr val="800080"/>
              </a:solidFill>
              <a:round/>
            </a:ln>
            <a:effectLst/>
          </c:spPr>
          <c:marker>
            <c:symbol val="none"/>
          </c:marker>
          <c:cat>
            <c:strRef>
              <c:f>'4.1'!$D$45:$D$54</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'4.1'!$G$45:$G$54</c:f>
              <c:numCache>
                <c:formatCode>_(* #,##0.00_);_(* \(#,##0.00\);_(* "-"??_);_(@_)</c:formatCode>
                <c:ptCount val="10"/>
                <c:pt idx="0">
                  <c:v>218.68402224034628</c:v>
                </c:pt>
                <c:pt idx="1">
                  <c:v>602.78399533955701</c:v>
                </c:pt>
                <c:pt idx="2">
                  <c:v>871.37618504439786</c:v>
                </c:pt>
                <c:pt idx="3">
                  <c:v>1060.5554295185057</c:v>
                </c:pt>
                <c:pt idx="4">
                  <c:v>957.29220391223794</c:v>
                </c:pt>
                <c:pt idx="5">
                  <c:v>1201.609633091731</c:v>
                </c:pt>
                <c:pt idx="6">
                  <c:v>1831.4954432934217</c:v>
                </c:pt>
                <c:pt idx="7">
                  <c:v>2049.7020914449463</c:v>
                </c:pt>
                <c:pt idx="8">
                  <c:v>2048.2249066792729</c:v>
                </c:pt>
                <c:pt idx="9">
                  <c:v>1998.931046030164</c:v>
                </c:pt>
              </c:numCache>
            </c:numRef>
          </c:val>
          <c:smooth val="0"/>
          <c:extLst>
            <c:ext xmlns:c16="http://schemas.microsoft.com/office/drawing/2014/chart" uri="{C3380CC4-5D6E-409C-BE32-E72D297353CC}">
              <c16:uniqueId val="{00000002-A34C-4CC5-BEB6-FA808A32A35A}"/>
            </c:ext>
          </c:extLst>
        </c:ser>
        <c:dLbls>
          <c:showLegendKey val="0"/>
          <c:showVal val="0"/>
          <c:showCatName val="0"/>
          <c:showSerName val="0"/>
          <c:showPercent val="0"/>
          <c:showBubbleSize val="0"/>
        </c:dLbls>
        <c:smooth val="0"/>
        <c:axId val="550453736"/>
        <c:axId val="550453016"/>
      </c:lineChart>
      <c:catAx>
        <c:axId val="550453736"/>
        <c:scaling>
          <c:orientation val="minMax"/>
        </c:scaling>
        <c:delete val="0"/>
        <c:axPos val="b"/>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ptos" panose="020B0004020202020204" pitchFamily="34" charset="0"/>
                <a:ea typeface="+mn-ea"/>
                <a:cs typeface="+mn-cs"/>
              </a:defRPr>
            </a:pPr>
            <a:endParaRPr lang="en-US"/>
          </a:p>
        </c:txPr>
        <c:crossAx val="550453016"/>
        <c:crosses val="autoZero"/>
        <c:auto val="1"/>
        <c:lblAlgn val="ctr"/>
        <c:lblOffset val="100"/>
        <c:tickLblSkip val="3"/>
        <c:tickMarkSkip val="3"/>
        <c:noMultiLvlLbl val="0"/>
      </c:catAx>
      <c:valAx>
        <c:axId val="550453016"/>
        <c:scaling>
          <c:orientation val="minMax"/>
        </c:scaling>
        <c:delete val="0"/>
        <c:axPos val="l"/>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ptos" panose="020B0004020202020204" pitchFamily="34" charset="0"/>
                <a:ea typeface="+mn-ea"/>
                <a:cs typeface="+mn-cs"/>
              </a:defRPr>
            </a:pPr>
            <a:endParaRPr lang="en-US"/>
          </a:p>
        </c:txPr>
        <c:crossAx val="550453736"/>
        <c:crosses val="autoZero"/>
        <c:crossBetween val="midCat"/>
      </c:valAx>
      <c:spPr>
        <a:solidFill>
          <a:schemeClr val="bg1"/>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600">
          <a:solidFill>
            <a:sysClr val="windowText" lastClr="000000"/>
          </a:solidFill>
          <a:latin typeface="Aptos" panose="020B00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l" defTabSz="914400" rtl="0" eaLnBrk="1" fontAlgn="auto" latinLnBrk="0" hangingPunct="1">
              <a:lnSpc>
                <a:spcPct val="100000"/>
              </a:lnSpc>
              <a:spcBef>
                <a:spcPts val="0"/>
              </a:spcBef>
              <a:spcAft>
                <a:spcPts val="0"/>
              </a:spcAft>
              <a:buClrTx/>
              <a:buSzTx/>
              <a:buFontTx/>
              <a:buNone/>
              <a:tabLst/>
              <a:defRPr sz="1920" b="0" i="0" u="none" strike="noStrike" kern="1200" spc="0" baseline="0">
                <a:solidFill>
                  <a:sysClr val="windowText" lastClr="000000"/>
                </a:solidFill>
                <a:latin typeface="Aptos" panose="020B0004020202020204" pitchFamily="34" charset="0"/>
                <a:ea typeface="+mn-ea"/>
                <a:cs typeface="+mn-cs"/>
              </a:defRPr>
            </a:pPr>
            <a:r>
              <a:rPr lang="en-AU" sz="1100">
                <a:solidFill>
                  <a:sysClr val="windowText" lastClr="000000"/>
                </a:solidFill>
                <a:latin typeface="Aptos" panose="020B0004020202020204" pitchFamily="34" charset="0"/>
              </a:rPr>
              <a:t>Commonwealth infrastructure spending to states, $ per capita</a:t>
            </a:r>
          </a:p>
          <a:p>
            <a:pPr marL="0" marR="0" lvl="0" indent="0" algn="l" defTabSz="914400" rtl="0" eaLnBrk="1" fontAlgn="auto" latinLnBrk="0" hangingPunct="1">
              <a:lnSpc>
                <a:spcPct val="100000"/>
              </a:lnSpc>
              <a:spcBef>
                <a:spcPts val="0"/>
              </a:spcBef>
              <a:spcAft>
                <a:spcPts val="0"/>
              </a:spcAft>
              <a:buClrTx/>
              <a:buSzTx/>
              <a:buFontTx/>
              <a:buNone/>
              <a:tabLst/>
              <a:defRPr/>
            </a:pPr>
            <a:endParaRPr lang="en-AU"/>
          </a:p>
        </c:rich>
      </c:tx>
      <c:layout>
        <c:manualLayout>
          <c:xMode val="edge"/>
          <c:yMode val="edge"/>
          <c:x val="3.7686403757474034E-3"/>
          <c:y val="3.2814012379973591E-2"/>
        </c:manualLayout>
      </c:layout>
      <c:overlay val="0"/>
      <c:spPr>
        <a:noFill/>
        <a:ln>
          <a:noFill/>
        </a:ln>
        <a:effectLst/>
      </c:spPr>
      <c:txPr>
        <a:bodyPr rot="0" spcFirstLastPara="1" vertOverflow="ellipsis" vert="horz" wrap="square" anchor="ctr" anchorCtr="1"/>
        <a:lstStyle/>
        <a:p>
          <a:pPr marL="0" marR="0" lvl="0" indent="0" algn="l" defTabSz="914400" rtl="0" eaLnBrk="1" fontAlgn="auto" latinLnBrk="0" hangingPunct="1">
            <a:lnSpc>
              <a:spcPct val="100000"/>
            </a:lnSpc>
            <a:spcBef>
              <a:spcPts val="0"/>
            </a:spcBef>
            <a:spcAft>
              <a:spcPts val="0"/>
            </a:spcAft>
            <a:buClrTx/>
            <a:buSzTx/>
            <a:buFontTx/>
            <a:buNone/>
            <a:tabLst/>
            <a:defRPr sz="1920" b="0" i="0" u="none" strike="noStrike" kern="1200" spc="0" baseline="0">
              <a:solidFill>
                <a:sysClr val="windowText" lastClr="000000"/>
              </a:solidFill>
              <a:latin typeface="Aptos" panose="020B0004020202020204" pitchFamily="34" charset="0"/>
              <a:ea typeface="+mn-ea"/>
              <a:cs typeface="+mn-cs"/>
            </a:defRPr>
          </a:pPr>
          <a:endParaRPr lang="en-US"/>
        </a:p>
      </c:txPr>
    </c:title>
    <c:autoTitleDeleted val="0"/>
    <c:plotArea>
      <c:layout/>
      <c:lineChart>
        <c:grouping val="standard"/>
        <c:varyColors val="0"/>
        <c:ser>
          <c:idx val="0"/>
          <c:order val="0"/>
          <c:tx>
            <c:strRef>
              <c:f>'4.1'!$E$59</c:f>
              <c:strCache>
                <c:ptCount val="1"/>
                <c:pt idx="0">
                  <c:v>NSW</c:v>
                </c:pt>
              </c:strCache>
            </c:strRef>
          </c:tx>
          <c:spPr>
            <a:ln w="28575" cap="rnd">
              <a:solidFill>
                <a:schemeClr val="accent2"/>
              </a:solidFill>
              <a:round/>
            </a:ln>
            <a:effectLst/>
          </c:spPr>
          <c:marker>
            <c:symbol val="none"/>
          </c:marker>
          <c:cat>
            <c:strRef>
              <c:f>'4.1'!$D$73:$D$82</c:f>
              <c:strCache>
                <c:ptCount val="10"/>
                <c:pt idx="0">
                  <c:v>2014-15</c:v>
                </c:pt>
                <c:pt idx="1">
                  <c:v>2015-16</c:v>
                </c:pt>
                <c:pt idx="2">
                  <c:v>2016-17</c:v>
                </c:pt>
                <c:pt idx="3">
                  <c:v>2017-18</c:v>
                </c:pt>
                <c:pt idx="4">
                  <c:v>2018-19</c:v>
                </c:pt>
                <c:pt idx="5">
                  <c:v>2019-20</c:v>
                </c:pt>
                <c:pt idx="6">
                  <c:v>2020-21</c:v>
                </c:pt>
                <c:pt idx="7">
                  <c:v>2021-22</c:v>
                </c:pt>
                <c:pt idx="8">
                  <c:v>2022-23</c:v>
                </c:pt>
                <c:pt idx="9">
                  <c:v>2023-24</c:v>
                </c:pt>
              </c:strCache>
              <c:extLst/>
            </c:strRef>
          </c:cat>
          <c:val>
            <c:numRef>
              <c:f>'4.1'!$E$73:$E$82</c:f>
              <c:numCache>
                <c:formatCode>General</c:formatCode>
                <c:ptCount val="10"/>
                <c:pt idx="0">
                  <c:v>231.35571926074388</c:v>
                </c:pt>
                <c:pt idx="1">
                  <c:v>258.29352623253396</c:v>
                </c:pt>
                <c:pt idx="2">
                  <c:v>456.46260588415362</c:v>
                </c:pt>
                <c:pt idx="3">
                  <c:v>364.66883611501049</c:v>
                </c:pt>
                <c:pt idx="4">
                  <c:v>271.74856793440773</c:v>
                </c:pt>
                <c:pt idx="5">
                  <c:v>240.01289706069048</c:v>
                </c:pt>
                <c:pt idx="6">
                  <c:v>418.32461405652248</c:v>
                </c:pt>
                <c:pt idx="7">
                  <c:v>345.39277098313494</c:v>
                </c:pt>
                <c:pt idx="8">
                  <c:v>441.86769409772126</c:v>
                </c:pt>
                <c:pt idx="9">
                  <c:v>489.3701306127798</c:v>
                </c:pt>
              </c:numCache>
              <c:extLst/>
            </c:numRef>
          </c:val>
          <c:smooth val="0"/>
          <c:extLst>
            <c:ext xmlns:c16="http://schemas.microsoft.com/office/drawing/2014/chart" uri="{C3380CC4-5D6E-409C-BE32-E72D297353CC}">
              <c16:uniqueId val="{00000000-ED89-4314-AC73-0BDA4C85C541}"/>
            </c:ext>
          </c:extLst>
        </c:ser>
        <c:ser>
          <c:idx val="1"/>
          <c:order val="1"/>
          <c:tx>
            <c:strRef>
              <c:f>'4.1'!$F$59</c:f>
              <c:strCache>
                <c:ptCount val="1"/>
                <c:pt idx="0">
                  <c:v>VIC</c:v>
                </c:pt>
              </c:strCache>
            </c:strRef>
          </c:tx>
          <c:spPr>
            <a:ln w="28575" cap="rnd">
              <a:solidFill>
                <a:srgbClr val="1CADE4"/>
              </a:solidFill>
              <a:round/>
            </a:ln>
            <a:effectLst/>
          </c:spPr>
          <c:marker>
            <c:symbol val="none"/>
          </c:marker>
          <c:cat>
            <c:strRef>
              <c:f>'4.1'!$D$73:$D$82</c:f>
              <c:strCache>
                <c:ptCount val="10"/>
                <c:pt idx="0">
                  <c:v>2014-15</c:v>
                </c:pt>
                <c:pt idx="1">
                  <c:v>2015-16</c:v>
                </c:pt>
                <c:pt idx="2">
                  <c:v>2016-17</c:v>
                </c:pt>
                <c:pt idx="3">
                  <c:v>2017-18</c:v>
                </c:pt>
                <c:pt idx="4">
                  <c:v>2018-19</c:v>
                </c:pt>
                <c:pt idx="5">
                  <c:v>2019-20</c:v>
                </c:pt>
                <c:pt idx="6">
                  <c:v>2020-21</c:v>
                </c:pt>
                <c:pt idx="7">
                  <c:v>2021-22</c:v>
                </c:pt>
                <c:pt idx="8">
                  <c:v>2022-23</c:v>
                </c:pt>
                <c:pt idx="9">
                  <c:v>2023-24</c:v>
                </c:pt>
              </c:strCache>
              <c:extLst/>
            </c:strRef>
          </c:cat>
          <c:val>
            <c:numRef>
              <c:f>'4.1'!$F$73:$F$82</c:f>
              <c:numCache>
                <c:formatCode>General</c:formatCode>
                <c:ptCount val="10"/>
                <c:pt idx="0">
                  <c:v>80.321607166033914</c:v>
                </c:pt>
                <c:pt idx="1">
                  <c:v>81.661701174957912</c:v>
                </c:pt>
                <c:pt idx="2">
                  <c:v>97.065657606618075</c:v>
                </c:pt>
                <c:pt idx="3">
                  <c:v>84.024692722925337</c:v>
                </c:pt>
                <c:pt idx="4">
                  <c:v>108.29394339585926</c:v>
                </c:pt>
                <c:pt idx="5">
                  <c:v>156.42556375105733</c:v>
                </c:pt>
                <c:pt idx="6">
                  <c:v>267.32071039740993</c:v>
                </c:pt>
                <c:pt idx="7">
                  <c:v>231.25207985864506</c:v>
                </c:pt>
                <c:pt idx="8">
                  <c:v>279.31749877429064</c:v>
                </c:pt>
                <c:pt idx="9">
                  <c:v>304.31692658157908</c:v>
                </c:pt>
              </c:numCache>
              <c:extLst/>
            </c:numRef>
          </c:val>
          <c:smooth val="0"/>
          <c:extLst>
            <c:ext xmlns:c16="http://schemas.microsoft.com/office/drawing/2014/chart" uri="{C3380CC4-5D6E-409C-BE32-E72D297353CC}">
              <c16:uniqueId val="{00000001-ED89-4314-AC73-0BDA4C85C541}"/>
            </c:ext>
          </c:extLst>
        </c:ser>
        <c:ser>
          <c:idx val="2"/>
          <c:order val="2"/>
          <c:tx>
            <c:strRef>
              <c:f>'4.1'!$G$59</c:f>
              <c:strCache>
                <c:ptCount val="1"/>
                <c:pt idx="0">
                  <c:v>QLD</c:v>
                </c:pt>
              </c:strCache>
            </c:strRef>
          </c:tx>
          <c:spPr>
            <a:ln w="28575" cap="rnd">
              <a:solidFill>
                <a:srgbClr val="800080"/>
              </a:solidFill>
              <a:round/>
            </a:ln>
            <a:effectLst/>
          </c:spPr>
          <c:marker>
            <c:symbol val="none"/>
          </c:marker>
          <c:cat>
            <c:strRef>
              <c:f>'4.1'!$D$73:$D$82</c:f>
              <c:strCache>
                <c:ptCount val="10"/>
                <c:pt idx="0">
                  <c:v>2014-15</c:v>
                </c:pt>
                <c:pt idx="1">
                  <c:v>2015-16</c:v>
                </c:pt>
                <c:pt idx="2">
                  <c:v>2016-17</c:v>
                </c:pt>
                <c:pt idx="3">
                  <c:v>2017-18</c:v>
                </c:pt>
                <c:pt idx="4">
                  <c:v>2018-19</c:v>
                </c:pt>
                <c:pt idx="5">
                  <c:v>2019-20</c:v>
                </c:pt>
                <c:pt idx="6">
                  <c:v>2020-21</c:v>
                </c:pt>
                <c:pt idx="7">
                  <c:v>2021-22</c:v>
                </c:pt>
                <c:pt idx="8">
                  <c:v>2022-23</c:v>
                </c:pt>
                <c:pt idx="9">
                  <c:v>2023-24</c:v>
                </c:pt>
              </c:strCache>
              <c:extLst/>
            </c:strRef>
          </c:cat>
          <c:val>
            <c:numRef>
              <c:f>'4.1'!$G$73:$G$82</c:f>
              <c:numCache>
                <c:formatCode>General</c:formatCode>
                <c:ptCount val="10"/>
                <c:pt idx="0">
                  <c:v>252.34348374586071</c:v>
                </c:pt>
                <c:pt idx="1">
                  <c:v>311.32944363539042</c:v>
                </c:pt>
                <c:pt idx="2">
                  <c:v>358.55724476676579</c:v>
                </c:pt>
                <c:pt idx="3">
                  <c:v>331.47634668289214</c:v>
                </c:pt>
                <c:pt idx="4">
                  <c:v>236.1458249015848</c:v>
                </c:pt>
                <c:pt idx="5">
                  <c:v>262.54075051910371</c:v>
                </c:pt>
                <c:pt idx="6">
                  <c:v>525.58490775242308</c:v>
                </c:pt>
                <c:pt idx="7">
                  <c:v>387.27129104168762</c:v>
                </c:pt>
                <c:pt idx="8">
                  <c:v>431.41734797222233</c:v>
                </c:pt>
                <c:pt idx="9">
                  <c:v>457.02234976010675</c:v>
                </c:pt>
              </c:numCache>
              <c:extLst/>
            </c:numRef>
          </c:val>
          <c:smooth val="0"/>
          <c:extLst>
            <c:ext xmlns:c16="http://schemas.microsoft.com/office/drawing/2014/chart" uri="{C3380CC4-5D6E-409C-BE32-E72D297353CC}">
              <c16:uniqueId val="{00000002-ED89-4314-AC73-0BDA4C85C541}"/>
            </c:ext>
          </c:extLst>
        </c:ser>
        <c:ser>
          <c:idx val="3"/>
          <c:order val="3"/>
          <c:tx>
            <c:strRef>
              <c:f>'4.1'!$H$59</c:f>
              <c:strCache>
                <c:ptCount val="1"/>
                <c:pt idx="0">
                  <c:v>Total</c:v>
                </c:pt>
              </c:strCache>
            </c:strRef>
          </c:tx>
          <c:spPr>
            <a:ln w="28575" cap="rnd">
              <a:solidFill>
                <a:schemeClr val="tx1"/>
              </a:solidFill>
              <a:prstDash val="sysDash"/>
              <a:round/>
            </a:ln>
            <a:effectLst/>
          </c:spPr>
          <c:marker>
            <c:symbol val="none"/>
          </c:marker>
          <c:cat>
            <c:strRef>
              <c:f>'4.1'!$D$73:$D$82</c:f>
              <c:strCache>
                <c:ptCount val="10"/>
                <c:pt idx="0">
                  <c:v>2014-15</c:v>
                </c:pt>
                <c:pt idx="1">
                  <c:v>2015-16</c:v>
                </c:pt>
                <c:pt idx="2">
                  <c:v>2016-17</c:v>
                </c:pt>
                <c:pt idx="3">
                  <c:v>2017-18</c:v>
                </c:pt>
                <c:pt idx="4">
                  <c:v>2018-19</c:v>
                </c:pt>
                <c:pt idx="5">
                  <c:v>2019-20</c:v>
                </c:pt>
                <c:pt idx="6">
                  <c:v>2020-21</c:v>
                </c:pt>
                <c:pt idx="7">
                  <c:v>2021-22</c:v>
                </c:pt>
                <c:pt idx="8">
                  <c:v>2022-23</c:v>
                </c:pt>
                <c:pt idx="9">
                  <c:v>2023-24</c:v>
                </c:pt>
              </c:strCache>
              <c:extLst/>
            </c:strRef>
          </c:cat>
          <c:val>
            <c:numRef>
              <c:f>'4.1'!$H$73:$H$82</c:f>
              <c:numCache>
                <c:formatCode>General</c:formatCode>
                <c:ptCount val="10"/>
                <c:pt idx="0">
                  <c:v>206.309713868724</c:v>
                </c:pt>
                <c:pt idx="1">
                  <c:v>231.45457059626864</c:v>
                </c:pt>
                <c:pt idx="2">
                  <c:v>303.55999988843774</c:v>
                </c:pt>
                <c:pt idx="3">
                  <c:v>293.37403306803645</c:v>
                </c:pt>
                <c:pt idx="4">
                  <c:v>256.58254786998799</c:v>
                </c:pt>
                <c:pt idx="5">
                  <c:v>214.91548352484233</c:v>
                </c:pt>
                <c:pt idx="6">
                  <c:v>404.33361196638248</c:v>
                </c:pt>
                <c:pt idx="7">
                  <c:v>345.82687204045163</c:v>
                </c:pt>
                <c:pt idx="8">
                  <c:v>431.6920055931804</c:v>
                </c:pt>
                <c:pt idx="9">
                  <c:v>465.93900261583661</c:v>
                </c:pt>
              </c:numCache>
              <c:extLst/>
            </c:numRef>
          </c:val>
          <c:smooth val="0"/>
          <c:extLst>
            <c:ext xmlns:c16="http://schemas.microsoft.com/office/drawing/2014/chart" uri="{C3380CC4-5D6E-409C-BE32-E72D297353CC}">
              <c16:uniqueId val="{00000003-ED89-4314-AC73-0BDA4C85C541}"/>
            </c:ext>
          </c:extLst>
        </c:ser>
        <c:dLbls>
          <c:showLegendKey val="0"/>
          <c:showVal val="0"/>
          <c:showCatName val="0"/>
          <c:showSerName val="0"/>
          <c:showPercent val="0"/>
          <c:showBubbleSize val="0"/>
        </c:dLbls>
        <c:smooth val="0"/>
        <c:axId val="511847168"/>
        <c:axId val="511848248"/>
      </c:lineChart>
      <c:catAx>
        <c:axId val="51184716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ptos" panose="020B0004020202020204" pitchFamily="34" charset="0"/>
                <a:ea typeface="+mn-ea"/>
                <a:cs typeface="+mn-cs"/>
              </a:defRPr>
            </a:pPr>
            <a:endParaRPr lang="en-US"/>
          </a:p>
        </c:txPr>
        <c:crossAx val="511848248"/>
        <c:crosses val="autoZero"/>
        <c:auto val="1"/>
        <c:lblAlgn val="ctr"/>
        <c:lblOffset val="100"/>
        <c:tickLblSkip val="3"/>
        <c:tickMarkSkip val="3"/>
        <c:noMultiLvlLbl val="0"/>
      </c:catAx>
      <c:valAx>
        <c:axId val="511848248"/>
        <c:scaling>
          <c:orientation val="minMax"/>
        </c:scaling>
        <c:delete val="0"/>
        <c:axPos val="l"/>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ptos" panose="020B0004020202020204" pitchFamily="34" charset="0"/>
                <a:ea typeface="+mn-ea"/>
                <a:cs typeface="+mn-cs"/>
              </a:defRPr>
            </a:pPr>
            <a:endParaRPr lang="en-US"/>
          </a:p>
        </c:txPr>
        <c:crossAx val="511847168"/>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600">
          <a:solidFill>
            <a:sysClr val="windowText" lastClr="000000"/>
          </a:solidFill>
          <a:latin typeface="Aptos" panose="020B00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920" b="0" i="0" u="none" strike="noStrike" kern="1200" spc="0" baseline="0">
                <a:solidFill>
                  <a:sysClr val="windowText" lastClr="000000"/>
                </a:solidFill>
                <a:latin typeface="Aptos" panose="020B0004020202020204" pitchFamily="34" charset="0"/>
                <a:ea typeface="+mn-ea"/>
                <a:cs typeface="+mn-cs"/>
              </a:defRPr>
            </a:pPr>
            <a:r>
              <a:rPr kumimoji="0" lang="en-AU" sz="1100" b="0" i="0" u="none" strike="noStrike" kern="0" cap="none" spc="0" normalizeH="0" baseline="0" noProof="0">
                <a:ln>
                  <a:noFill/>
                </a:ln>
                <a:solidFill>
                  <a:sysClr val="windowText" lastClr="000000"/>
                </a:solidFill>
                <a:effectLst/>
                <a:uLnTx/>
                <a:uFillTx/>
                <a:latin typeface="Aptos" panose="020B0004020202020204" pitchFamily="34" charset="0"/>
              </a:rPr>
              <a:t>Employees (FTE)</a:t>
            </a:r>
          </a:p>
        </c:rich>
      </c:tx>
      <c:layout>
        <c:manualLayout>
          <c:xMode val="edge"/>
          <c:yMode val="edge"/>
          <c:x val="4.9468454124393874E-3"/>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920" b="0" i="0" u="none" strike="noStrike" kern="1200" spc="0" baseline="0">
              <a:solidFill>
                <a:sysClr val="windowText" lastClr="000000"/>
              </a:solidFill>
              <a:latin typeface="Aptos" panose="020B0004020202020204" pitchFamily="34" charset="0"/>
              <a:ea typeface="+mn-ea"/>
              <a:cs typeface="+mn-cs"/>
            </a:defRPr>
          </a:pPr>
          <a:endParaRPr lang="en-US"/>
        </a:p>
      </c:txPr>
    </c:title>
    <c:autoTitleDeleted val="0"/>
    <c:plotArea>
      <c:layout/>
      <c:areaChart>
        <c:grouping val="stacked"/>
        <c:varyColors val="0"/>
        <c:ser>
          <c:idx val="0"/>
          <c:order val="0"/>
          <c:tx>
            <c:strRef>
              <c:f>'5.1'!$D$10</c:f>
              <c:strCache>
                <c:ptCount val="1"/>
                <c:pt idx="0">
                  <c:v>VPS Departments</c:v>
                </c:pt>
              </c:strCache>
            </c:strRef>
          </c:tx>
          <c:spPr>
            <a:solidFill>
              <a:srgbClr val="00B0F0"/>
            </a:solidFill>
            <a:ln>
              <a:noFill/>
            </a:ln>
            <a:effectLst/>
          </c:spPr>
          <c:cat>
            <c:numRef>
              <c:f>'5.1'!$E$9:$O$9</c:f>
              <c:numCache>
                <c:formatCode>mmm\-yy</c:formatCode>
                <c:ptCount val="11"/>
                <c:pt idx="0">
                  <c:v>41791</c:v>
                </c:pt>
                <c:pt idx="1">
                  <c:v>42156</c:v>
                </c:pt>
                <c:pt idx="2">
                  <c:v>42522</c:v>
                </c:pt>
                <c:pt idx="3">
                  <c:v>42887</c:v>
                </c:pt>
                <c:pt idx="4">
                  <c:v>43252</c:v>
                </c:pt>
                <c:pt idx="5">
                  <c:v>43617</c:v>
                </c:pt>
                <c:pt idx="6">
                  <c:v>43983</c:v>
                </c:pt>
                <c:pt idx="7">
                  <c:v>44348</c:v>
                </c:pt>
                <c:pt idx="8">
                  <c:v>44713</c:v>
                </c:pt>
                <c:pt idx="9">
                  <c:v>45078</c:v>
                </c:pt>
                <c:pt idx="10">
                  <c:v>45444</c:v>
                </c:pt>
              </c:numCache>
            </c:numRef>
          </c:cat>
          <c:val>
            <c:numRef>
              <c:f>'5.1'!$E$10:$O$10</c:f>
              <c:numCache>
                <c:formatCode>#,##0</c:formatCode>
                <c:ptCount val="11"/>
                <c:pt idx="0">
                  <c:v>25618</c:v>
                </c:pt>
                <c:pt idx="1">
                  <c:v>26781</c:v>
                </c:pt>
                <c:pt idx="2">
                  <c:v>27924</c:v>
                </c:pt>
                <c:pt idx="3">
                  <c:v>30449</c:v>
                </c:pt>
                <c:pt idx="4">
                  <c:v>32748</c:v>
                </c:pt>
                <c:pt idx="5">
                  <c:v>35415</c:v>
                </c:pt>
                <c:pt idx="6">
                  <c:v>33730</c:v>
                </c:pt>
                <c:pt idx="7">
                  <c:v>37864</c:v>
                </c:pt>
                <c:pt idx="8">
                  <c:v>37821</c:v>
                </c:pt>
                <c:pt idx="9">
                  <c:v>38195</c:v>
                </c:pt>
                <c:pt idx="10">
                  <c:v>38184</c:v>
                </c:pt>
              </c:numCache>
            </c:numRef>
          </c:val>
          <c:extLst>
            <c:ext xmlns:c16="http://schemas.microsoft.com/office/drawing/2014/chart" uri="{C3380CC4-5D6E-409C-BE32-E72D297353CC}">
              <c16:uniqueId val="{00000000-13A8-4691-9509-DA8FE8DF06E1}"/>
            </c:ext>
          </c:extLst>
        </c:ser>
        <c:ser>
          <c:idx val="1"/>
          <c:order val="1"/>
          <c:tx>
            <c:strRef>
              <c:f>'5.1'!$D$11</c:f>
              <c:strCache>
                <c:ptCount val="1"/>
                <c:pt idx="0">
                  <c:v>VPS Agencies</c:v>
                </c:pt>
              </c:strCache>
            </c:strRef>
          </c:tx>
          <c:spPr>
            <a:solidFill>
              <a:srgbClr val="0070C0"/>
            </a:solidFill>
            <a:ln>
              <a:noFill/>
            </a:ln>
            <a:effectLst/>
          </c:spPr>
          <c:cat>
            <c:numRef>
              <c:f>'5.1'!$E$9:$O$9</c:f>
              <c:numCache>
                <c:formatCode>mmm\-yy</c:formatCode>
                <c:ptCount val="11"/>
                <c:pt idx="0">
                  <c:v>41791</c:v>
                </c:pt>
                <c:pt idx="1">
                  <c:v>42156</c:v>
                </c:pt>
                <c:pt idx="2">
                  <c:v>42522</c:v>
                </c:pt>
                <c:pt idx="3">
                  <c:v>42887</c:v>
                </c:pt>
                <c:pt idx="4">
                  <c:v>43252</c:v>
                </c:pt>
                <c:pt idx="5">
                  <c:v>43617</c:v>
                </c:pt>
                <c:pt idx="6">
                  <c:v>43983</c:v>
                </c:pt>
                <c:pt idx="7">
                  <c:v>44348</c:v>
                </c:pt>
                <c:pt idx="8">
                  <c:v>44713</c:v>
                </c:pt>
                <c:pt idx="9">
                  <c:v>45078</c:v>
                </c:pt>
                <c:pt idx="10">
                  <c:v>45444</c:v>
                </c:pt>
              </c:numCache>
            </c:numRef>
          </c:cat>
          <c:val>
            <c:numRef>
              <c:f>'5.1'!$E$11:$O$11</c:f>
              <c:numCache>
                <c:formatCode>#,##0</c:formatCode>
                <c:ptCount val="11"/>
                <c:pt idx="0">
                  <c:v>7821</c:v>
                </c:pt>
                <c:pt idx="1">
                  <c:v>8070</c:v>
                </c:pt>
                <c:pt idx="2">
                  <c:v>8689</c:v>
                </c:pt>
                <c:pt idx="3">
                  <c:v>9712</c:v>
                </c:pt>
                <c:pt idx="4">
                  <c:v>11144</c:v>
                </c:pt>
                <c:pt idx="5">
                  <c:v>11777</c:v>
                </c:pt>
                <c:pt idx="6">
                  <c:v>13687</c:v>
                </c:pt>
                <c:pt idx="7">
                  <c:v>17889</c:v>
                </c:pt>
                <c:pt idx="8">
                  <c:v>15832</c:v>
                </c:pt>
                <c:pt idx="9">
                  <c:v>16588</c:v>
                </c:pt>
                <c:pt idx="10">
                  <c:v>16707</c:v>
                </c:pt>
              </c:numCache>
            </c:numRef>
          </c:val>
          <c:extLst>
            <c:ext xmlns:c16="http://schemas.microsoft.com/office/drawing/2014/chart" uri="{C3380CC4-5D6E-409C-BE32-E72D297353CC}">
              <c16:uniqueId val="{00000001-13A8-4691-9509-DA8FE8DF06E1}"/>
            </c:ext>
          </c:extLst>
        </c:ser>
        <c:dLbls>
          <c:showLegendKey val="0"/>
          <c:showVal val="0"/>
          <c:showCatName val="0"/>
          <c:showSerName val="0"/>
          <c:showPercent val="0"/>
          <c:showBubbleSize val="0"/>
        </c:dLbls>
        <c:axId val="77280599"/>
        <c:axId val="77273039"/>
      </c:areaChart>
      <c:dateAx>
        <c:axId val="77280599"/>
        <c:scaling>
          <c:orientation val="minMax"/>
          <c:max val="45473"/>
          <c:min val="41791"/>
        </c:scaling>
        <c:delete val="0"/>
        <c:axPos val="b"/>
        <c:numFmt formatCode="mmm\-yy"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ptos" panose="020B0004020202020204" pitchFamily="34" charset="0"/>
                <a:ea typeface="+mn-ea"/>
                <a:cs typeface="+mn-cs"/>
              </a:defRPr>
            </a:pPr>
            <a:endParaRPr lang="en-US"/>
          </a:p>
        </c:txPr>
        <c:crossAx val="77273039"/>
        <c:crosses val="autoZero"/>
        <c:auto val="1"/>
        <c:lblOffset val="100"/>
        <c:baseTimeUnit val="months"/>
        <c:majorUnit val="24"/>
        <c:majorTimeUnit val="months"/>
      </c:dateAx>
      <c:valAx>
        <c:axId val="77273039"/>
        <c:scaling>
          <c:orientation val="minMax"/>
          <c:max val="60000"/>
        </c:scaling>
        <c:delete val="0"/>
        <c:axPos val="l"/>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ptos" panose="020B0004020202020204" pitchFamily="34" charset="0"/>
                <a:ea typeface="+mn-ea"/>
                <a:cs typeface="+mn-cs"/>
              </a:defRPr>
            </a:pPr>
            <a:endParaRPr lang="en-US"/>
          </a:p>
        </c:txPr>
        <c:crossAx val="77280599"/>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600">
          <a:solidFill>
            <a:sysClr val="windowText" lastClr="000000"/>
          </a:solidFill>
          <a:latin typeface="Aptos" panose="020B00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2"/>
          <c:order val="0"/>
          <c:tx>
            <c:strRef>
              <c:f>'5.2'!$G$12</c:f>
              <c:strCache>
                <c:ptCount val="1"/>
                <c:pt idx="0">
                  <c:v>2024</c:v>
                </c:pt>
              </c:strCache>
            </c:strRef>
          </c:tx>
          <c:spPr>
            <a:solidFill>
              <a:schemeClr val="accent4">
                <a:lumMod val="50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'5.2'!$D$13:$D$19</c:f>
              <c:strCache>
                <c:ptCount val="7"/>
                <c:pt idx="0">
                  <c:v>VPS Grades 1 and 2</c:v>
                </c:pt>
                <c:pt idx="1">
                  <c:v>VPS Grade 3</c:v>
                </c:pt>
                <c:pt idx="2">
                  <c:v>VPS Grade 4</c:v>
                </c:pt>
                <c:pt idx="3">
                  <c:v>VPS Grade 5</c:v>
                </c:pt>
                <c:pt idx="4">
                  <c:v>VPS Grade 6</c:v>
                </c:pt>
                <c:pt idx="5">
                  <c:v>VPS Grade 7 / STS</c:v>
                </c:pt>
                <c:pt idx="6">
                  <c:v>Executive Officers</c:v>
                </c:pt>
              </c:strCache>
            </c:strRef>
          </c:cat>
          <c:val>
            <c:numRef>
              <c:f>'5.2'!$G$13:$G$19</c:f>
              <c:numCache>
                <c:formatCode>0.00%</c:formatCode>
                <c:ptCount val="7"/>
                <c:pt idx="0">
                  <c:v>7.5298614429049213E-2</c:v>
                </c:pt>
                <c:pt idx="1">
                  <c:v>0.15286669851887244</c:v>
                </c:pt>
                <c:pt idx="2">
                  <c:v>0.22009077878643096</c:v>
                </c:pt>
                <c:pt idx="3">
                  <c:v>0.2817725752508361</c:v>
                </c:pt>
                <c:pt idx="4">
                  <c:v>0.19749163879598661</c:v>
                </c:pt>
                <c:pt idx="5">
                  <c:v>2.7520305781175348E-2</c:v>
                </c:pt>
                <c:pt idx="6">
                  <c:v>4.4959388437649309E-2</c:v>
                </c:pt>
              </c:numCache>
            </c:numRef>
          </c:val>
          <c:extLst>
            <c:ext xmlns:c16="http://schemas.microsoft.com/office/drawing/2014/chart" uri="{C3380CC4-5D6E-409C-BE32-E72D297353CC}">
              <c16:uniqueId val="{00000000-F82D-4077-A42E-25E040C868CF}"/>
            </c:ext>
          </c:extLst>
        </c:ser>
        <c:ser>
          <c:idx val="0"/>
          <c:order val="1"/>
          <c:tx>
            <c:strRef>
              <c:f>'5.2'!$F$12</c:f>
              <c:strCache>
                <c:ptCount val="1"/>
                <c:pt idx="0">
                  <c:v>2019</c:v>
                </c:pt>
              </c:strCache>
            </c:strRef>
          </c:tx>
          <c:spPr>
            <a:solidFill>
              <a:schemeClr val="accent1">
                <a:lumMod val="60000"/>
                <a:lumOff val="4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ptos" panose="020B00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'5.2'!$D$13:$D$19</c:f>
              <c:strCache>
                <c:ptCount val="7"/>
                <c:pt idx="0">
                  <c:v>VPS Grades 1 and 2</c:v>
                </c:pt>
                <c:pt idx="1">
                  <c:v>VPS Grade 3</c:v>
                </c:pt>
                <c:pt idx="2">
                  <c:v>VPS Grade 4</c:v>
                </c:pt>
                <c:pt idx="3">
                  <c:v>VPS Grade 5</c:v>
                </c:pt>
                <c:pt idx="4">
                  <c:v>VPS Grade 6</c:v>
                </c:pt>
                <c:pt idx="5">
                  <c:v>VPS Grade 7 / STS</c:v>
                </c:pt>
                <c:pt idx="6">
                  <c:v>Executive Officers</c:v>
                </c:pt>
              </c:strCache>
            </c:strRef>
          </c:cat>
          <c:val>
            <c:numRef>
              <c:f>'5.2'!$F$13:$F$19</c:f>
              <c:numCache>
                <c:formatCode>0.00%</c:formatCode>
                <c:ptCount val="7"/>
                <c:pt idx="0">
                  <c:v>0.11436108821104699</c:v>
                </c:pt>
                <c:pt idx="1">
                  <c:v>0.17688375927452596</c:v>
                </c:pt>
                <c:pt idx="2">
                  <c:v>0.2114427040395713</c:v>
                </c:pt>
                <c:pt idx="3">
                  <c:v>0.26572135201978564</c:v>
                </c:pt>
                <c:pt idx="4">
                  <c:v>0.17665292662819457</c:v>
                </c:pt>
                <c:pt idx="5">
                  <c:v>1.4014839241549877E-2</c:v>
                </c:pt>
                <c:pt idx="6">
                  <c:v>4.0923330585325636E-2</c:v>
                </c:pt>
              </c:numCache>
            </c:numRef>
          </c:val>
          <c:extLst>
            <c:ext xmlns:c16="http://schemas.microsoft.com/office/drawing/2014/chart" uri="{C3380CC4-5D6E-409C-BE32-E72D297353CC}">
              <c16:uniqueId val="{00000001-F82D-4077-A42E-25E040C868CF}"/>
            </c:ext>
          </c:extLst>
        </c:ser>
        <c:ser>
          <c:idx val="1"/>
          <c:order val="2"/>
          <c:tx>
            <c:strRef>
              <c:f>'5.2'!$E$12</c:f>
              <c:strCache>
                <c:ptCount val="1"/>
                <c:pt idx="0">
                  <c:v>2014</c:v>
                </c:pt>
              </c:strCache>
            </c:strRef>
          </c:tx>
          <c:spPr>
            <a:solidFill>
              <a:schemeClr val="accent4">
                <a:lumMod val="40000"/>
                <a:lumOff val="60000"/>
              </a:schemeClr>
            </a:solidFill>
            <a:ln>
              <a:noFill/>
            </a:ln>
            <a:effectLst/>
          </c:spPr>
          <c:invertIfNegative val="0"/>
          <c:dLbls>
            <c:dLbl>
              <c:idx val="6"/>
              <c:tx>
                <c:rich>
                  <a:bodyPr/>
                  <a:lstStyle/>
                  <a:p>
                    <a:fld id="{F4697BA5-B6CD-49E5-A359-C1965F8F1A36}" type="VALUE">
                      <a:rPr lang="en-US" sz="100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82D-4077-A42E-25E040C868CF}"/>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'5.2'!$D$13:$D$19</c:f>
              <c:strCache>
                <c:ptCount val="7"/>
                <c:pt idx="0">
                  <c:v>VPS Grades 1 and 2</c:v>
                </c:pt>
                <c:pt idx="1">
                  <c:v>VPS Grade 3</c:v>
                </c:pt>
                <c:pt idx="2">
                  <c:v>VPS Grade 4</c:v>
                </c:pt>
                <c:pt idx="3">
                  <c:v>VPS Grade 5</c:v>
                </c:pt>
                <c:pt idx="4">
                  <c:v>VPS Grade 6</c:v>
                </c:pt>
                <c:pt idx="5">
                  <c:v>VPS Grade 7 / STS</c:v>
                </c:pt>
                <c:pt idx="6">
                  <c:v>Executive Officers</c:v>
                </c:pt>
              </c:strCache>
            </c:strRef>
          </c:cat>
          <c:val>
            <c:numRef>
              <c:f>'5.2'!$E$13:$E$19</c:f>
              <c:numCache>
                <c:formatCode>0.00%</c:formatCode>
                <c:ptCount val="7"/>
                <c:pt idx="0">
                  <c:v>0.15724852815377649</c:v>
                </c:pt>
                <c:pt idx="1">
                  <c:v>0.19222060081517636</c:v>
                </c:pt>
                <c:pt idx="2">
                  <c:v>0.20057364263070496</c:v>
                </c:pt>
                <c:pt idx="3">
                  <c:v>0.23856488703265741</c:v>
                </c:pt>
                <c:pt idx="4">
                  <c:v>0.16826850500679313</c:v>
                </c:pt>
                <c:pt idx="5">
                  <c:v>1.0567101091933779E-2</c:v>
                </c:pt>
                <c:pt idx="6">
                  <c:v>3.255673526895788E-2</c:v>
                </c:pt>
              </c:numCache>
            </c:numRef>
          </c:val>
          <c:extLst>
            <c:ext xmlns:c16="http://schemas.microsoft.com/office/drawing/2014/chart" uri="{C3380CC4-5D6E-409C-BE32-E72D297353CC}">
              <c16:uniqueId val="{00000003-F82D-4077-A42E-25E040C868CF}"/>
            </c:ext>
          </c:extLst>
        </c:ser>
        <c:dLbls>
          <c:showLegendKey val="0"/>
          <c:showVal val="0"/>
          <c:showCatName val="0"/>
          <c:showSerName val="0"/>
          <c:showPercent val="0"/>
          <c:showBubbleSize val="0"/>
        </c:dLbls>
        <c:gapWidth val="182"/>
        <c:axId val="258188495"/>
        <c:axId val="258183095"/>
      </c:barChart>
      <c:catAx>
        <c:axId val="258188495"/>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ptos" panose="020B0004020202020204" pitchFamily="34" charset="0"/>
                <a:ea typeface="+mn-ea"/>
                <a:cs typeface="+mn-cs"/>
              </a:defRPr>
            </a:pPr>
            <a:endParaRPr lang="en-US"/>
          </a:p>
        </c:txPr>
        <c:crossAx val="258183095"/>
        <c:crosses val="autoZero"/>
        <c:auto val="1"/>
        <c:lblAlgn val="ctr"/>
        <c:lblOffset val="100"/>
        <c:noMultiLvlLbl val="0"/>
      </c:catAx>
      <c:valAx>
        <c:axId val="258183095"/>
        <c:scaling>
          <c:orientation val="minMax"/>
        </c:scaling>
        <c:delete val="1"/>
        <c:axPos val="b"/>
        <c:numFmt formatCode="0.00%" sourceLinked="1"/>
        <c:majorTickMark val="none"/>
        <c:minorTickMark val="none"/>
        <c:tickLblPos val="nextTo"/>
        <c:crossAx val="258188495"/>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1050" b="0" i="0" u="none" strike="noStrike" kern="1200" baseline="0">
                <a:solidFill>
                  <a:sysClr val="windowText" lastClr="000000"/>
                </a:solidFill>
                <a:latin typeface="Aptos" panose="020B0004020202020204" pitchFamily="34" charset="0"/>
                <a:ea typeface="+mn-ea"/>
                <a:cs typeface="+mn-cs"/>
              </a:defRPr>
            </a:pPr>
            <a:endParaRPr lang="en-US"/>
          </a:p>
        </c:txPr>
      </c:legendEntry>
      <c:legendEntry>
        <c:idx val="1"/>
        <c:txPr>
          <a:bodyPr rot="0" spcFirstLastPara="1" vertOverflow="ellipsis" vert="horz" wrap="square" anchor="ctr" anchorCtr="1"/>
          <a:lstStyle/>
          <a:p>
            <a:pPr>
              <a:defRPr sz="1050" b="0" i="0" u="none" strike="noStrike" kern="1200" baseline="0">
                <a:solidFill>
                  <a:sysClr val="windowText" lastClr="000000"/>
                </a:solidFill>
                <a:latin typeface="Aptos" panose="020B0004020202020204" pitchFamily="34" charset="0"/>
                <a:ea typeface="+mn-ea"/>
                <a:cs typeface="+mn-cs"/>
              </a:defRPr>
            </a:pPr>
            <a:endParaRPr lang="en-US"/>
          </a:p>
        </c:txPr>
      </c:legendEntry>
      <c:legendEntry>
        <c:idx val="2"/>
        <c:txPr>
          <a:bodyPr rot="0" spcFirstLastPara="1" vertOverflow="ellipsis" vert="horz" wrap="square" anchor="ctr" anchorCtr="1"/>
          <a:lstStyle/>
          <a:p>
            <a:pPr>
              <a:defRPr sz="1050" b="0" i="0" u="none" strike="noStrike" kern="1200" baseline="0">
                <a:solidFill>
                  <a:sysClr val="windowText" lastClr="000000"/>
                </a:solidFill>
                <a:latin typeface="Aptos" panose="020B0004020202020204" pitchFamily="34" charset="0"/>
                <a:ea typeface="+mn-ea"/>
                <a:cs typeface="+mn-cs"/>
              </a:defRPr>
            </a:pPr>
            <a:endParaRPr lang="en-US"/>
          </a:p>
        </c:txPr>
      </c:legendEntry>
      <c:layout>
        <c:manualLayout>
          <c:xMode val="edge"/>
          <c:yMode val="edge"/>
          <c:x val="0.81044070410764335"/>
          <c:y val="3.7801228539927546E-2"/>
          <c:w val="0.14430036761691073"/>
          <c:h val="0.21864066881386246"/>
        </c:manualLayout>
      </c:layout>
      <c:overlay val="1"/>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ptos" panose="020B0004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600">
          <a:solidFill>
            <a:sysClr val="windowText" lastClr="000000"/>
          </a:solidFill>
          <a:latin typeface="Aptos" panose="020B00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50" b="0" i="0" u="none" strike="noStrike" kern="1200" spc="0" baseline="0">
                <a:solidFill>
                  <a:sysClr val="windowText" lastClr="000000"/>
                </a:solidFill>
                <a:latin typeface="Aptos" panose="020B0004020202020204" pitchFamily="34" charset="0"/>
                <a:ea typeface="+mn-ea"/>
                <a:cs typeface="+mn-cs"/>
              </a:defRPr>
            </a:pPr>
            <a:r>
              <a:rPr lang="en-AU" sz="1050">
                <a:solidFill>
                  <a:sysClr val="windowText" lastClr="000000"/>
                </a:solidFill>
                <a:latin typeface="Aptos" panose="020B0004020202020204" pitchFamily="34" charset="0"/>
              </a:rPr>
              <a:t>Expenditure per capita,</a:t>
            </a:r>
            <a:r>
              <a:rPr lang="en-AU" sz="1050" baseline="0">
                <a:solidFill>
                  <a:sysClr val="windowText" lastClr="000000"/>
                </a:solidFill>
                <a:latin typeface="Aptos" panose="020B0004020202020204" pitchFamily="34" charset="0"/>
              </a:rPr>
              <a:t> $</a:t>
            </a:r>
            <a:endParaRPr lang="en-AU" sz="1050">
              <a:solidFill>
                <a:sysClr val="windowText" lastClr="000000"/>
              </a:solidFill>
              <a:latin typeface="Aptos" panose="020B0004020202020204" pitchFamily="34" charset="0"/>
            </a:endParaRPr>
          </a:p>
        </c:rich>
      </c:tx>
      <c:layout>
        <c:manualLayout>
          <c:xMode val="edge"/>
          <c:yMode val="edge"/>
          <c:x val="1.4127354431693199E-2"/>
          <c:y val="8.6739805853092815E-3"/>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50" b="0" i="0" u="none" strike="noStrike" kern="1200" spc="0" baseline="0">
              <a:solidFill>
                <a:sysClr val="windowText" lastClr="000000"/>
              </a:solidFill>
              <a:latin typeface="Aptos" panose="020B0004020202020204" pitchFamily="34" charset="0"/>
              <a:ea typeface="+mn-ea"/>
              <a:cs typeface="+mn-cs"/>
            </a:defRPr>
          </a:pPr>
          <a:endParaRPr lang="en-AU"/>
        </a:p>
      </c:txPr>
    </c:title>
    <c:autoTitleDeleted val="0"/>
    <c:plotArea>
      <c:layout/>
      <c:lineChart>
        <c:grouping val="standard"/>
        <c:varyColors val="0"/>
        <c:ser>
          <c:idx val="0"/>
          <c:order val="0"/>
          <c:tx>
            <c:strRef>
              <c:f>'2.2'!$D$11</c:f>
              <c:strCache>
                <c:ptCount val="1"/>
                <c:pt idx="0">
                  <c:v>Nominal general govt. expenditure per capita, Victoria</c:v>
                </c:pt>
              </c:strCache>
            </c:strRef>
          </c:tx>
          <c:spPr>
            <a:ln w="28575" cap="rnd">
              <a:solidFill>
                <a:srgbClr val="1CADE4"/>
              </a:solidFill>
              <a:round/>
            </a:ln>
            <a:effectLst/>
          </c:spPr>
          <c:marker>
            <c:symbol val="none"/>
          </c:marker>
          <c:cat>
            <c:strRef>
              <c:f>'2.2'!$E$10:$Y$10</c:f>
              <c:strCache>
                <c:ptCount val="21"/>
                <c:pt idx="0">
                  <c:v>2003-04</c:v>
                </c:pt>
                <c:pt idx="1">
                  <c:v>2004-05</c:v>
                </c:pt>
                <c:pt idx="2">
                  <c:v>2005-06</c:v>
                </c:pt>
                <c:pt idx="3">
                  <c:v>2006-07</c:v>
                </c:pt>
                <c:pt idx="4">
                  <c:v>2007-08</c:v>
                </c:pt>
                <c:pt idx="5">
                  <c:v>2008-09</c:v>
                </c:pt>
                <c:pt idx="6">
                  <c:v>2009-10</c:v>
                </c:pt>
                <c:pt idx="7">
                  <c:v>2010-11</c:v>
                </c:pt>
                <c:pt idx="8">
                  <c:v>2011-12</c:v>
                </c:pt>
                <c:pt idx="9">
                  <c:v>2012-13</c:v>
                </c:pt>
                <c:pt idx="10">
                  <c:v>2013-14</c:v>
                </c:pt>
                <c:pt idx="11">
                  <c:v>2014-15</c:v>
                </c:pt>
                <c:pt idx="12">
                  <c:v>2015-16</c:v>
                </c:pt>
                <c:pt idx="13">
                  <c:v>2016-17</c:v>
                </c:pt>
                <c:pt idx="14">
                  <c:v>2017-18</c:v>
                </c:pt>
                <c:pt idx="15">
                  <c:v>2018-19</c:v>
                </c:pt>
                <c:pt idx="16">
                  <c:v>2019-20</c:v>
                </c:pt>
                <c:pt idx="17">
                  <c:v>2020-21</c:v>
                </c:pt>
                <c:pt idx="18">
                  <c:v>2021-22</c:v>
                </c:pt>
                <c:pt idx="19">
                  <c:v>2022-23</c:v>
                </c:pt>
                <c:pt idx="20">
                  <c:v>2023-24</c:v>
                </c:pt>
              </c:strCache>
            </c:strRef>
          </c:cat>
          <c:val>
            <c:numRef>
              <c:f>'2.2'!$E$11:$Y$11</c:f>
              <c:numCache>
                <c:formatCode>_-* #,##0.0_-;\-* #,##0.0_-;_-* "-"??_-;_-@_-</c:formatCode>
                <c:ptCount val="21"/>
                <c:pt idx="0">
                  <c:v>5564.0572845838424</c:v>
                </c:pt>
                <c:pt idx="1">
                  <c:v>5818.5607064935311</c:v>
                </c:pt>
                <c:pt idx="2">
                  <c:v>6154.0991304962108</c:v>
                </c:pt>
                <c:pt idx="3">
                  <c:v>6510.347694559181</c:v>
                </c:pt>
                <c:pt idx="4">
                  <c:v>6790.5697073667679</c:v>
                </c:pt>
                <c:pt idx="5">
                  <c:v>7266.2228066521275</c:v>
                </c:pt>
                <c:pt idx="6">
                  <c:v>8046.3065324153486</c:v>
                </c:pt>
                <c:pt idx="7">
                  <c:v>8217.9758071203905</c:v>
                </c:pt>
                <c:pt idx="8">
                  <c:v>8372.0149900452852</c:v>
                </c:pt>
                <c:pt idx="9">
                  <c:v>8476.0503756581056</c:v>
                </c:pt>
                <c:pt idx="10">
                  <c:v>8547.1761065711362</c:v>
                </c:pt>
                <c:pt idx="11">
                  <c:v>8727.1931589592841</c:v>
                </c:pt>
                <c:pt idx="12">
                  <c:v>8755.9287912373093</c:v>
                </c:pt>
                <c:pt idx="13">
                  <c:v>9235.8019870091866</c:v>
                </c:pt>
                <c:pt idx="14">
                  <c:v>9695.7662298884115</c:v>
                </c:pt>
                <c:pt idx="15">
                  <c:v>10498.011855360886</c:v>
                </c:pt>
                <c:pt idx="16">
                  <c:v>11260.29065710503</c:v>
                </c:pt>
                <c:pt idx="17">
                  <c:v>13318.492760824898</c:v>
                </c:pt>
                <c:pt idx="18">
                  <c:v>14601.019233615925</c:v>
                </c:pt>
                <c:pt idx="19">
                  <c:v>13727.111769861129</c:v>
                </c:pt>
                <c:pt idx="20">
                  <c:v>13939.324695747171</c:v>
                </c:pt>
              </c:numCache>
            </c:numRef>
          </c:val>
          <c:smooth val="0"/>
          <c:extLst>
            <c:ext xmlns:c16="http://schemas.microsoft.com/office/drawing/2014/chart" uri="{C3380CC4-5D6E-409C-BE32-E72D297353CC}">
              <c16:uniqueId val="{00000000-EC75-4E8C-8D00-8F21009C23B8}"/>
            </c:ext>
          </c:extLst>
        </c:ser>
        <c:ser>
          <c:idx val="1"/>
          <c:order val="1"/>
          <c:tx>
            <c:strRef>
              <c:f>'2.2'!$D$13</c:f>
              <c:strCache>
                <c:ptCount val="1"/>
                <c:pt idx="0">
                  <c:v> Nominal general govt. expenditure per capita, All jursidictions (excl. Vic) </c:v>
                </c:pt>
              </c:strCache>
            </c:strRef>
          </c:tx>
          <c:spPr>
            <a:ln w="28575" cap="rnd">
              <a:solidFill>
                <a:srgbClr val="800080"/>
              </a:solidFill>
              <a:round/>
            </a:ln>
            <a:effectLst/>
          </c:spPr>
          <c:marker>
            <c:symbol val="none"/>
          </c:marker>
          <c:cat>
            <c:strRef>
              <c:f>'2.2'!$E$10:$Y$10</c:f>
              <c:strCache>
                <c:ptCount val="21"/>
                <c:pt idx="0">
                  <c:v>2003-04</c:v>
                </c:pt>
                <c:pt idx="1">
                  <c:v>2004-05</c:v>
                </c:pt>
                <c:pt idx="2">
                  <c:v>2005-06</c:v>
                </c:pt>
                <c:pt idx="3">
                  <c:v>2006-07</c:v>
                </c:pt>
                <c:pt idx="4">
                  <c:v>2007-08</c:v>
                </c:pt>
                <c:pt idx="5">
                  <c:v>2008-09</c:v>
                </c:pt>
                <c:pt idx="6">
                  <c:v>2009-10</c:v>
                </c:pt>
                <c:pt idx="7">
                  <c:v>2010-11</c:v>
                </c:pt>
                <c:pt idx="8">
                  <c:v>2011-12</c:v>
                </c:pt>
                <c:pt idx="9">
                  <c:v>2012-13</c:v>
                </c:pt>
                <c:pt idx="10">
                  <c:v>2013-14</c:v>
                </c:pt>
                <c:pt idx="11">
                  <c:v>2014-15</c:v>
                </c:pt>
                <c:pt idx="12">
                  <c:v>2015-16</c:v>
                </c:pt>
                <c:pt idx="13">
                  <c:v>2016-17</c:v>
                </c:pt>
                <c:pt idx="14">
                  <c:v>2017-18</c:v>
                </c:pt>
                <c:pt idx="15">
                  <c:v>2018-19</c:v>
                </c:pt>
                <c:pt idx="16">
                  <c:v>2019-20</c:v>
                </c:pt>
                <c:pt idx="17">
                  <c:v>2020-21</c:v>
                </c:pt>
                <c:pt idx="18">
                  <c:v>2021-22</c:v>
                </c:pt>
                <c:pt idx="19">
                  <c:v>2022-23</c:v>
                </c:pt>
                <c:pt idx="20">
                  <c:v>2023-24</c:v>
                </c:pt>
              </c:strCache>
            </c:strRef>
          </c:cat>
          <c:val>
            <c:numRef>
              <c:f>'2.2'!$E$13:$Y$13</c:f>
              <c:numCache>
                <c:formatCode>_-* #,##0.0_-;\-* #,##0.0_-;_-* "-"??_-;_-@_-</c:formatCode>
                <c:ptCount val="21"/>
                <c:pt idx="0">
                  <c:v>5878.0827925104331</c:v>
                </c:pt>
                <c:pt idx="1">
                  <c:v>6235.3187972223259</c:v>
                </c:pt>
                <c:pt idx="2">
                  <c:v>6642.5387499227454</c:v>
                </c:pt>
                <c:pt idx="3">
                  <c:v>7104.8763666932</c:v>
                </c:pt>
                <c:pt idx="4">
                  <c:v>7511.7936733641063</c:v>
                </c:pt>
                <c:pt idx="5">
                  <c:v>8142.8318578538765</c:v>
                </c:pt>
                <c:pt idx="6">
                  <c:v>8751.6433587158153</c:v>
                </c:pt>
                <c:pt idx="7">
                  <c:v>8988.2419821549847</c:v>
                </c:pt>
                <c:pt idx="8">
                  <c:v>9371.096168171829</c:v>
                </c:pt>
                <c:pt idx="9">
                  <c:v>9470.7785587988528</c:v>
                </c:pt>
                <c:pt idx="10">
                  <c:v>9631.8562547357124</c:v>
                </c:pt>
                <c:pt idx="11">
                  <c:v>9925.9524377232265</c:v>
                </c:pt>
                <c:pt idx="12">
                  <c:v>10095.764605445795</c:v>
                </c:pt>
                <c:pt idx="13">
                  <c:v>10411.879996121475</c:v>
                </c:pt>
                <c:pt idx="14">
                  <c:v>10788.063712352974</c:v>
                </c:pt>
                <c:pt idx="15">
                  <c:v>11122.284690182301</c:v>
                </c:pt>
                <c:pt idx="16">
                  <c:v>11801.323205215254</c:v>
                </c:pt>
                <c:pt idx="17">
                  <c:v>12346.175351779202</c:v>
                </c:pt>
                <c:pt idx="18">
                  <c:v>14041.723783442543</c:v>
                </c:pt>
                <c:pt idx="19">
                  <c:v>14141.481297027887</c:v>
                </c:pt>
                <c:pt idx="20">
                  <c:v>15073.512540779278</c:v>
                </c:pt>
              </c:numCache>
            </c:numRef>
          </c:val>
          <c:smooth val="0"/>
          <c:extLst>
            <c:ext xmlns:c16="http://schemas.microsoft.com/office/drawing/2014/chart" uri="{C3380CC4-5D6E-409C-BE32-E72D297353CC}">
              <c16:uniqueId val="{00000001-EC75-4E8C-8D00-8F21009C23B8}"/>
            </c:ext>
          </c:extLst>
        </c:ser>
        <c:dLbls>
          <c:showLegendKey val="0"/>
          <c:showVal val="0"/>
          <c:showCatName val="0"/>
          <c:showSerName val="0"/>
          <c:showPercent val="0"/>
          <c:showBubbleSize val="0"/>
        </c:dLbls>
        <c:smooth val="0"/>
        <c:axId val="183308695"/>
        <c:axId val="183316255"/>
      </c:lineChart>
      <c:catAx>
        <c:axId val="183308695"/>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ptos" panose="020B0004020202020204" pitchFamily="34" charset="0"/>
                <a:ea typeface="+mn-ea"/>
                <a:cs typeface="+mn-cs"/>
              </a:defRPr>
            </a:pPr>
            <a:endParaRPr lang="en-US"/>
          </a:p>
        </c:txPr>
        <c:crossAx val="183316255"/>
        <c:crosses val="autoZero"/>
        <c:auto val="1"/>
        <c:lblAlgn val="ctr"/>
        <c:lblOffset val="100"/>
        <c:tickLblSkip val="4"/>
        <c:tickMarkSkip val="4"/>
        <c:noMultiLvlLbl val="0"/>
      </c:catAx>
      <c:valAx>
        <c:axId val="183316255"/>
        <c:scaling>
          <c:orientation val="minMax"/>
          <c:min val="4000"/>
        </c:scaling>
        <c:delete val="0"/>
        <c:axPos val="l"/>
        <c:numFmt formatCode="#,##0;\(#,##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ptos" panose="020B0004020202020204" pitchFamily="34" charset="0"/>
                <a:ea typeface="+mn-ea"/>
                <a:cs typeface="+mn-cs"/>
              </a:defRPr>
            </a:pPr>
            <a:endParaRPr lang="en-US"/>
          </a:p>
        </c:txPr>
        <c:crossAx val="183308695"/>
        <c:crosses val="autoZero"/>
        <c:crossBetween val="between"/>
        <c:majorUnit val="20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600">
          <a:solidFill>
            <a:sysClr val="windowText" lastClr="000000"/>
          </a:solidFill>
          <a:latin typeface="Aptos" panose="020B00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ptos" panose="020B0004020202020204" pitchFamily="34" charset="0"/>
                <a:ea typeface="+mn-ea"/>
                <a:cs typeface="+mn-cs"/>
              </a:defRPr>
            </a:pPr>
            <a:r>
              <a:rPr lang="en-AU" sz="1100"/>
              <a:t>Expenditure as a share of GSP, Per cent</a:t>
            </a:r>
          </a:p>
        </c:rich>
      </c:tx>
      <c:layout>
        <c:manualLayout>
          <c:xMode val="edge"/>
          <c:yMode val="edge"/>
          <c:x val="0"/>
          <c:y val="1.6317522825995169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ptos" panose="020B0004020202020204" pitchFamily="34" charset="0"/>
              <a:ea typeface="+mn-ea"/>
              <a:cs typeface="+mn-cs"/>
            </a:defRPr>
          </a:pPr>
          <a:endParaRPr lang="en-US"/>
        </a:p>
      </c:txPr>
    </c:title>
    <c:autoTitleDeleted val="0"/>
    <c:plotArea>
      <c:layout>
        <c:manualLayout>
          <c:layoutTarget val="inner"/>
          <c:xMode val="edge"/>
          <c:yMode val="edge"/>
          <c:x val="9.1085592575101931E-2"/>
          <c:y val="0.13439404225220428"/>
          <c:w val="0.84342018962388587"/>
          <c:h val="0.76388946290614812"/>
        </c:manualLayout>
      </c:layout>
      <c:lineChart>
        <c:grouping val="standard"/>
        <c:varyColors val="0"/>
        <c:ser>
          <c:idx val="0"/>
          <c:order val="0"/>
          <c:tx>
            <c:strRef>
              <c:f>'2.2'!$D$12</c:f>
              <c:strCache>
                <c:ptCount val="1"/>
                <c:pt idx="0">
                  <c:v>Nominal general govt. expenditure as a percent of GSP, Victoria</c:v>
                </c:pt>
              </c:strCache>
            </c:strRef>
          </c:tx>
          <c:spPr>
            <a:ln w="28575" cap="rnd">
              <a:solidFill>
                <a:srgbClr val="1CADE4"/>
              </a:solidFill>
              <a:round/>
            </a:ln>
            <a:effectLst/>
          </c:spPr>
          <c:marker>
            <c:symbol val="none"/>
          </c:marker>
          <c:cat>
            <c:strRef>
              <c:f>'2.2'!$E$10:$Y$10</c:f>
              <c:strCache>
                <c:ptCount val="21"/>
                <c:pt idx="0">
                  <c:v>2003-04</c:v>
                </c:pt>
                <c:pt idx="1">
                  <c:v>2004-05</c:v>
                </c:pt>
                <c:pt idx="2">
                  <c:v>2005-06</c:v>
                </c:pt>
                <c:pt idx="3">
                  <c:v>2006-07</c:v>
                </c:pt>
                <c:pt idx="4">
                  <c:v>2007-08</c:v>
                </c:pt>
                <c:pt idx="5">
                  <c:v>2008-09</c:v>
                </c:pt>
                <c:pt idx="6">
                  <c:v>2009-10</c:v>
                </c:pt>
                <c:pt idx="7">
                  <c:v>2010-11</c:v>
                </c:pt>
                <c:pt idx="8">
                  <c:v>2011-12</c:v>
                </c:pt>
                <c:pt idx="9">
                  <c:v>2012-13</c:v>
                </c:pt>
                <c:pt idx="10">
                  <c:v>2013-14</c:v>
                </c:pt>
                <c:pt idx="11">
                  <c:v>2014-15</c:v>
                </c:pt>
                <c:pt idx="12">
                  <c:v>2015-16</c:v>
                </c:pt>
                <c:pt idx="13">
                  <c:v>2016-17</c:v>
                </c:pt>
                <c:pt idx="14">
                  <c:v>2017-18</c:v>
                </c:pt>
                <c:pt idx="15">
                  <c:v>2018-19</c:v>
                </c:pt>
                <c:pt idx="16">
                  <c:v>2019-20</c:v>
                </c:pt>
                <c:pt idx="17">
                  <c:v>2020-21</c:v>
                </c:pt>
                <c:pt idx="18">
                  <c:v>2021-22</c:v>
                </c:pt>
                <c:pt idx="19">
                  <c:v>2022-23</c:v>
                </c:pt>
                <c:pt idx="20">
                  <c:v>2023-24</c:v>
                </c:pt>
              </c:strCache>
            </c:strRef>
          </c:cat>
          <c:val>
            <c:numRef>
              <c:f>'2.2'!$E$12:$Y$12</c:f>
              <c:numCache>
                <c:formatCode>_-* #,##0.0_-;\-* #,##0.0_-;_-* "-"??_-;_-@_-</c:formatCode>
                <c:ptCount val="21"/>
                <c:pt idx="0">
                  <c:v>12.627560655575204</c:v>
                </c:pt>
                <c:pt idx="1">
                  <c:v>12.521180048492777</c:v>
                </c:pt>
                <c:pt idx="2">
                  <c:v>12.766585657586587</c:v>
                </c:pt>
                <c:pt idx="3">
                  <c:v>12.83029448243213</c:v>
                </c:pt>
                <c:pt idx="4">
                  <c:v>12.522727569381681</c:v>
                </c:pt>
                <c:pt idx="5">
                  <c:v>13.182507833999768</c:v>
                </c:pt>
                <c:pt idx="6">
                  <c:v>14.15323577740916</c:v>
                </c:pt>
                <c:pt idx="7">
                  <c:v>13.698853492545496</c:v>
                </c:pt>
                <c:pt idx="8">
                  <c:v>13.643814580228863</c:v>
                </c:pt>
                <c:pt idx="9">
                  <c:v>13.798875672184749</c:v>
                </c:pt>
                <c:pt idx="10">
                  <c:v>13.744658362645875</c:v>
                </c:pt>
                <c:pt idx="11">
                  <c:v>13.781105666951598</c:v>
                </c:pt>
                <c:pt idx="12">
                  <c:v>13.65114735107627</c:v>
                </c:pt>
                <c:pt idx="13">
                  <c:v>13.904129819596323</c:v>
                </c:pt>
                <c:pt idx="14">
                  <c:v>14.095395168550542</c:v>
                </c:pt>
                <c:pt idx="15">
                  <c:v>14.822582541314166</c:v>
                </c:pt>
                <c:pt idx="16">
                  <c:v>15.856568538652963</c:v>
                </c:pt>
                <c:pt idx="17">
                  <c:v>18.304633907021312</c:v>
                </c:pt>
                <c:pt idx="18">
                  <c:v>18.52647214675326</c:v>
                </c:pt>
                <c:pt idx="19">
                  <c:v>16.351373673356296</c:v>
                </c:pt>
                <c:pt idx="20">
                  <c:v>16.050036644587657</c:v>
                </c:pt>
              </c:numCache>
            </c:numRef>
          </c:val>
          <c:smooth val="0"/>
          <c:extLst>
            <c:ext xmlns:c16="http://schemas.microsoft.com/office/drawing/2014/chart" uri="{C3380CC4-5D6E-409C-BE32-E72D297353CC}">
              <c16:uniqueId val="{00000000-3DAD-433A-B516-E1E73E907117}"/>
            </c:ext>
          </c:extLst>
        </c:ser>
        <c:ser>
          <c:idx val="1"/>
          <c:order val="1"/>
          <c:tx>
            <c:strRef>
              <c:f>'2.2'!$D$13</c:f>
              <c:strCache>
                <c:ptCount val="1"/>
                <c:pt idx="0">
                  <c:v> Nominal general govt. expenditure per capita, All jursidictions (excl. Vic) </c:v>
                </c:pt>
              </c:strCache>
            </c:strRef>
          </c:tx>
          <c:spPr>
            <a:ln w="28575" cap="rnd">
              <a:solidFill>
                <a:srgbClr val="800080"/>
              </a:solidFill>
              <a:round/>
            </a:ln>
            <a:effectLst/>
          </c:spPr>
          <c:marker>
            <c:symbol val="none"/>
          </c:marker>
          <c:cat>
            <c:strRef>
              <c:f>'2.2'!$E$10:$Y$10</c:f>
              <c:strCache>
                <c:ptCount val="21"/>
                <c:pt idx="0">
                  <c:v>2003-04</c:v>
                </c:pt>
                <c:pt idx="1">
                  <c:v>2004-05</c:v>
                </c:pt>
                <c:pt idx="2">
                  <c:v>2005-06</c:v>
                </c:pt>
                <c:pt idx="3">
                  <c:v>2006-07</c:v>
                </c:pt>
                <c:pt idx="4">
                  <c:v>2007-08</c:v>
                </c:pt>
                <c:pt idx="5">
                  <c:v>2008-09</c:v>
                </c:pt>
                <c:pt idx="6">
                  <c:v>2009-10</c:v>
                </c:pt>
                <c:pt idx="7">
                  <c:v>2010-11</c:v>
                </c:pt>
                <c:pt idx="8">
                  <c:v>2011-12</c:v>
                </c:pt>
                <c:pt idx="9">
                  <c:v>2012-13</c:v>
                </c:pt>
                <c:pt idx="10">
                  <c:v>2013-14</c:v>
                </c:pt>
                <c:pt idx="11">
                  <c:v>2014-15</c:v>
                </c:pt>
                <c:pt idx="12">
                  <c:v>2015-16</c:v>
                </c:pt>
                <c:pt idx="13">
                  <c:v>2016-17</c:v>
                </c:pt>
                <c:pt idx="14">
                  <c:v>2017-18</c:v>
                </c:pt>
                <c:pt idx="15">
                  <c:v>2018-19</c:v>
                </c:pt>
                <c:pt idx="16">
                  <c:v>2019-20</c:v>
                </c:pt>
                <c:pt idx="17">
                  <c:v>2020-21</c:v>
                </c:pt>
                <c:pt idx="18">
                  <c:v>2021-22</c:v>
                </c:pt>
                <c:pt idx="19">
                  <c:v>2022-23</c:v>
                </c:pt>
                <c:pt idx="20">
                  <c:v>2023-24</c:v>
                </c:pt>
              </c:strCache>
            </c:strRef>
          </c:cat>
          <c:val>
            <c:numRef>
              <c:f>'2.2'!$E$14:$Y$14</c:f>
              <c:numCache>
                <c:formatCode>_-* #,##0.0_-;\-* #,##0.0_-;_-* "-"??_-;_-@_-</c:formatCode>
                <c:ptCount val="21"/>
                <c:pt idx="0">
                  <c:v>13.630963312848539</c:v>
                </c:pt>
                <c:pt idx="1">
                  <c:v>13.651329958635685</c:v>
                </c:pt>
                <c:pt idx="2">
                  <c:v>13.526953225808585</c:v>
                </c:pt>
                <c:pt idx="3">
                  <c:v>13.455176593278981</c:v>
                </c:pt>
                <c:pt idx="4">
                  <c:v>13.426690930878296</c:v>
                </c:pt>
                <c:pt idx="5">
                  <c:v>13.763576460107322</c:v>
                </c:pt>
                <c:pt idx="6">
                  <c:v>14.589075626024425</c:v>
                </c:pt>
                <c:pt idx="7">
                  <c:v>13.899306849395771</c:v>
                </c:pt>
                <c:pt idx="8">
                  <c:v>13.869589221294321</c:v>
                </c:pt>
                <c:pt idx="9">
                  <c:v>13.895664856939687</c:v>
                </c:pt>
                <c:pt idx="10">
                  <c:v>13.734079034358004</c:v>
                </c:pt>
                <c:pt idx="11">
                  <c:v>14.209249928386821</c:v>
                </c:pt>
                <c:pt idx="12">
                  <c:v>14.410565269242809</c:v>
                </c:pt>
                <c:pt idx="13">
                  <c:v>14.218362529163468</c:v>
                </c:pt>
                <c:pt idx="14">
                  <c:v>14.280712099841097</c:v>
                </c:pt>
                <c:pt idx="15">
                  <c:v>14.081770887370496</c:v>
                </c:pt>
                <c:pt idx="16">
                  <c:v>14.853574759277361</c:v>
                </c:pt>
                <c:pt idx="17">
                  <c:v>14.67727204096431</c:v>
                </c:pt>
                <c:pt idx="18">
                  <c:v>15.052472749814438</c:v>
                </c:pt>
                <c:pt idx="19">
                  <c:v>14.055531047420718</c:v>
                </c:pt>
                <c:pt idx="20">
                  <c:v>14.741661594153765</c:v>
                </c:pt>
              </c:numCache>
            </c:numRef>
          </c:val>
          <c:smooth val="0"/>
          <c:extLst>
            <c:ext xmlns:c16="http://schemas.microsoft.com/office/drawing/2014/chart" uri="{C3380CC4-5D6E-409C-BE32-E72D297353CC}">
              <c16:uniqueId val="{00000001-3DAD-433A-B516-E1E73E907117}"/>
            </c:ext>
          </c:extLst>
        </c:ser>
        <c:dLbls>
          <c:showLegendKey val="0"/>
          <c:showVal val="0"/>
          <c:showCatName val="0"/>
          <c:showSerName val="0"/>
          <c:showPercent val="0"/>
          <c:showBubbleSize val="0"/>
        </c:dLbls>
        <c:smooth val="0"/>
        <c:axId val="183308695"/>
        <c:axId val="183316255"/>
      </c:lineChart>
      <c:catAx>
        <c:axId val="183308695"/>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ptos" panose="020B0004020202020204" pitchFamily="34" charset="0"/>
                <a:ea typeface="+mn-ea"/>
                <a:cs typeface="+mn-cs"/>
              </a:defRPr>
            </a:pPr>
            <a:endParaRPr lang="en-US"/>
          </a:p>
        </c:txPr>
        <c:crossAx val="183316255"/>
        <c:crosses val="autoZero"/>
        <c:auto val="1"/>
        <c:lblAlgn val="ctr"/>
        <c:lblOffset val="100"/>
        <c:tickLblSkip val="4"/>
        <c:tickMarkSkip val="4"/>
        <c:noMultiLvlLbl val="0"/>
      </c:catAx>
      <c:valAx>
        <c:axId val="183316255"/>
        <c:scaling>
          <c:orientation val="minMax"/>
          <c:min val="8"/>
        </c:scaling>
        <c:delete val="0"/>
        <c:axPos val="l"/>
        <c:numFmt formatCode="#,##0;\(#,##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ptos" panose="020B0004020202020204" pitchFamily="34" charset="0"/>
                <a:ea typeface="+mn-ea"/>
                <a:cs typeface="+mn-cs"/>
              </a:defRPr>
            </a:pPr>
            <a:endParaRPr lang="en-US"/>
          </a:p>
        </c:txPr>
        <c:crossAx val="18330869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baseline="0">
          <a:solidFill>
            <a:sysClr val="windowText" lastClr="000000"/>
          </a:solidFill>
          <a:latin typeface="Aptos" panose="020B00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526224550095181E-2"/>
          <c:y val="2.5144895349619761E-2"/>
          <c:w val="0.79853089588322412"/>
          <c:h val="0.89140945414997041"/>
        </c:manualLayout>
      </c:layout>
      <c:barChart>
        <c:barDir val="col"/>
        <c:grouping val="clustered"/>
        <c:varyColors val="0"/>
        <c:ser>
          <c:idx val="1"/>
          <c:order val="1"/>
          <c:tx>
            <c:strRef>
              <c:f>'2.3'!$D$13</c:f>
              <c:strCache>
                <c:ptCount val="1"/>
                <c:pt idx="0">
                  <c:v>Net Debt as per cent of GSP, Victoria</c:v>
                </c:pt>
              </c:strCache>
            </c:strRef>
          </c:tx>
          <c:spPr>
            <a:solidFill>
              <a:srgbClr val="27CED7"/>
            </a:solidFill>
            <a:ln>
              <a:noFill/>
            </a:ln>
            <a:effectLst/>
          </c:spPr>
          <c:invertIfNegative val="0"/>
          <c:cat>
            <c:strRef>
              <c:f>'2.3'!$E$10:$AD$10</c:f>
              <c:strCache>
                <c:ptCount val="26"/>
                <c:pt idx="0">
                  <c:v>2003-04</c:v>
                </c:pt>
                <c:pt idx="1">
                  <c:v>2004-05</c:v>
                </c:pt>
                <c:pt idx="2">
                  <c:v>2005-06</c:v>
                </c:pt>
                <c:pt idx="3">
                  <c:v>2006-07</c:v>
                </c:pt>
                <c:pt idx="4">
                  <c:v>2007-08</c:v>
                </c:pt>
                <c:pt idx="5">
                  <c:v>2008-09</c:v>
                </c:pt>
                <c:pt idx="6">
                  <c:v>2009-10</c:v>
                </c:pt>
                <c:pt idx="7">
                  <c:v>2010-11</c:v>
                </c:pt>
                <c:pt idx="8">
                  <c:v>2011-12</c:v>
                </c:pt>
                <c:pt idx="9">
                  <c:v>2012-13</c:v>
                </c:pt>
                <c:pt idx="10">
                  <c:v>2013-14</c:v>
                </c:pt>
                <c:pt idx="11">
                  <c:v>2014-15</c:v>
                </c:pt>
                <c:pt idx="12">
                  <c:v>2015-16</c:v>
                </c:pt>
                <c:pt idx="13">
                  <c:v>2016-17</c:v>
                </c:pt>
                <c:pt idx="14">
                  <c:v>2017-18</c:v>
                </c:pt>
                <c:pt idx="15">
                  <c:v>2018-19</c:v>
                </c:pt>
                <c:pt idx="16">
                  <c:v>2019-20</c:v>
                </c:pt>
                <c:pt idx="17">
                  <c:v>2020-21</c:v>
                </c:pt>
                <c:pt idx="18">
                  <c:v>2021-22</c:v>
                </c:pt>
                <c:pt idx="19">
                  <c:v>2022-23</c:v>
                </c:pt>
                <c:pt idx="20">
                  <c:v>2023-24</c:v>
                </c:pt>
                <c:pt idx="21">
                  <c:v>2024-25</c:v>
                </c:pt>
                <c:pt idx="22">
                  <c:v>2025-26</c:v>
                </c:pt>
                <c:pt idx="23">
                  <c:v>2026-27</c:v>
                </c:pt>
                <c:pt idx="24">
                  <c:v>2027-28</c:v>
                </c:pt>
                <c:pt idx="25">
                  <c:v>2028-29</c:v>
                </c:pt>
              </c:strCache>
            </c:strRef>
          </c:cat>
          <c:val>
            <c:numRef>
              <c:f>'2.3'!$E$13:$AD$13</c:f>
              <c:numCache>
                <c:formatCode>_-* #,##0.0_-;\-* #,##0.0_-;_-* "-"??_-;_-@_-</c:formatCode>
                <c:ptCount val="26"/>
                <c:pt idx="0">
                  <c:v>0.64669467167808981</c:v>
                </c:pt>
                <c:pt idx="1">
                  <c:v>0.63303926124762244</c:v>
                </c:pt>
                <c:pt idx="2">
                  <c:v>0.48430034349549345</c:v>
                </c:pt>
                <c:pt idx="3">
                  <c:v>0.7789852928317399</c:v>
                </c:pt>
                <c:pt idx="4">
                  <c:v>0.75431462031280705</c:v>
                </c:pt>
                <c:pt idx="5">
                  <c:v>1.7871285143160127</c:v>
                </c:pt>
                <c:pt idx="6">
                  <c:v>2.5650048945795256</c:v>
                </c:pt>
                <c:pt idx="7">
                  <c:v>3.5630000901283791</c:v>
                </c:pt>
                <c:pt idx="8">
                  <c:v>4.3941139608862656</c:v>
                </c:pt>
                <c:pt idx="9">
                  <c:v>5.590144551084351</c:v>
                </c:pt>
                <c:pt idx="10">
                  <c:v>5.7762988947836478</c:v>
                </c:pt>
                <c:pt idx="11">
                  <c:v>5.8544191040990938</c:v>
                </c:pt>
                <c:pt idx="12">
                  <c:v>5.6341942769837683</c:v>
                </c:pt>
                <c:pt idx="13">
                  <c:v>3.7650390846864923</c:v>
                </c:pt>
                <c:pt idx="14">
                  <c:v>4.5274291428749258</c:v>
                </c:pt>
                <c:pt idx="15">
                  <c:v>5.5057608074518187</c:v>
                </c:pt>
                <c:pt idx="16">
                  <c:v>9.4329012375547361</c:v>
                </c:pt>
                <c:pt idx="17">
                  <c:v>15.266826137911638</c:v>
                </c:pt>
                <c:pt idx="18">
                  <c:v>19.131953985850728</c:v>
                </c:pt>
                <c:pt idx="19">
                  <c:v>20.104561600656378</c:v>
                </c:pt>
                <c:pt idx="20">
                  <c:v>21.983521189465037</c:v>
                </c:pt>
                <c:pt idx="21">
                  <c:v>24.457067581999432</c:v>
                </c:pt>
                <c:pt idx="22">
                  <c:v>25.113232241224342</c:v>
                </c:pt>
                <c:pt idx="23">
                  <c:v>25.225590321494202</c:v>
                </c:pt>
                <c:pt idx="24">
                  <c:v>24.965541065941331</c:v>
                </c:pt>
                <c:pt idx="25">
                  <c:v>24.850475144045891</c:v>
                </c:pt>
              </c:numCache>
            </c:numRef>
          </c:val>
          <c:extLst>
            <c:ext xmlns:c16="http://schemas.microsoft.com/office/drawing/2014/chart" uri="{C3380CC4-5D6E-409C-BE32-E72D297353CC}">
              <c16:uniqueId val="{00000000-E94A-4733-B9F3-A7DAC91D872B}"/>
            </c:ext>
          </c:extLst>
        </c:ser>
        <c:dLbls>
          <c:showLegendKey val="0"/>
          <c:showVal val="0"/>
          <c:showCatName val="0"/>
          <c:showSerName val="0"/>
          <c:showPercent val="0"/>
          <c:showBubbleSize val="0"/>
        </c:dLbls>
        <c:gapWidth val="50"/>
        <c:axId val="196796119"/>
        <c:axId val="196797559"/>
      </c:barChart>
      <c:lineChart>
        <c:grouping val="standard"/>
        <c:varyColors val="0"/>
        <c:ser>
          <c:idx val="0"/>
          <c:order val="0"/>
          <c:tx>
            <c:strRef>
              <c:f>'2.3'!$D$12</c:f>
              <c:strCache>
                <c:ptCount val="1"/>
                <c:pt idx="0">
                  <c:v>Net Debt per capita, Victoria</c:v>
                </c:pt>
              </c:strCache>
            </c:strRef>
          </c:tx>
          <c:spPr>
            <a:ln w="28575" cap="rnd">
              <a:solidFill>
                <a:srgbClr val="264C72"/>
              </a:solidFill>
              <a:round/>
            </a:ln>
            <a:effectLst/>
          </c:spPr>
          <c:marker>
            <c:symbol val="none"/>
          </c:marker>
          <c:cat>
            <c:strRef>
              <c:f>'2.3'!$E$10:$AD$10</c:f>
              <c:strCache>
                <c:ptCount val="26"/>
                <c:pt idx="0">
                  <c:v>2003-04</c:v>
                </c:pt>
                <c:pt idx="1">
                  <c:v>2004-05</c:v>
                </c:pt>
                <c:pt idx="2">
                  <c:v>2005-06</c:v>
                </c:pt>
                <c:pt idx="3">
                  <c:v>2006-07</c:v>
                </c:pt>
                <c:pt idx="4">
                  <c:v>2007-08</c:v>
                </c:pt>
                <c:pt idx="5">
                  <c:v>2008-09</c:v>
                </c:pt>
                <c:pt idx="6">
                  <c:v>2009-10</c:v>
                </c:pt>
                <c:pt idx="7">
                  <c:v>2010-11</c:v>
                </c:pt>
                <c:pt idx="8">
                  <c:v>2011-12</c:v>
                </c:pt>
                <c:pt idx="9">
                  <c:v>2012-13</c:v>
                </c:pt>
                <c:pt idx="10">
                  <c:v>2013-14</c:v>
                </c:pt>
                <c:pt idx="11">
                  <c:v>2014-15</c:v>
                </c:pt>
                <c:pt idx="12">
                  <c:v>2015-16</c:v>
                </c:pt>
                <c:pt idx="13">
                  <c:v>2016-17</c:v>
                </c:pt>
                <c:pt idx="14">
                  <c:v>2017-18</c:v>
                </c:pt>
                <c:pt idx="15">
                  <c:v>2018-19</c:v>
                </c:pt>
                <c:pt idx="16">
                  <c:v>2019-20</c:v>
                </c:pt>
                <c:pt idx="17">
                  <c:v>2020-21</c:v>
                </c:pt>
                <c:pt idx="18">
                  <c:v>2021-22</c:v>
                </c:pt>
                <c:pt idx="19">
                  <c:v>2022-23</c:v>
                </c:pt>
                <c:pt idx="20">
                  <c:v>2023-24</c:v>
                </c:pt>
                <c:pt idx="21">
                  <c:v>2024-25</c:v>
                </c:pt>
                <c:pt idx="22">
                  <c:v>2025-26</c:v>
                </c:pt>
                <c:pt idx="23">
                  <c:v>2026-27</c:v>
                </c:pt>
                <c:pt idx="24">
                  <c:v>2027-28</c:v>
                </c:pt>
                <c:pt idx="25">
                  <c:v>2028-29</c:v>
                </c:pt>
              </c:strCache>
            </c:strRef>
          </c:cat>
          <c:val>
            <c:numRef>
              <c:f>'2.3'!$E$12:$AD$12</c:f>
              <c:numCache>
                <c:formatCode>_-* #,##0.0_-;\-* #,##0.0_-;_-* "-"??_-;_-@_-</c:formatCode>
                <c:ptCount val="26"/>
                <c:pt idx="0">
                  <c:v>284.95180478609433</c:v>
                </c:pt>
                <c:pt idx="1">
                  <c:v>294.17174394888525</c:v>
                </c:pt>
                <c:pt idx="2">
                  <c:v>233.45571030054535</c:v>
                </c:pt>
                <c:pt idx="3">
                  <c:v>395.27269714866844</c:v>
                </c:pt>
                <c:pt idx="4">
                  <c:v>409.03437227557015</c:v>
                </c:pt>
                <c:pt idx="5">
                  <c:v>985.06855695918819</c:v>
                </c:pt>
                <c:pt idx="6">
                  <c:v>1458.2400776418524</c:v>
                </c:pt>
                <c:pt idx="7">
                  <c:v>2137.4524924568641</c:v>
                </c:pt>
                <c:pt idx="8">
                  <c:v>2696.2831935443965</c:v>
                </c:pt>
                <c:pt idx="9">
                  <c:v>3433.783153631362</c:v>
                </c:pt>
                <c:pt idx="10">
                  <c:v>3592.0168108422899</c:v>
                </c:pt>
                <c:pt idx="11">
                  <c:v>3707.4417386914879</c:v>
                </c:pt>
                <c:pt idx="12">
                  <c:v>3613.8064161601201</c:v>
                </c:pt>
                <c:pt idx="13">
                  <c:v>2500.9228129117341</c:v>
                </c:pt>
                <c:pt idx="14">
                  <c:v>3114.2720063387451</c:v>
                </c:pt>
                <c:pt idx="15">
                  <c:v>3899.4245482060264</c:v>
                </c:pt>
                <c:pt idx="16">
                  <c:v>6698.6252047982734</c:v>
                </c:pt>
                <c:pt idx="17">
                  <c:v>11108.177002139033</c:v>
                </c:pt>
                <c:pt idx="18">
                  <c:v>15078.209489172297</c:v>
                </c:pt>
                <c:pt idx="19">
                  <c:v>16877.943693865873</c:v>
                </c:pt>
                <c:pt idx="20">
                  <c:v>19092.507176245381</c:v>
                </c:pt>
                <c:pt idx="21">
                  <c:v>21912.898690246748</c:v>
                </c:pt>
                <c:pt idx="22">
                  <c:v>23223.101154163462</c:v>
                </c:pt>
                <c:pt idx="23">
                  <c:v>24172.946972912774</c:v>
                </c:pt>
                <c:pt idx="24">
                  <c:v>24804.961058812718</c:v>
                </c:pt>
                <c:pt idx="25">
                  <c:v>25557.518535615665</c:v>
                </c:pt>
              </c:numCache>
            </c:numRef>
          </c:val>
          <c:smooth val="0"/>
          <c:extLst>
            <c:ext xmlns:c16="http://schemas.microsoft.com/office/drawing/2014/chart" uri="{C3380CC4-5D6E-409C-BE32-E72D297353CC}">
              <c16:uniqueId val="{00000001-E94A-4733-B9F3-A7DAC91D872B}"/>
            </c:ext>
          </c:extLst>
        </c:ser>
        <c:dLbls>
          <c:showLegendKey val="0"/>
          <c:showVal val="0"/>
          <c:showCatName val="0"/>
          <c:showSerName val="0"/>
          <c:showPercent val="0"/>
          <c:showBubbleSize val="0"/>
        </c:dLbls>
        <c:marker val="1"/>
        <c:smooth val="0"/>
        <c:axId val="859415104"/>
        <c:axId val="859420504"/>
      </c:lineChart>
      <c:catAx>
        <c:axId val="196796119"/>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ptos" panose="020B0004020202020204" pitchFamily="34" charset="0"/>
                <a:ea typeface="+mn-ea"/>
                <a:cs typeface="+mn-cs"/>
              </a:defRPr>
            </a:pPr>
            <a:endParaRPr lang="en-US"/>
          </a:p>
        </c:txPr>
        <c:crossAx val="196797559"/>
        <c:crosses val="autoZero"/>
        <c:auto val="1"/>
        <c:lblAlgn val="ctr"/>
        <c:lblOffset val="100"/>
        <c:tickLblSkip val="5"/>
        <c:tickMarkSkip val="5"/>
        <c:noMultiLvlLbl val="0"/>
      </c:catAx>
      <c:valAx>
        <c:axId val="196797559"/>
        <c:scaling>
          <c:orientation val="minMax"/>
        </c:scaling>
        <c:delete val="0"/>
        <c:axPos val="l"/>
        <c:numFmt formatCode="#,##0;\(#,##0\);0" sourceLinked="0"/>
        <c:majorTickMark val="out"/>
        <c:minorTickMark val="none"/>
        <c:tickLblPos val="nextTo"/>
        <c:spPr>
          <a:noFill/>
          <a:ln>
            <a:solidFill>
              <a:schemeClr val="tx1">
                <a:alpha val="99000"/>
              </a:schemeClr>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ptos" panose="020B0004020202020204" pitchFamily="34" charset="0"/>
                <a:ea typeface="+mn-ea"/>
                <a:cs typeface="+mn-cs"/>
              </a:defRPr>
            </a:pPr>
            <a:endParaRPr lang="en-US"/>
          </a:p>
        </c:txPr>
        <c:crossAx val="196796119"/>
        <c:crosses val="autoZero"/>
        <c:crossBetween val="midCat"/>
      </c:valAx>
      <c:valAx>
        <c:axId val="859420504"/>
        <c:scaling>
          <c:orientation val="minMax"/>
        </c:scaling>
        <c:delete val="0"/>
        <c:axPos val="r"/>
        <c:numFmt formatCode="#,##0;\(#,##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ptos" panose="020B0004020202020204" pitchFamily="34" charset="0"/>
                <a:ea typeface="+mn-ea"/>
                <a:cs typeface="+mn-cs"/>
              </a:defRPr>
            </a:pPr>
            <a:endParaRPr lang="en-US"/>
          </a:p>
        </c:txPr>
        <c:crossAx val="859415104"/>
        <c:crosses val="max"/>
        <c:crossBetween val="between"/>
      </c:valAx>
      <c:catAx>
        <c:axId val="859415104"/>
        <c:scaling>
          <c:orientation val="minMax"/>
        </c:scaling>
        <c:delete val="1"/>
        <c:axPos val="b"/>
        <c:numFmt formatCode="General" sourceLinked="1"/>
        <c:majorTickMark val="out"/>
        <c:minorTickMark val="none"/>
        <c:tickLblPos val="nextTo"/>
        <c:crossAx val="859420504"/>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600">
          <a:solidFill>
            <a:sysClr val="windowText" lastClr="000000"/>
          </a:solidFill>
          <a:latin typeface="Aptos" panose="020B0004020202020204" pitchFamily="34" charset="0"/>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'2.3'!$D$14</c:f>
              <c:strCache>
                <c:ptCount val="1"/>
                <c:pt idx="0">
                  <c:v> Interest expense as a per cent of operating expenditure, Victoria </c:v>
                </c:pt>
              </c:strCache>
            </c:strRef>
          </c:tx>
          <c:spPr>
            <a:ln w="28575" cap="rnd">
              <a:solidFill>
                <a:srgbClr val="1CADE4"/>
              </a:solidFill>
              <a:round/>
            </a:ln>
            <a:effectLst/>
          </c:spPr>
          <c:marker>
            <c:symbol val="none"/>
          </c:marker>
          <c:cat>
            <c:strRef>
              <c:f>'2.3'!$E$10:$AD$10</c:f>
              <c:strCache>
                <c:ptCount val="26"/>
                <c:pt idx="0">
                  <c:v>2003-04</c:v>
                </c:pt>
                <c:pt idx="1">
                  <c:v>2004-05</c:v>
                </c:pt>
                <c:pt idx="2">
                  <c:v>2005-06</c:v>
                </c:pt>
                <c:pt idx="3">
                  <c:v>2006-07</c:v>
                </c:pt>
                <c:pt idx="4">
                  <c:v>2007-08</c:v>
                </c:pt>
                <c:pt idx="5">
                  <c:v>2008-09</c:v>
                </c:pt>
                <c:pt idx="6">
                  <c:v>2009-10</c:v>
                </c:pt>
                <c:pt idx="7">
                  <c:v>2010-11</c:v>
                </c:pt>
                <c:pt idx="8">
                  <c:v>2011-12</c:v>
                </c:pt>
                <c:pt idx="9">
                  <c:v>2012-13</c:v>
                </c:pt>
                <c:pt idx="10">
                  <c:v>2013-14</c:v>
                </c:pt>
                <c:pt idx="11">
                  <c:v>2014-15</c:v>
                </c:pt>
                <c:pt idx="12">
                  <c:v>2015-16</c:v>
                </c:pt>
                <c:pt idx="13">
                  <c:v>2016-17</c:v>
                </c:pt>
                <c:pt idx="14">
                  <c:v>2017-18</c:v>
                </c:pt>
                <c:pt idx="15">
                  <c:v>2018-19</c:v>
                </c:pt>
                <c:pt idx="16">
                  <c:v>2019-20</c:v>
                </c:pt>
                <c:pt idx="17">
                  <c:v>2020-21</c:v>
                </c:pt>
                <c:pt idx="18">
                  <c:v>2021-22</c:v>
                </c:pt>
                <c:pt idx="19">
                  <c:v>2022-23</c:v>
                </c:pt>
                <c:pt idx="20">
                  <c:v>2023-24</c:v>
                </c:pt>
                <c:pt idx="21">
                  <c:v>2024-25</c:v>
                </c:pt>
                <c:pt idx="22">
                  <c:v>2025-26</c:v>
                </c:pt>
                <c:pt idx="23">
                  <c:v>2026-27</c:v>
                </c:pt>
                <c:pt idx="24">
                  <c:v>2027-28</c:v>
                </c:pt>
                <c:pt idx="25">
                  <c:v>2028-29</c:v>
                </c:pt>
              </c:strCache>
            </c:strRef>
          </c:cat>
          <c:val>
            <c:numRef>
              <c:f>'2.3'!$E$14:$AD$14</c:f>
              <c:numCache>
                <c:formatCode>_-* #,##0.0_-;\-* #,##0.0_-;_-* "-"??_-;_-@_-</c:formatCode>
                <c:ptCount val="26"/>
                <c:pt idx="0">
                  <c:v>1.6461844639784913</c:v>
                </c:pt>
                <c:pt idx="1">
                  <c:v>1.4682048263580918</c:v>
                </c:pt>
                <c:pt idx="2">
                  <c:v>1.4498716752859895</c:v>
                </c:pt>
                <c:pt idx="3">
                  <c:v>1.3669555945858491</c:v>
                </c:pt>
                <c:pt idx="4">
                  <c:v>1.2284858322442038</c:v>
                </c:pt>
                <c:pt idx="5">
                  <c:v>1.6458741388233495</c:v>
                </c:pt>
                <c:pt idx="6">
                  <c:v>1.9190469535788099</c:v>
                </c:pt>
                <c:pt idx="7">
                  <c:v>2.1657938390222511</c:v>
                </c:pt>
                <c:pt idx="8">
                  <c:v>2.6263677139370043</c:v>
                </c:pt>
                <c:pt idx="9">
                  <c:v>3.6283218181668526</c:v>
                </c:pt>
                <c:pt idx="10">
                  <c:v>4.2442475324613547</c:v>
                </c:pt>
                <c:pt idx="11">
                  <c:v>4.0001979944758679</c:v>
                </c:pt>
                <c:pt idx="12">
                  <c:v>3.8401707328183985</c:v>
                </c:pt>
                <c:pt idx="13">
                  <c:v>3.4833196804412236</c:v>
                </c:pt>
                <c:pt idx="14">
                  <c:v>3.3595898970157481</c:v>
                </c:pt>
                <c:pt idx="15">
                  <c:v>3.3822049074334655</c:v>
                </c:pt>
                <c:pt idx="16">
                  <c:v>3.1249518239597132</c:v>
                </c:pt>
                <c:pt idx="17">
                  <c:v>2.9972510783549793</c:v>
                </c:pt>
                <c:pt idx="18">
                  <c:v>2.9636277812146945</c:v>
                </c:pt>
                <c:pt idx="19">
                  <c:v>4.2470537966201203</c:v>
                </c:pt>
                <c:pt idx="20">
                  <c:v>5.7963242932427059</c:v>
                </c:pt>
                <c:pt idx="21">
                  <c:v>6.5447341496203331</c:v>
                </c:pt>
                <c:pt idx="22">
                  <c:v>7.02534615635596</c:v>
                </c:pt>
                <c:pt idx="23">
                  <c:v>7.7585152421934671</c:v>
                </c:pt>
                <c:pt idx="24">
                  <c:v>8.5563342524405748</c:v>
                </c:pt>
                <c:pt idx="25">
                  <c:v>9.1570030259999697</c:v>
                </c:pt>
              </c:numCache>
            </c:numRef>
          </c:val>
          <c:smooth val="0"/>
          <c:extLst>
            <c:ext xmlns:c16="http://schemas.microsoft.com/office/drawing/2014/chart" uri="{C3380CC4-5D6E-409C-BE32-E72D297353CC}">
              <c16:uniqueId val="{00000000-BA11-44D2-B5B5-E8318D863C73}"/>
            </c:ext>
          </c:extLst>
        </c:ser>
        <c:dLbls>
          <c:showLegendKey val="0"/>
          <c:showVal val="0"/>
          <c:showCatName val="0"/>
          <c:showSerName val="0"/>
          <c:showPercent val="0"/>
          <c:showBubbleSize val="0"/>
        </c:dLbls>
        <c:marker val="1"/>
        <c:smooth val="0"/>
        <c:axId val="188450703"/>
        <c:axId val="188449623"/>
      </c:lineChart>
      <c:lineChart>
        <c:grouping val="standard"/>
        <c:varyColors val="0"/>
        <c:ser>
          <c:idx val="0"/>
          <c:order val="0"/>
          <c:tx>
            <c:strRef>
              <c:f>'2.3'!$D$11</c:f>
              <c:strCache>
                <c:ptCount val="1"/>
                <c:pt idx="0">
                  <c:v>Nominal Interest Expense, Victoria</c:v>
                </c:pt>
              </c:strCache>
            </c:strRef>
          </c:tx>
          <c:spPr>
            <a:ln w="28575" cap="rnd">
              <a:solidFill>
                <a:srgbClr val="264C72"/>
              </a:solidFill>
              <a:round/>
            </a:ln>
            <a:effectLst/>
          </c:spPr>
          <c:marker>
            <c:symbol val="none"/>
          </c:marker>
          <c:cat>
            <c:strRef>
              <c:f>'2.3'!$E$10:$AD$10</c:f>
              <c:strCache>
                <c:ptCount val="26"/>
                <c:pt idx="0">
                  <c:v>2003-04</c:v>
                </c:pt>
                <c:pt idx="1">
                  <c:v>2004-05</c:v>
                </c:pt>
                <c:pt idx="2">
                  <c:v>2005-06</c:v>
                </c:pt>
                <c:pt idx="3">
                  <c:v>2006-07</c:v>
                </c:pt>
                <c:pt idx="4">
                  <c:v>2007-08</c:v>
                </c:pt>
                <c:pt idx="5">
                  <c:v>2008-09</c:v>
                </c:pt>
                <c:pt idx="6">
                  <c:v>2009-10</c:v>
                </c:pt>
                <c:pt idx="7">
                  <c:v>2010-11</c:v>
                </c:pt>
                <c:pt idx="8">
                  <c:v>2011-12</c:v>
                </c:pt>
                <c:pt idx="9">
                  <c:v>2012-13</c:v>
                </c:pt>
                <c:pt idx="10">
                  <c:v>2013-14</c:v>
                </c:pt>
                <c:pt idx="11">
                  <c:v>2014-15</c:v>
                </c:pt>
                <c:pt idx="12">
                  <c:v>2015-16</c:v>
                </c:pt>
                <c:pt idx="13">
                  <c:v>2016-17</c:v>
                </c:pt>
                <c:pt idx="14">
                  <c:v>2017-18</c:v>
                </c:pt>
                <c:pt idx="15">
                  <c:v>2018-19</c:v>
                </c:pt>
                <c:pt idx="16">
                  <c:v>2019-20</c:v>
                </c:pt>
                <c:pt idx="17">
                  <c:v>2020-21</c:v>
                </c:pt>
                <c:pt idx="18">
                  <c:v>2021-22</c:v>
                </c:pt>
                <c:pt idx="19">
                  <c:v>2022-23</c:v>
                </c:pt>
                <c:pt idx="20">
                  <c:v>2023-24</c:v>
                </c:pt>
                <c:pt idx="21">
                  <c:v>2024-25</c:v>
                </c:pt>
                <c:pt idx="22">
                  <c:v>2025-26</c:v>
                </c:pt>
                <c:pt idx="23">
                  <c:v>2026-27</c:v>
                </c:pt>
                <c:pt idx="24">
                  <c:v>2027-28</c:v>
                </c:pt>
                <c:pt idx="25">
                  <c:v>2028-29</c:v>
                </c:pt>
              </c:strCache>
            </c:strRef>
          </c:cat>
          <c:val>
            <c:numRef>
              <c:f>'2.3'!$E$11:$AD$11</c:f>
              <c:numCache>
                <c:formatCode>_-* #,##0.0_-;\-* #,##0.0_-;_-* "-"??_-;_-@_-</c:formatCode>
                <c:ptCount val="26"/>
                <c:pt idx="0">
                  <c:v>451.30047132999999</c:v>
                </c:pt>
                <c:pt idx="1">
                  <c:v>426.22324868999988</c:v>
                </c:pt>
                <c:pt idx="2">
                  <c:v>451.59925401999993</c:v>
                </c:pt>
                <c:pt idx="3">
                  <c:v>458.63027982000006</c:v>
                </c:pt>
                <c:pt idx="4">
                  <c:v>438.49304067999987</c:v>
                </c:pt>
                <c:pt idx="5">
                  <c:v>642.44506921000016</c:v>
                </c:pt>
                <c:pt idx="6">
                  <c:v>843.26171416000011</c:v>
                </c:pt>
                <c:pt idx="7">
                  <c:v>985.64511204999997</c:v>
                </c:pt>
                <c:pt idx="8">
                  <c:v>1242.5613166500002</c:v>
                </c:pt>
                <c:pt idx="9">
                  <c:v>1775.31730197</c:v>
                </c:pt>
                <c:pt idx="10" formatCode="_-* #,##0_-;\-* #,##0_-;_-* &quot;-&quot;??_-;_-@_-">
                  <c:v>2138.4596089800002</c:v>
                </c:pt>
                <c:pt idx="11" formatCode="_-* #,##0_-;\-* #,##0_-;_-* &quot;-&quot;??_-;_-@_-">
                  <c:v>2102.42275625</c:v>
                </c:pt>
                <c:pt idx="12" formatCode="_-* #,##0_-;\-* #,##0_-;_-* &quot;-&quot;??_-;_-@_-">
                  <c:v>2075.68349506</c:v>
                </c:pt>
                <c:pt idx="13" formatCode="_-* #,##0_-;\-* #,##0_-;_-* &quot;-&quot;??_-;_-@_-">
                  <c:v>2027.6278282599999</c:v>
                </c:pt>
                <c:pt idx="14" formatCode="_-* #,##0_-;\-* #,##0_-;_-* &quot;-&quot;??_-;_-@_-">
                  <c:v>2092.22744091</c:v>
                </c:pt>
                <c:pt idx="15" formatCode="_-* #,##0_-;\-* #,##0_-;_-* &quot;-&quot;??_-;_-@_-">
                  <c:v>2321.1634416799998</c:v>
                </c:pt>
                <c:pt idx="16" formatCode="_-* #,##0_-;\-* #,##0_-;_-* &quot;-&quot;??_-;_-@_-">
                  <c:v>2327.6935108900002</c:v>
                </c:pt>
                <c:pt idx="17" formatCode="_-* #,##0_-;\-* #,##0_-;_-* &quot;-&quot;??_-;_-@_-">
                  <c:v>2613.81634179</c:v>
                </c:pt>
                <c:pt idx="18" formatCode="_-* #,##0_-;\-* #,##0_-;_-* &quot;-&quot;??_-;_-@_-">
                  <c:v>2869.2057335999998</c:v>
                </c:pt>
                <c:pt idx="19" formatCode="_-* #,##0_-;\-* #,##0_-;_-* &quot;-&quot;??_-;_-@_-">
                  <c:v>3973.8536544200001</c:v>
                </c:pt>
                <c:pt idx="20" formatCode="_-* #,##0_-;\-* #,##0_-;_-* &quot;-&quot;??_-;_-@_-">
                  <c:v>5638.5848686999998</c:v>
                </c:pt>
                <c:pt idx="21">
                  <c:v>6811.3164269700001</c:v>
                </c:pt>
                <c:pt idx="22">
                  <c:v>7568.5552753000002</c:v>
                </c:pt>
                <c:pt idx="23">
                  <c:v>8407.9230983599991</c:v>
                </c:pt>
                <c:pt idx="24">
                  <c:v>9484.7018724499994</c:v>
                </c:pt>
                <c:pt idx="25">
                  <c:v>10564.18668072</c:v>
                </c:pt>
              </c:numCache>
            </c:numRef>
          </c:val>
          <c:smooth val="0"/>
          <c:extLst>
            <c:ext xmlns:c16="http://schemas.microsoft.com/office/drawing/2014/chart" uri="{C3380CC4-5D6E-409C-BE32-E72D297353CC}">
              <c16:uniqueId val="{00000001-BA11-44D2-B5B5-E8318D863C73}"/>
            </c:ext>
          </c:extLst>
        </c:ser>
        <c:dLbls>
          <c:showLegendKey val="0"/>
          <c:showVal val="0"/>
          <c:showCatName val="0"/>
          <c:showSerName val="0"/>
          <c:showPercent val="0"/>
          <c:showBubbleSize val="0"/>
        </c:dLbls>
        <c:marker val="1"/>
        <c:smooth val="0"/>
        <c:axId val="1138483936"/>
        <c:axId val="859414384"/>
      </c:lineChart>
      <c:catAx>
        <c:axId val="188450703"/>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ptos" panose="020B0004020202020204" pitchFamily="34" charset="0"/>
                <a:ea typeface="+mn-ea"/>
                <a:cs typeface="+mn-cs"/>
              </a:defRPr>
            </a:pPr>
            <a:endParaRPr lang="en-US"/>
          </a:p>
        </c:txPr>
        <c:crossAx val="188449623"/>
        <c:crosses val="autoZero"/>
        <c:auto val="1"/>
        <c:lblAlgn val="ctr"/>
        <c:lblOffset val="100"/>
        <c:tickLblSkip val="5"/>
        <c:tickMarkSkip val="5"/>
        <c:noMultiLvlLbl val="0"/>
      </c:catAx>
      <c:valAx>
        <c:axId val="188449623"/>
        <c:scaling>
          <c:orientation val="minMax"/>
          <c:max val="12"/>
        </c:scaling>
        <c:delete val="0"/>
        <c:axPos val="l"/>
        <c:numFmt formatCode="#,##0;\(#,##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ptos" panose="020B0004020202020204" pitchFamily="34" charset="0"/>
                <a:ea typeface="+mn-ea"/>
                <a:cs typeface="+mn-cs"/>
              </a:defRPr>
            </a:pPr>
            <a:endParaRPr lang="en-US"/>
          </a:p>
        </c:txPr>
        <c:crossAx val="188450703"/>
        <c:crosses val="autoZero"/>
        <c:crossBetween val="between"/>
      </c:valAx>
      <c:valAx>
        <c:axId val="859414384"/>
        <c:scaling>
          <c:orientation val="minMax"/>
        </c:scaling>
        <c:delete val="0"/>
        <c:axPos val="r"/>
        <c:numFmt formatCode="#,##0;\(#,##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ptos" panose="020B0004020202020204" pitchFamily="34" charset="0"/>
                <a:ea typeface="+mn-ea"/>
                <a:cs typeface="+mn-cs"/>
              </a:defRPr>
            </a:pPr>
            <a:endParaRPr lang="en-US"/>
          </a:p>
        </c:txPr>
        <c:crossAx val="1138483936"/>
        <c:crosses val="max"/>
        <c:crossBetween val="between"/>
      </c:valAx>
      <c:catAx>
        <c:axId val="1138483936"/>
        <c:scaling>
          <c:orientation val="minMax"/>
        </c:scaling>
        <c:delete val="1"/>
        <c:axPos val="b"/>
        <c:numFmt formatCode="General" sourceLinked="1"/>
        <c:majorTickMark val="out"/>
        <c:minorTickMark val="none"/>
        <c:tickLblPos val="nextTo"/>
        <c:crossAx val="859414384"/>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600">
          <a:solidFill>
            <a:sysClr val="windowText" lastClr="000000"/>
          </a:solidFill>
          <a:latin typeface="Aptos" panose="020B00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920" b="0" i="0" u="none" strike="noStrike" kern="1200" spc="0" baseline="0">
                <a:solidFill>
                  <a:sysClr val="windowText" lastClr="000000"/>
                </a:solidFill>
                <a:latin typeface="Aptos" panose="020B0004020202020204" pitchFamily="34" charset="0"/>
                <a:ea typeface="+mn-ea"/>
                <a:cs typeface="+mn-cs"/>
              </a:defRPr>
            </a:pPr>
            <a:r>
              <a:rPr lang="en-US" sz="1300"/>
              <a:t> </a:t>
            </a:r>
            <a:r>
              <a:rPr lang="en-US" sz="1100"/>
              <a:t>$m,</a:t>
            </a:r>
            <a:r>
              <a:rPr lang="en-US" sz="1100" baseline="0"/>
              <a:t> nominal</a:t>
            </a:r>
            <a:endParaRPr lang="en-US" sz="1100"/>
          </a:p>
        </c:rich>
      </c:tx>
      <c:layout>
        <c:manualLayout>
          <c:xMode val="edge"/>
          <c:yMode val="edge"/>
          <c:x val="1.0544167243885121E-2"/>
          <c:y val="1.3917087524553258E-2"/>
        </c:manualLayout>
      </c:layout>
      <c:overlay val="0"/>
      <c:spPr>
        <a:noFill/>
        <a:ln>
          <a:noFill/>
        </a:ln>
        <a:effectLst/>
      </c:spPr>
      <c:txPr>
        <a:bodyPr rot="0" spcFirstLastPara="1" vertOverflow="ellipsis" vert="horz" wrap="square" anchor="ctr" anchorCtr="1"/>
        <a:lstStyle/>
        <a:p>
          <a:pPr>
            <a:defRPr sz="1920" b="0" i="0" u="none" strike="noStrike" kern="1200" spc="0" baseline="0">
              <a:solidFill>
                <a:sysClr val="windowText" lastClr="000000"/>
              </a:solidFill>
              <a:latin typeface="Aptos" panose="020B0004020202020204" pitchFamily="34" charset="0"/>
              <a:ea typeface="+mn-ea"/>
              <a:cs typeface="+mn-cs"/>
            </a:defRPr>
          </a:pPr>
          <a:endParaRPr lang="en-US"/>
        </a:p>
      </c:txPr>
    </c:title>
    <c:autoTitleDeleted val="0"/>
    <c:plotArea>
      <c:layout/>
      <c:barChart>
        <c:barDir val="col"/>
        <c:grouping val="clustered"/>
        <c:varyColors val="0"/>
        <c:ser>
          <c:idx val="0"/>
          <c:order val="0"/>
          <c:tx>
            <c:strRef>
              <c:f>'2.4'!$D$11</c:f>
              <c:strCache>
                <c:ptCount val="1"/>
                <c:pt idx="0">
                  <c:v> Net operating balance, Victoria </c:v>
                </c:pt>
              </c:strCache>
            </c:strRef>
          </c:tx>
          <c:spPr>
            <a:solidFill>
              <a:srgbClr val="1CADE4"/>
            </a:solidFill>
            <a:ln>
              <a:noFill/>
            </a:ln>
            <a:effectLst/>
          </c:spPr>
          <c:invertIfNegative val="0"/>
          <c:dPt>
            <c:idx val="21"/>
            <c:invertIfNegative val="0"/>
            <c:bubble3D val="0"/>
            <c:spPr>
              <a:solidFill>
                <a:srgbClr val="264C72"/>
              </a:solidFill>
              <a:ln>
                <a:noFill/>
              </a:ln>
              <a:effectLst/>
            </c:spPr>
            <c:extLst>
              <c:ext xmlns:c16="http://schemas.microsoft.com/office/drawing/2014/chart" uri="{C3380CC4-5D6E-409C-BE32-E72D297353CC}">
                <c16:uniqueId val="{00000001-87D1-406A-B8FA-89C5634BB47E}"/>
              </c:ext>
            </c:extLst>
          </c:dPt>
          <c:dPt>
            <c:idx val="22"/>
            <c:invertIfNegative val="0"/>
            <c:bubble3D val="0"/>
            <c:spPr>
              <a:solidFill>
                <a:srgbClr val="264C72"/>
              </a:solidFill>
              <a:ln>
                <a:noFill/>
              </a:ln>
              <a:effectLst/>
            </c:spPr>
            <c:extLst>
              <c:ext xmlns:c16="http://schemas.microsoft.com/office/drawing/2014/chart" uri="{C3380CC4-5D6E-409C-BE32-E72D297353CC}">
                <c16:uniqueId val="{00000003-87D1-406A-B8FA-89C5634BB47E}"/>
              </c:ext>
            </c:extLst>
          </c:dPt>
          <c:dPt>
            <c:idx val="23"/>
            <c:invertIfNegative val="0"/>
            <c:bubble3D val="0"/>
            <c:spPr>
              <a:solidFill>
                <a:srgbClr val="264C72"/>
              </a:solidFill>
              <a:ln>
                <a:noFill/>
              </a:ln>
              <a:effectLst/>
            </c:spPr>
            <c:extLst>
              <c:ext xmlns:c16="http://schemas.microsoft.com/office/drawing/2014/chart" uri="{C3380CC4-5D6E-409C-BE32-E72D297353CC}">
                <c16:uniqueId val="{00000005-87D1-406A-B8FA-89C5634BB47E}"/>
              </c:ext>
            </c:extLst>
          </c:dPt>
          <c:dPt>
            <c:idx val="24"/>
            <c:invertIfNegative val="0"/>
            <c:bubble3D val="0"/>
            <c:spPr>
              <a:solidFill>
                <a:srgbClr val="264C72"/>
              </a:solidFill>
              <a:ln>
                <a:noFill/>
              </a:ln>
              <a:effectLst/>
            </c:spPr>
            <c:extLst>
              <c:ext xmlns:c16="http://schemas.microsoft.com/office/drawing/2014/chart" uri="{C3380CC4-5D6E-409C-BE32-E72D297353CC}">
                <c16:uniqueId val="{00000007-87D1-406A-B8FA-89C5634BB47E}"/>
              </c:ext>
            </c:extLst>
          </c:dPt>
          <c:cat>
            <c:strRef>
              <c:f>'2.4'!$E$10:$AC$10</c:f>
              <c:strCache>
                <c:ptCount val="25"/>
                <c:pt idx="0">
                  <c:v>2004-05</c:v>
                </c:pt>
                <c:pt idx="1">
                  <c:v>2005-06</c:v>
                </c:pt>
                <c:pt idx="2">
                  <c:v>2006-07</c:v>
                </c:pt>
                <c:pt idx="3">
                  <c:v>2007-08</c:v>
                </c:pt>
                <c:pt idx="4">
                  <c:v>2008-09</c:v>
                </c:pt>
                <c:pt idx="5">
                  <c:v>2009-10</c:v>
                </c:pt>
                <c:pt idx="6">
                  <c:v>2010-11</c:v>
                </c:pt>
                <c:pt idx="7">
                  <c:v>2011-12</c:v>
                </c:pt>
                <c:pt idx="8">
                  <c:v>2012-13</c:v>
                </c:pt>
                <c:pt idx="9">
                  <c:v>2013-14</c:v>
                </c:pt>
                <c:pt idx="10">
                  <c:v>2014-15</c:v>
                </c:pt>
                <c:pt idx="11">
                  <c:v>2015-16</c:v>
                </c:pt>
                <c:pt idx="12">
                  <c:v>2016-17</c:v>
                </c:pt>
                <c:pt idx="13">
                  <c:v>2017-18</c:v>
                </c:pt>
                <c:pt idx="14">
                  <c:v>2018-19</c:v>
                </c:pt>
                <c:pt idx="15">
                  <c:v>2019-20</c:v>
                </c:pt>
                <c:pt idx="16">
                  <c:v>2020-21</c:v>
                </c:pt>
                <c:pt idx="17">
                  <c:v>2021-22</c:v>
                </c:pt>
                <c:pt idx="18">
                  <c:v>2022-23</c:v>
                </c:pt>
                <c:pt idx="19">
                  <c:v>2023-24</c:v>
                </c:pt>
                <c:pt idx="20">
                  <c:v>2024-25</c:v>
                </c:pt>
                <c:pt idx="21">
                  <c:v>2025-26</c:v>
                </c:pt>
                <c:pt idx="22">
                  <c:v>2026-27</c:v>
                </c:pt>
                <c:pt idx="23">
                  <c:v>2027-28</c:v>
                </c:pt>
                <c:pt idx="24">
                  <c:v>2028-29</c:v>
                </c:pt>
              </c:strCache>
            </c:strRef>
          </c:cat>
          <c:val>
            <c:numRef>
              <c:f>'2.4'!$E$11:$AC$11</c:f>
              <c:numCache>
                <c:formatCode>_-* #,##0.0_-;\-* #,##0.0_-;_-* "-"??_-;_-@_-</c:formatCode>
                <c:ptCount val="25"/>
                <c:pt idx="0">
                  <c:v>794.89946318000409</c:v>
                </c:pt>
                <c:pt idx="1">
                  <c:v>824.50696547996904</c:v>
                </c:pt>
                <c:pt idx="2">
                  <c:v>1334.508180034996</c:v>
                </c:pt>
                <c:pt idx="3">
                  <c:v>1646.565534959999</c:v>
                </c:pt>
                <c:pt idx="4">
                  <c:v>251.17108489000702</c:v>
                </c:pt>
                <c:pt idx="5">
                  <c:v>643.60337307998657</c:v>
                </c:pt>
                <c:pt idx="6">
                  <c:v>517.27990083997349</c:v>
                </c:pt>
                <c:pt idx="7">
                  <c:v>571.24306361999334</c:v>
                </c:pt>
                <c:pt idx="8">
                  <c:v>-316.55074540000402</c:v>
                </c:pt>
                <c:pt idx="9">
                  <c:v>1979.7625675700001</c:v>
                </c:pt>
                <c:pt idx="10">
                  <c:v>1214.02584843</c:v>
                </c:pt>
                <c:pt idx="11">
                  <c:v>2663.7135494099998</c:v>
                </c:pt>
                <c:pt idx="12">
                  <c:v>2708.71090865</c:v>
                </c:pt>
                <c:pt idx="13">
                  <c:v>2312.5944505900002</c:v>
                </c:pt>
                <c:pt idx="14">
                  <c:v>970.89654318999999</c:v>
                </c:pt>
                <c:pt idx="15">
                  <c:v>-6539.0310668499997</c:v>
                </c:pt>
                <c:pt idx="16">
                  <c:v>-14558.175998430001</c:v>
                </c:pt>
                <c:pt idx="17">
                  <c:v>-13791.07344849</c:v>
                </c:pt>
                <c:pt idx="18">
                  <c:v>-8847.2095421499998</c:v>
                </c:pt>
                <c:pt idx="19">
                  <c:v>-4223.4530564400002</c:v>
                </c:pt>
                <c:pt idx="20">
                  <c:v>-3441.4737734199998</c:v>
                </c:pt>
                <c:pt idx="21">
                  <c:v>611.35857403</c:v>
                </c:pt>
                <c:pt idx="22">
                  <c:v>1924.5290017100001</c:v>
                </c:pt>
                <c:pt idx="23">
                  <c:v>2379.06821803</c:v>
                </c:pt>
                <c:pt idx="24">
                  <c:v>1504.9444404799999</c:v>
                </c:pt>
              </c:numCache>
            </c:numRef>
          </c:val>
          <c:extLst>
            <c:ext xmlns:c16="http://schemas.microsoft.com/office/drawing/2014/chart" uri="{C3380CC4-5D6E-409C-BE32-E72D297353CC}">
              <c16:uniqueId val="{00000008-87D1-406A-B8FA-89C5634BB47E}"/>
            </c:ext>
          </c:extLst>
        </c:ser>
        <c:dLbls>
          <c:showLegendKey val="0"/>
          <c:showVal val="0"/>
          <c:showCatName val="0"/>
          <c:showSerName val="0"/>
          <c:showPercent val="0"/>
          <c:showBubbleSize val="0"/>
        </c:dLbls>
        <c:gapWidth val="35"/>
        <c:overlap val="-27"/>
        <c:axId val="2113678952"/>
        <c:axId val="2113685432"/>
      </c:barChart>
      <c:catAx>
        <c:axId val="2113678952"/>
        <c:scaling>
          <c:orientation val="minMax"/>
        </c:scaling>
        <c:delete val="0"/>
        <c:axPos val="b"/>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ptos" panose="020B0004020202020204" pitchFamily="34" charset="0"/>
                <a:ea typeface="+mn-ea"/>
                <a:cs typeface="+mn-cs"/>
              </a:defRPr>
            </a:pPr>
            <a:endParaRPr lang="en-US"/>
          </a:p>
        </c:txPr>
        <c:crossAx val="2113685432"/>
        <c:crosses val="autoZero"/>
        <c:auto val="1"/>
        <c:lblAlgn val="ctr"/>
        <c:lblOffset val="100"/>
        <c:tickLblSkip val="6"/>
        <c:tickMarkSkip val="6"/>
        <c:noMultiLvlLbl val="0"/>
      </c:catAx>
      <c:valAx>
        <c:axId val="2113685432"/>
        <c:scaling>
          <c:orientation val="minMax"/>
        </c:scaling>
        <c:delete val="0"/>
        <c:axPos val="l"/>
        <c:numFmt formatCode="#,##0;\(#,##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ptos" panose="020B0004020202020204" pitchFamily="34" charset="0"/>
                <a:ea typeface="+mn-ea"/>
                <a:cs typeface="+mn-cs"/>
              </a:defRPr>
            </a:pPr>
            <a:endParaRPr lang="en-US"/>
          </a:p>
        </c:txPr>
        <c:crossAx val="2113678952"/>
        <c:crosses val="autoZero"/>
        <c:crossBetween val="between"/>
        <c:majorUnit val="40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600">
          <a:solidFill>
            <a:sysClr val="windowText" lastClr="000000"/>
          </a:solidFill>
          <a:latin typeface="Aptos" panose="020B0004020202020204" pitchFamily="34" charset="0"/>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920" b="0" i="0" u="none" strike="noStrike" kern="1200" spc="0" baseline="0">
                <a:solidFill>
                  <a:sysClr val="windowText" lastClr="000000"/>
                </a:solidFill>
                <a:latin typeface="Aptos" panose="020B0004020202020204" pitchFamily="34" charset="0"/>
                <a:ea typeface="+mn-ea"/>
                <a:cs typeface="+mn-cs"/>
              </a:defRPr>
            </a:pPr>
            <a:r>
              <a:rPr lang="en-AU" sz="1100"/>
              <a:t>Per</a:t>
            </a:r>
            <a:r>
              <a:rPr lang="en-AU" sz="1100" baseline="0"/>
              <a:t> cent</a:t>
            </a:r>
            <a:endParaRPr lang="en-AU" sz="1100"/>
          </a:p>
        </c:rich>
      </c:tx>
      <c:layout>
        <c:manualLayout>
          <c:xMode val="edge"/>
          <c:yMode val="edge"/>
          <c:x val="2.4049694141814811E-3"/>
          <c:y val="1.8150997901285659E-2"/>
        </c:manualLayout>
      </c:layout>
      <c:overlay val="0"/>
      <c:spPr>
        <a:noFill/>
        <a:ln>
          <a:noFill/>
        </a:ln>
        <a:effectLst/>
      </c:spPr>
      <c:txPr>
        <a:bodyPr rot="0" spcFirstLastPara="1" vertOverflow="ellipsis" vert="horz" wrap="square" anchor="ctr" anchorCtr="1"/>
        <a:lstStyle/>
        <a:p>
          <a:pPr>
            <a:defRPr sz="1920" b="0" i="0" u="none" strike="noStrike" kern="1200" spc="0" baseline="0">
              <a:solidFill>
                <a:sysClr val="windowText" lastClr="000000"/>
              </a:solidFill>
              <a:latin typeface="Aptos" panose="020B0004020202020204" pitchFamily="34" charset="0"/>
              <a:ea typeface="+mn-ea"/>
              <a:cs typeface="+mn-cs"/>
            </a:defRPr>
          </a:pPr>
          <a:endParaRPr lang="en-AU"/>
        </a:p>
      </c:txPr>
    </c:title>
    <c:autoTitleDeleted val="0"/>
    <c:plotArea>
      <c:layout/>
      <c:lineChart>
        <c:grouping val="standard"/>
        <c:varyColors val="0"/>
        <c:ser>
          <c:idx val="0"/>
          <c:order val="0"/>
          <c:tx>
            <c:strRef>
              <c:f>'2.5'!$D$12</c:f>
              <c:strCache>
                <c:ptCount val="1"/>
                <c:pt idx="0">
                  <c:v>Taxation and Royalties as a per cent of GSP, Victoria</c:v>
                </c:pt>
              </c:strCache>
            </c:strRef>
          </c:tx>
          <c:spPr>
            <a:ln w="28575" cap="rnd">
              <a:solidFill>
                <a:srgbClr val="1CADE4"/>
              </a:solidFill>
              <a:round/>
            </a:ln>
            <a:effectLst/>
          </c:spPr>
          <c:marker>
            <c:symbol val="none"/>
          </c:marker>
          <c:cat>
            <c:strRef>
              <c:f>'2.5'!$E$11:$N$11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'2.5'!$E$12:$N$12</c:f>
              <c:numCache>
                <c:formatCode>_-* #,##0.0_-;\-* #,##0.0_-;_-* "-"??_-;_-@_-</c:formatCode>
                <c:ptCount val="10"/>
                <c:pt idx="0">
                  <c:v>4.8455989742433339</c:v>
                </c:pt>
                <c:pt idx="1">
                  <c:v>5.0713345843298789</c:v>
                </c:pt>
                <c:pt idx="2">
                  <c:v>5.1718619371790275</c:v>
                </c:pt>
                <c:pt idx="3">
                  <c:v>5.248970168847042</c:v>
                </c:pt>
                <c:pt idx="4">
                  <c:v>5.1684553597076466</c:v>
                </c:pt>
                <c:pt idx="5">
                  <c:v>4.9993933033461984</c:v>
                </c:pt>
                <c:pt idx="6">
                  <c:v>5.0463770488706423</c:v>
                </c:pt>
                <c:pt idx="7">
                  <c:v>5.9609124884465459</c:v>
                </c:pt>
                <c:pt idx="8">
                  <c:v>5.7585337338722784</c:v>
                </c:pt>
                <c:pt idx="9">
                  <c:v>6.2047926401098179</c:v>
                </c:pt>
              </c:numCache>
            </c:numRef>
          </c:val>
          <c:smooth val="0"/>
          <c:extLst>
            <c:ext xmlns:c16="http://schemas.microsoft.com/office/drawing/2014/chart" uri="{C3380CC4-5D6E-409C-BE32-E72D297353CC}">
              <c16:uniqueId val="{00000000-6298-4B46-BEC8-A11D08A84FC5}"/>
            </c:ext>
          </c:extLst>
        </c:ser>
        <c:ser>
          <c:idx val="1"/>
          <c:order val="1"/>
          <c:tx>
            <c:strRef>
              <c:f>'2.5'!$D$13</c:f>
              <c:strCache>
                <c:ptCount val="1"/>
                <c:pt idx="0">
                  <c:v>Taxation and Royalties as a per cent of GSP, All jursidictions (excl. Vic)</c:v>
                </c:pt>
              </c:strCache>
            </c:strRef>
          </c:tx>
          <c:spPr>
            <a:ln w="28575" cap="rnd">
              <a:solidFill>
                <a:srgbClr val="800080"/>
              </a:solidFill>
              <a:round/>
            </a:ln>
            <a:effectLst/>
          </c:spPr>
          <c:marker>
            <c:symbol val="none"/>
          </c:marker>
          <c:cat>
            <c:strRef>
              <c:f>'2.5'!$E$11:$N$11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'2.5'!$E$13:$N$13</c:f>
              <c:numCache>
                <c:formatCode>_-* #,##0.0_-;\-* #,##0.0_-;_-* "-"??_-;_-@_-</c:formatCode>
                <c:ptCount val="10"/>
                <c:pt idx="0">
                  <c:v>5.1227562544858811</c:v>
                </c:pt>
                <c:pt idx="1">
                  <c:v>5.2668655628325665</c:v>
                </c:pt>
                <c:pt idx="2">
                  <c:v>5.3274672816511375</c:v>
                </c:pt>
                <c:pt idx="3">
                  <c:v>5.2153046831759182</c:v>
                </c:pt>
                <c:pt idx="4">
                  <c:v>5.2087894912006734</c:v>
                </c:pt>
                <c:pt idx="5">
                  <c:v>5.1324619387713257</c:v>
                </c:pt>
                <c:pt idx="6">
                  <c:v>5.3490708654959205</c:v>
                </c:pt>
                <c:pt idx="7">
                  <c:v>5.8748428302666449</c:v>
                </c:pt>
                <c:pt idx="8">
                  <c:v>5.961657588593904</c:v>
                </c:pt>
                <c:pt idx="9">
                  <c:v>5.8834431292165448</c:v>
                </c:pt>
              </c:numCache>
            </c:numRef>
          </c:val>
          <c:smooth val="0"/>
          <c:extLst>
            <c:ext xmlns:c16="http://schemas.microsoft.com/office/drawing/2014/chart" uri="{C3380CC4-5D6E-409C-BE32-E72D297353CC}">
              <c16:uniqueId val="{00000001-6298-4B46-BEC8-A11D08A84FC5}"/>
            </c:ext>
          </c:extLst>
        </c:ser>
        <c:ser>
          <c:idx val="2"/>
          <c:order val="2"/>
          <c:tx>
            <c:strRef>
              <c:f>'2.5'!$D$14</c:f>
              <c:strCache>
                <c:ptCount val="1"/>
                <c:pt idx="0">
                  <c:v>Taxation as a per cent of GSP, Victoria</c:v>
                </c:pt>
              </c:strCache>
            </c:strRef>
          </c:tx>
          <c:spPr>
            <a:ln w="28575" cap="rnd">
              <a:solidFill>
                <a:srgbClr val="1CADE4"/>
              </a:solidFill>
              <a:prstDash val="dash"/>
              <a:round/>
            </a:ln>
            <a:effectLst/>
          </c:spPr>
          <c:marker>
            <c:symbol val="none"/>
          </c:marker>
          <c:cat>
            <c:strRef>
              <c:f>'2.5'!$E$11:$N$11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'2.5'!$E$14:$N$14</c:f>
              <c:numCache>
                <c:formatCode>_-* #,##0.0_-;\-* #,##0.0_-;_-* "-"??_-;_-@_-</c:formatCode>
                <c:ptCount val="10"/>
                <c:pt idx="0">
                  <c:v>4.8340618338284687</c:v>
                </c:pt>
                <c:pt idx="1">
                  <c:v>5.0589593156728982</c:v>
                </c:pt>
                <c:pt idx="2">
                  <c:v>5.1513197181416457</c:v>
                </c:pt>
                <c:pt idx="3">
                  <c:v>5.2258838440994069</c:v>
                </c:pt>
                <c:pt idx="4">
                  <c:v>5.1462091874531586</c:v>
                </c:pt>
                <c:pt idx="5">
                  <c:v>4.9757640652507575</c:v>
                </c:pt>
                <c:pt idx="6">
                  <c:v>5.0176209696885739</c:v>
                </c:pt>
                <c:pt idx="7">
                  <c:v>5.9341218705209435</c:v>
                </c:pt>
                <c:pt idx="8">
                  <c:v>5.7359903115710669</c:v>
                </c:pt>
                <c:pt idx="9">
                  <c:v>6.182353950529289</c:v>
                </c:pt>
              </c:numCache>
            </c:numRef>
          </c:val>
          <c:smooth val="0"/>
          <c:extLst>
            <c:ext xmlns:c16="http://schemas.microsoft.com/office/drawing/2014/chart" uri="{C3380CC4-5D6E-409C-BE32-E72D297353CC}">
              <c16:uniqueId val="{00000002-6298-4B46-BEC8-A11D08A84FC5}"/>
            </c:ext>
          </c:extLst>
        </c:ser>
        <c:ser>
          <c:idx val="3"/>
          <c:order val="3"/>
          <c:tx>
            <c:strRef>
              <c:f>'2.5'!$D$15</c:f>
              <c:strCache>
                <c:ptCount val="1"/>
                <c:pt idx="0">
                  <c:v>Taxation as a per cent of GSP, All jursidictions (excl. Vic)</c:v>
                </c:pt>
              </c:strCache>
            </c:strRef>
          </c:tx>
          <c:spPr>
            <a:ln w="28575" cap="rnd">
              <a:solidFill>
                <a:srgbClr val="800080"/>
              </a:solidFill>
              <a:prstDash val="dash"/>
              <a:round/>
            </a:ln>
            <a:effectLst/>
          </c:spPr>
          <c:marker>
            <c:symbol val="none"/>
          </c:marker>
          <c:cat>
            <c:strRef>
              <c:f>'2.5'!$E$11:$N$11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'2.5'!$E$15:$N$15</c:f>
              <c:numCache>
                <c:formatCode>_-* #,##0.0_-;\-* #,##0.0_-;_-* "-"??_-;_-@_-</c:formatCode>
                <c:ptCount val="10"/>
                <c:pt idx="0">
                  <c:v>4.4499946893597295</c:v>
                </c:pt>
                <c:pt idx="1">
                  <c:v>4.6429179890092032</c:v>
                </c:pt>
                <c:pt idx="2">
                  <c:v>4.4952068851175948</c:v>
                </c:pt>
                <c:pt idx="3">
                  <c:v>4.3667981931475301</c:v>
                </c:pt>
                <c:pt idx="4">
                  <c:v>4.2147976377029721</c:v>
                </c:pt>
                <c:pt idx="5">
                  <c:v>4.1155997793513617</c:v>
                </c:pt>
                <c:pt idx="6">
                  <c:v>4.3014140043407458</c:v>
                </c:pt>
                <c:pt idx="7">
                  <c:v>4.5126037264923031</c:v>
                </c:pt>
                <c:pt idx="8">
                  <c:v>4.2189482800443452</c:v>
                </c:pt>
                <c:pt idx="9">
                  <c:v>4.5053088172530034</c:v>
                </c:pt>
              </c:numCache>
            </c:numRef>
          </c:val>
          <c:smooth val="0"/>
          <c:extLst>
            <c:ext xmlns:c16="http://schemas.microsoft.com/office/drawing/2014/chart" uri="{C3380CC4-5D6E-409C-BE32-E72D297353CC}">
              <c16:uniqueId val="{00000003-6298-4B46-BEC8-A11D08A84FC5}"/>
            </c:ext>
          </c:extLst>
        </c:ser>
        <c:dLbls>
          <c:showLegendKey val="0"/>
          <c:showVal val="0"/>
          <c:showCatName val="0"/>
          <c:showSerName val="0"/>
          <c:showPercent val="0"/>
          <c:showBubbleSize val="0"/>
        </c:dLbls>
        <c:smooth val="0"/>
        <c:axId val="17848751"/>
        <c:axId val="17851991"/>
      </c:lineChart>
      <c:catAx>
        <c:axId val="17848751"/>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ptos" panose="020B0004020202020204" pitchFamily="34" charset="0"/>
                <a:ea typeface="+mn-ea"/>
                <a:cs typeface="+mn-cs"/>
              </a:defRPr>
            </a:pPr>
            <a:endParaRPr lang="en-US"/>
          </a:p>
        </c:txPr>
        <c:crossAx val="17851991"/>
        <c:crosses val="autoZero"/>
        <c:auto val="1"/>
        <c:lblAlgn val="ctr"/>
        <c:lblOffset val="100"/>
        <c:tickLblSkip val="3"/>
        <c:tickMarkSkip val="3"/>
        <c:noMultiLvlLbl val="0"/>
      </c:catAx>
      <c:valAx>
        <c:axId val="17851991"/>
        <c:scaling>
          <c:orientation val="minMax"/>
          <c:max val="6.5"/>
          <c:min val="4"/>
        </c:scaling>
        <c:delete val="0"/>
        <c:axPos val="l"/>
        <c:numFmt formatCode="#,##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ptos" panose="020B0004020202020204" pitchFamily="34" charset="0"/>
                <a:ea typeface="+mn-ea"/>
                <a:cs typeface="+mn-cs"/>
              </a:defRPr>
            </a:pPr>
            <a:endParaRPr lang="en-US"/>
          </a:p>
        </c:txPr>
        <c:crossAx val="17848751"/>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600">
          <a:solidFill>
            <a:sysClr val="windowText" lastClr="000000"/>
          </a:solidFill>
          <a:latin typeface="Aptos" panose="020B00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920" b="0" i="0" u="none" strike="noStrike" kern="1200" spc="0" baseline="0">
                <a:solidFill>
                  <a:sysClr val="windowText" lastClr="000000"/>
                </a:solidFill>
                <a:latin typeface="Aptos" panose="020B0004020202020204" pitchFamily="34" charset="0"/>
                <a:ea typeface="+mn-ea"/>
                <a:cs typeface="+mn-cs"/>
              </a:defRPr>
            </a:pPr>
            <a:r>
              <a:rPr kumimoji="0" lang="en-AU" sz="1100" b="0" i="0" u="none" strike="noStrike" kern="0" cap="none" spc="0" normalizeH="0" baseline="0" noProof="0">
                <a:ln>
                  <a:noFill/>
                </a:ln>
                <a:solidFill>
                  <a:sysClr val="windowText" lastClr="000000"/>
                </a:solidFill>
                <a:effectLst/>
                <a:uLnTx/>
                <a:uFillTx/>
                <a:latin typeface="Aptos" panose="020B0004020202020204" pitchFamily="34" charset="0"/>
              </a:rPr>
              <a:t>Index, 2013-14 = 100</a:t>
            </a:r>
          </a:p>
        </c:rich>
      </c:tx>
      <c:layout>
        <c:manualLayout>
          <c:xMode val="edge"/>
          <c:yMode val="edge"/>
          <c:x val="0"/>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920" b="0" i="0" u="none" strike="noStrike" kern="1200" spc="0" baseline="0">
              <a:solidFill>
                <a:sysClr val="windowText" lastClr="000000"/>
              </a:solidFill>
              <a:latin typeface="Aptos" panose="020B0004020202020204" pitchFamily="34" charset="0"/>
              <a:ea typeface="+mn-ea"/>
              <a:cs typeface="+mn-cs"/>
            </a:defRPr>
          </a:pPr>
          <a:endParaRPr lang="en-US"/>
        </a:p>
      </c:txPr>
    </c:title>
    <c:autoTitleDeleted val="0"/>
    <c:plotArea>
      <c:layout/>
      <c:lineChart>
        <c:grouping val="standard"/>
        <c:varyColors val="0"/>
        <c:ser>
          <c:idx val="0"/>
          <c:order val="0"/>
          <c:tx>
            <c:strRef>
              <c:f>'2.6'!$D$12</c:f>
              <c:strCache>
                <c:ptCount val="1"/>
                <c:pt idx="0">
                  <c:v>Victoria</c:v>
                </c:pt>
              </c:strCache>
            </c:strRef>
          </c:tx>
          <c:spPr>
            <a:ln w="28575" cap="rnd">
              <a:solidFill>
                <a:srgbClr val="1CADE4"/>
              </a:solidFill>
              <a:round/>
            </a:ln>
            <a:effectLst/>
          </c:spPr>
          <c:marker>
            <c:symbol val="none"/>
          </c:marker>
          <c:cat>
            <c:strRef>
              <c:f>'2.6'!$E$11:$O$11</c:f>
              <c:strCache>
                <c:ptCount val="11"/>
                <c:pt idx="0">
                  <c:v>2013-14</c:v>
                </c:pt>
                <c:pt idx="1">
                  <c:v>2014-15</c:v>
                </c:pt>
                <c:pt idx="2">
                  <c:v>2015-16</c:v>
                </c:pt>
                <c:pt idx="3">
                  <c:v>2016-17</c:v>
                </c:pt>
                <c:pt idx="4">
                  <c:v>2017-18</c:v>
                </c:pt>
                <c:pt idx="5">
                  <c:v>2018-19</c:v>
                </c:pt>
                <c:pt idx="6">
                  <c:v>2019-20</c:v>
                </c:pt>
                <c:pt idx="7">
                  <c:v>2020-21</c:v>
                </c:pt>
                <c:pt idx="8">
                  <c:v>2021-22</c:v>
                </c:pt>
                <c:pt idx="9">
                  <c:v>2022-23</c:v>
                </c:pt>
                <c:pt idx="10">
                  <c:v>2023-24</c:v>
                </c:pt>
              </c:strCache>
            </c:strRef>
          </c:cat>
          <c:val>
            <c:numRef>
              <c:f>'2.6'!$E$12:$O$12</c:f>
              <c:numCache>
                <c:formatCode>General</c:formatCode>
                <c:ptCount val="11"/>
                <c:pt idx="0">
                  <c:v>100</c:v>
                </c:pt>
                <c:pt idx="1">
                  <c:v>107.23507751056962</c:v>
                </c:pt>
                <c:pt idx="2">
                  <c:v>107.81015593035414</c:v>
                </c:pt>
                <c:pt idx="3">
                  <c:v>110.85147974723826</c:v>
                </c:pt>
                <c:pt idx="4">
                  <c:v>122.91448833931899</c:v>
                </c:pt>
                <c:pt idx="5">
                  <c:v>132.36350411419738</c:v>
                </c:pt>
                <c:pt idx="6">
                  <c:v>129.77451470655092</c:v>
                </c:pt>
                <c:pt idx="7">
                  <c:v>124.69427649224893</c:v>
                </c:pt>
                <c:pt idx="8">
                  <c:v>138.48024730645088</c:v>
                </c:pt>
                <c:pt idx="9">
                  <c:v>153.26408146565441</c:v>
                </c:pt>
                <c:pt idx="10">
                  <c:v>163.34272855389372</c:v>
                </c:pt>
              </c:numCache>
            </c:numRef>
          </c:val>
          <c:smooth val="0"/>
          <c:extLst>
            <c:ext xmlns:c16="http://schemas.microsoft.com/office/drawing/2014/chart" uri="{C3380CC4-5D6E-409C-BE32-E72D297353CC}">
              <c16:uniqueId val="{00000000-FC58-428E-91AD-18BD438486AC}"/>
            </c:ext>
          </c:extLst>
        </c:ser>
        <c:ser>
          <c:idx val="1"/>
          <c:order val="1"/>
          <c:tx>
            <c:strRef>
              <c:f>'2.6'!$D$13</c:f>
              <c:strCache>
                <c:ptCount val="1"/>
                <c:pt idx="0">
                  <c:v>Rest of Australia</c:v>
                </c:pt>
              </c:strCache>
            </c:strRef>
          </c:tx>
          <c:spPr>
            <a:ln w="28575" cap="rnd">
              <a:solidFill>
                <a:srgbClr val="800080"/>
              </a:solidFill>
              <a:round/>
            </a:ln>
            <a:effectLst/>
          </c:spPr>
          <c:marker>
            <c:symbol val="none"/>
          </c:marker>
          <c:cat>
            <c:strRef>
              <c:f>'2.6'!$E$11:$O$11</c:f>
              <c:strCache>
                <c:ptCount val="11"/>
                <c:pt idx="0">
                  <c:v>2013-14</c:v>
                </c:pt>
                <c:pt idx="1">
                  <c:v>2014-15</c:v>
                </c:pt>
                <c:pt idx="2">
                  <c:v>2015-16</c:v>
                </c:pt>
                <c:pt idx="3">
                  <c:v>2016-17</c:v>
                </c:pt>
                <c:pt idx="4">
                  <c:v>2017-18</c:v>
                </c:pt>
                <c:pt idx="5">
                  <c:v>2018-19</c:v>
                </c:pt>
                <c:pt idx="6">
                  <c:v>2019-20</c:v>
                </c:pt>
                <c:pt idx="7">
                  <c:v>2020-21</c:v>
                </c:pt>
                <c:pt idx="8">
                  <c:v>2021-22</c:v>
                </c:pt>
                <c:pt idx="9">
                  <c:v>2022-23</c:v>
                </c:pt>
                <c:pt idx="10">
                  <c:v>2023-24</c:v>
                </c:pt>
              </c:strCache>
            </c:strRef>
          </c:cat>
          <c:val>
            <c:numRef>
              <c:f>'2.6'!$E$13:$O$13</c:f>
              <c:numCache>
                <c:formatCode>General</c:formatCode>
                <c:ptCount val="11"/>
                <c:pt idx="0">
                  <c:v>100</c:v>
                </c:pt>
                <c:pt idx="1">
                  <c:v>90.04585505515621</c:v>
                </c:pt>
                <c:pt idx="2">
                  <c:v>77.118404029733057</c:v>
                </c:pt>
                <c:pt idx="3">
                  <c:v>70.393251115755305</c:v>
                </c:pt>
                <c:pt idx="4">
                  <c:v>76.589425012822574</c:v>
                </c:pt>
                <c:pt idx="5">
                  <c:v>73.27431121726417</c:v>
                </c:pt>
                <c:pt idx="6">
                  <c:v>72.902265193793099</c:v>
                </c:pt>
                <c:pt idx="7">
                  <c:v>74.946987269289366</c:v>
                </c:pt>
                <c:pt idx="8">
                  <c:v>80.792549893209014</c:v>
                </c:pt>
                <c:pt idx="9">
                  <c:v>86.244631743334182</c:v>
                </c:pt>
                <c:pt idx="10">
                  <c:v>91.57537759609275</c:v>
                </c:pt>
              </c:numCache>
            </c:numRef>
          </c:val>
          <c:smooth val="0"/>
          <c:extLst>
            <c:ext xmlns:c16="http://schemas.microsoft.com/office/drawing/2014/chart" uri="{C3380CC4-5D6E-409C-BE32-E72D297353CC}">
              <c16:uniqueId val="{00000001-FC58-428E-91AD-18BD438486AC}"/>
            </c:ext>
          </c:extLst>
        </c:ser>
        <c:dLbls>
          <c:showLegendKey val="0"/>
          <c:showVal val="0"/>
          <c:showCatName val="0"/>
          <c:showSerName val="0"/>
          <c:showPercent val="0"/>
          <c:showBubbleSize val="0"/>
        </c:dLbls>
        <c:smooth val="0"/>
        <c:axId val="1083484888"/>
        <c:axId val="429918528"/>
      </c:lineChart>
      <c:catAx>
        <c:axId val="108348488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ptos" panose="020B0004020202020204" pitchFamily="34" charset="0"/>
                <a:ea typeface="+mn-ea"/>
                <a:cs typeface="+mn-cs"/>
              </a:defRPr>
            </a:pPr>
            <a:endParaRPr lang="en-US"/>
          </a:p>
        </c:txPr>
        <c:crossAx val="429918528"/>
        <c:crosses val="autoZero"/>
        <c:auto val="1"/>
        <c:lblAlgn val="ctr"/>
        <c:lblOffset val="100"/>
        <c:tickLblSkip val="2"/>
        <c:tickMarkSkip val="2"/>
        <c:noMultiLvlLbl val="0"/>
      </c:catAx>
      <c:valAx>
        <c:axId val="429918528"/>
        <c:scaling>
          <c:orientation val="minMax"/>
        </c:scaling>
        <c:delete val="0"/>
        <c:axPos val="l"/>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ptos" panose="020B0004020202020204" pitchFamily="34" charset="0"/>
                <a:ea typeface="+mn-ea"/>
                <a:cs typeface="+mn-cs"/>
              </a:defRPr>
            </a:pPr>
            <a:endParaRPr lang="en-US"/>
          </a:p>
        </c:txPr>
        <c:crossAx val="1083484888"/>
        <c:crosses val="autoZero"/>
        <c:crossBetween val="midCat"/>
        <c:majorUnit val="3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600">
          <a:solidFill>
            <a:sysClr val="windowText" lastClr="000000"/>
          </a:solidFill>
          <a:latin typeface="Aptos" panose="020B00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'2.7'!$D$12</c:f>
              <c:strCache>
                <c:ptCount val="1"/>
                <c:pt idx="0">
                  <c:v>Victorian public sector FTE</c:v>
                </c:pt>
              </c:strCache>
            </c:strRef>
          </c:tx>
          <c:spPr>
            <a:ln w="28575" cap="rnd">
              <a:solidFill>
                <a:srgbClr val="264C72"/>
              </a:solidFill>
              <a:round/>
            </a:ln>
            <a:effectLst/>
          </c:spPr>
          <c:marker>
            <c:symbol val="none"/>
          </c:marker>
          <c:cat>
            <c:numRef>
              <c:f>'2.7'!$E$11:$O$11</c:f>
              <c:numCache>
                <c:formatCode>mmm\ yyyy</c:formatCode>
                <c:ptCount val="11"/>
                <c:pt idx="0">
                  <c:v>41820</c:v>
                </c:pt>
                <c:pt idx="1">
                  <c:v>42185</c:v>
                </c:pt>
                <c:pt idx="2">
                  <c:v>42550</c:v>
                </c:pt>
                <c:pt idx="3">
                  <c:v>42915</c:v>
                </c:pt>
                <c:pt idx="4">
                  <c:v>43280</c:v>
                </c:pt>
                <c:pt idx="5">
                  <c:v>43617</c:v>
                </c:pt>
                <c:pt idx="6">
                  <c:v>43983</c:v>
                </c:pt>
                <c:pt idx="7">
                  <c:v>44348</c:v>
                </c:pt>
                <c:pt idx="8">
                  <c:v>44713</c:v>
                </c:pt>
                <c:pt idx="9">
                  <c:v>45078</c:v>
                </c:pt>
                <c:pt idx="10">
                  <c:v>45444</c:v>
                </c:pt>
              </c:numCache>
            </c:numRef>
          </c:cat>
          <c:val>
            <c:numRef>
              <c:f>'2.7'!$E$12:$O$12</c:f>
              <c:numCache>
                <c:formatCode>#,##0</c:formatCode>
                <c:ptCount val="11"/>
                <c:pt idx="0">
                  <c:v>216685</c:v>
                </c:pt>
                <c:pt idx="1">
                  <c:v>222966</c:v>
                </c:pt>
                <c:pt idx="2">
                  <c:v>229507</c:v>
                </c:pt>
                <c:pt idx="3">
                  <c:v>238972</c:v>
                </c:pt>
                <c:pt idx="4">
                  <c:v>251311</c:v>
                </c:pt>
                <c:pt idx="5">
                  <c:v>260492</c:v>
                </c:pt>
                <c:pt idx="6">
                  <c:v>266045</c:v>
                </c:pt>
                <c:pt idx="7">
                  <c:v>284937</c:v>
                </c:pt>
                <c:pt idx="8">
                  <c:v>291166</c:v>
                </c:pt>
                <c:pt idx="9">
                  <c:v>302179</c:v>
                </c:pt>
                <c:pt idx="10">
                  <c:v>314629</c:v>
                </c:pt>
              </c:numCache>
            </c:numRef>
          </c:val>
          <c:smooth val="0"/>
          <c:extLst>
            <c:ext xmlns:c16="http://schemas.microsoft.com/office/drawing/2014/chart" uri="{C3380CC4-5D6E-409C-BE32-E72D297353CC}">
              <c16:uniqueId val="{00000000-B3FD-4EFB-BF71-237CEEF9A90D}"/>
            </c:ext>
          </c:extLst>
        </c:ser>
        <c:ser>
          <c:idx val="1"/>
          <c:order val="1"/>
          <c:tx>
            <c:strRef>
              <c:f>'2.7'!$D$13</c:f>
              <c:strCache>
                <c:ptCount val="1"/>
                <c:pt idx="0">
                  <c:v>VPS (department and agency)</c:v>
                </c:pt>
              </c:strCache>
            </c:strRef>
          </c:tx>
          <c:spPr>
            <a:ln w="28575" cap="rnd">
              <a:solidFill>
                <a:srgbClr val="00B0F0"/>
              </a:solidFill>
              <a:round/>
            </a:ln>
            <a:effectLst/>
          </c:spPr>
          <c:marker>
            <c:symbol val="none"/>
          </c:marker>
          <c:cat>
            <c:numRef>
              <c:f>'2.7'!$E$11:$O$11</c:f>
              <c:numCache>
                <c:formatCode>mmm\ yyyy</c:formatCode>
                <c:ptCount val="11"/>
                <c:pt idx="0">
                  <c:v>41820</c:v>
                </c:pt>
                <c:pt idx="1">
                  <c:v>42185</c:v>
                </c:pt>
                <c:pt idx="2">
                  <c:v>42550</c:v>
                </c:pt>
                <c:pt idx="3">
                  <c:v>42915</c:v>
                </c:pt>
                <c:pt idx="4">
                  <c:v>43280</c:v>
                </c:pt>
                <c:pt idx="5">
                  <c:v>43617</c:v>
                </c:pt>
                <c:pt idx="6">
                  <c:v>43983</c:v>
                </c:pt>
                <c:pt idx="7">
                  <c:v>44348</c:v>
                </c:pt>
                <c:pt idx="8">
                  <c:v>44713</c:v>
                </c:pt>
                <c:pt idx="9">
                  <c:v>45078</c:v>
                </c:pt>
                <c:pt idx="10">
                  <c:v>45444</c:v>
                </c:pt>
              </c:numCache>
            </c:numRef>
          </c:cat>
          <c:val>
            <c:numRef>
              <c:f>'2.7'!$E$13:$O$13</c:f>
              <c:numCache>
                <c:formatCode>#,##0</c:formatCode>
                <c:ptCount val="11"/>
                <c:pt idx="0">
                  <c:v>33439</c:v>
                </c:pt>
                <c:pt idx="1">
                  <c:v>34851</c:v>
                </c:pt>
                <c:pt idx="2">
                  <c:v>36613</c:v>
                </c:pt>
                <c:pt idx="3">
                  <c:v>40161</c:v>
                </c:pt>
                <c:pt idx="4">
                  <c:v>43892</c:v>
                </c:pt>
                <c:pt idx="5">
                  <c:v>47192</c:v>
                </c:pt>
                <c:pt idx="6">
                  <c:v>47417</c:v>
                </c:pt>
                <c:pt idx="7">
                  <c:v>55753</c:v>
                </c:pt>
                <c:pt idx="8">
                  <c:v>53653</c:v>
                </c:pt>
                <c:pt idx="9">
                  <c:v>54783</c:v>
                </c:pt>
                <c:pt idx="10">
                  <c:v>54891</c:v>
                </c:pt>
              </c:numCache>
            </c:numRef>
          </c:val>
          <c:smooth val="0"/>
          <c:extLst>
            <c:ext xmlns:c16="http://schemas.microsoft.com/office/drawing/2014/chart" uri="{C3380CC4-5D6E-409C-BE32-E72D297353CC}">
              <c16:uniqueId val="{00000001-B3FD-4EFB-BF71-237CEEF9A90D}"/>
            </c:ext>
          </c:extLst>
        </c:ser>
        <c:dLbls>
          <c:showLegendKey val="0"/>
          <c:showVal val="0"/>
          <c:showCatName val="0"/>
          <c:showSerName val="0"/>
          <c:showPercent val="0"/>
          <c:showBubbleSize val="0"/>
        </c:dLbls>
        <c:marker val="1"/>
        <c:smooth val="0"/>
        <c:axId val="110438959"/>
        <c:axId val="110431039"/>
      </c:lineChart>
      <c:lineChart>
        <c:grouping val="standard"/>
        <c:varyColors val="0"/>
        <c:ser>
          <c:idx val="2"/>
          <c:order val="2"/>
          <c:tx>
            <c:strRef>
              <c:f>'2.7'!$D$14</c:f>
              <c:strCache>
                <c:ptCount val="1"/>
                <c:pt idx="0">
                  <c:v>VPS proportion of Vic. public sector</c:v>
                </c:pt>
              </c:strCache>
            </c:strRef>
          </c:tx>
          <c:spPr>
            <a:ln w="28575" cap="rnd">
              <a:solidFill>
                <a:srgbClr val="27CED7"/>
              </a:solidFill>
              <a:round/>
            </a:ln>
            <a:effectLst/>
          </c:spPr>
          <c:marker>
            <c:symbol val="none"/>
          </c:marker>
          <c:cat>
            <c:numRef>
              <c:f>'2.7'!$E$11:$O$11</c:f>
              <c:numCache>
                <c:formatCode>mmm\ yyyy</c:formatCode>
                <c:ptCount val="11"/>
                <c:pt idx="0">
                  <c:v>41820</c:v>
                </c:pt>
                <c:pt idx="1">
                  <c:v>42185</c:v>
                </c:pt>
                <c:pt idx="2">
                  <c:v>42550</c:v>
                </c:pt>
                <c:pt idx="3">
                  <c:v>42915</c:v>
                </c:pt>
                <c:pt idx="4">
                  <c:v>43280</c:v>
                </c:pt>
                <c:pt idx="5">
                  <c:v>43617</c:v>
                </c:pt>
                <c:pt idx="6">
                  <c:v>43983</c:v>
                </c:pt>
                <c:pt idx="7">
                  <c:v>44348</c:v>
                </c:pt>
                <c:pt idx="8">
                  <c:v>44713</c:v>
                </c:pt>
                <c:pt idx="9">
                  <c:v>45078</c:v>
                </c:pt>
                <c:pt idx="10">
                  <c:v>45444</c:v>
                </c:pt>
              </c:numCache>
            </c:numRef>
          </c:cat>
          <c:val>
            <c:numRef>
              <c:f>'2.7'!$E$14:$O$14</c:f>
              <c:numCache>
                <c:formatCode>0.00</c:formatCode>
                <c:ptCount val="11"/>
                <c:pt idx="0">
                  <c:v>15.4</c:v>
                </c:pt>
                <c:pt idx="1">
                  <c:v>15.6</c:v>
                </c:pt>
                <c:pt idx="2">
                  <c:v>15.9</c:v>
                </c:pt>
                <c:pt idx="3">
                  <c:v>16.8</c:v>
                </c:pt>
                <c:pt idx="4">
                  <c:v>17.5</c:v>
                </c:pt>
                <c:pt idx="5">
                  <c:v>18.099999999999998</c:v>
                </c:pt>
                <c:pt idx="6">
                  <c:v>17.8</c:v>
                </c:pt>
                <c:pt idx="7">
                  <c:v>19.600000000000001</c:v>
                </c:pt>
                <c:pt idx="8">
                  <c:v>18.399999999999999</c:v>
                </c:pt>
                <c:pt idx="9">
                  <c:v>18.099999999999998</c:v>
                </c:pt>
                <c:pt idx="10">
                  <c:v>17.399999999999999</c:v>
                </c:pt>
              </c:numCache>
            </c:numRef>
          </c:val>
          <c:smooth val="0"/>
          <c:extLst>
            <c:ext xmlns:c16="http://schemas.microsoft.com/office/drawing/2014/chart" uri="{C3380CC4-5D6E-409C-BE32-E72D297353CC}">
              <c16:uniqueId val="{00000002-B3FD-4EFB-BF71-237CEEF9A90D}"/>
            </c:ext>
          </c:extLst>
        </c:ser>
        <c:dLbls>
          <c:showLegendKey val="0"/>
          <c:showVal val="0"/>
          <c:showCatName val="0"/>
          <c:showSerName val="0"/>
          <c:showPercent val="0"/>
          <c:showBubbleSize val="0"/>
        </c:dLbls>
        <c:marker val="1"/>
        <c:smooth val="0"/>
        <c:axId val="2088334680"/>
        <c:axId val="2088334320"/>
      </c:lineChart>
      <c:dateAx>
        <c:axId val="110438959"/>
        <c:scaling>
          <c:orientation val="minMax"/>
        </c:scaling>
        <c:delete val="0"/>
        <c:axPos val="b"/>
        <c:numFmt formatCode="mmm\ yyyy"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ptos" panose="020B0004020202020204" pitchFamily="34" charset="0"/>
                <a:ea typeface="+mn-ea"/>
                <a:cs typeface="+mn-cs"/>
              </a:defRPr>
            </a:pPr>
            <a:endParaRPr lang="en-US"/>
          </a:p>
        </c:txPr>
        <c:crossAx val="110431039"/>
        <c:crosses val="autoZero"/>
        <c:auto val="1"/>
        <c:lblOffset val="100"/>
        <c:baseTimeUnit val="months"/>
        <c:majorUnit val="24"/>
        <c:majorTimeUnit val="months"/>
      </c:dateAx>
      <c:valAx>
        <c:axId val="110431039"/>
        <c:scaling>
          <c:orientation val="minMax"/>
          <c:max val="375000"/>
        </c:scaling>
        <c:delete val="0"/>
        <c:axPos val="l"/>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ptos" panose="020B0004020202020204" pitchFamily="34" charset="0"/>
                <a:ea typeface="+mn-ea"/>
                <a:cs typeface="+mn-cs"/>
              </a:defRPr>
            </a:pPr>
            <a:endParaRPr lang="en-US"/>
          </a:p>
        </c:txPr>
        <c:crossAx val="110438959"/>
        <c:crosses val="autoZero"/>
        <c:crossBetween val="between"/>
        <c:majorUnit val="75000"/>
      </c:valAx>
      <c:valAx>
        <c:axId val="2088334320"/>
        <c:scaling>
          <c:orientation val="minMax"/>
        </c:scaling>
        <c:delete val="0"/>
        <c:axPos val="r"/>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ptos" panose="020B0004020202020204" pitchFamily="34" charset="0"/>
                <a:ea typeface="+mn-ea"/>
                <a:cs typeface="+mn-cs"/>
              </a:defRPr>
            </a:pPr>
            <a:endParaRPr lang="en-US"/>
          </a:p>
        </c:txPr>
        <c:crossAx val="2088334680"/>
        <c:crosses val="max"/>
        <c:crossBetween val="between"/>
      </c:valAx>
      <c:dateAx>
        <c:axId val="2088334680"/>
        <c:scaling>
          <c:orientation val="minMax"/>
        </c:scaling>
        <c:delete val="1"/>
        <c:axPos val="b"/>
        <c:numFmt formatCode="mmm\ yyyy" sourceLinked="1"/>
        <c:majorTickMark val="out"/>
        <c:minorTickMark val="none"/>
        <c:tickLblPos val="nextTo"/>
        <c:crossAx val="2088334320"/>
        <c:crosses val="autoZero"/>
        <c:auto val="1"/>
        <c:lblOffset val="100"/>
        <c:baseTimeUnit val="months"/>
      </c:date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600">
          <a:solidFill>
            <a:sysClr val="windowText" lastClr="000000"/>
          </a:solidFill>
          <a:latin typeface="Aptos" panose="020B0004020202020204" pitchFamily="34" charset="0"/>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'6.1'!$B$11:$B$210</cx:f>
        <cx:lvl ptCount="200">
          <cx:pt idx="0">1</cx:pt>
          <cx:pt idx="1">2</cx:pt>
          <cx:pt idx="2">3</cx:pt>
          <cx:pt idx="3">4</cx:pt>
          <cx:pt idx="4">5</cx:pt>
          <cx:pt idx="5">6</cx:pt>
          <cx:pt idx="6">7</cx:pt>
          <cx:pt idx="7">8</cx:pt>
          <cx:pt idx="8">9</cx:pt>
          <cx:pt idx="9">10</cx:pt>
          <cx:pt idx="10">11</cx:pt>
          <cx:pt idx="11">12</cx:pt>
          <cx:pt idx="12">13</cx:pt>
          <cx:pt idx="13">14</cx:pt>
          <cx:pt idx="14">15</cx:pt>
          <cx:pt idx="15">16</cx:pt>
          <cx:pt idx="16">17</cx:pt>
          <cx:pt idx="17">18</cx:pt>
          <cx:pt idx="18">19</cx:pt>
          <cx:pt idx="19">20</cx:pt>
          <cx:pt idx="20">21</cx:pt>
          <cx:pt idx="21">22</cx:pt>
          <cx:pt idx="22">23</cx:pt>
          <cx:pt idx="23">24</cx:pt>
          <cx:pt idx="24">25</cx:pt>
          <cx:pt idx="25">26</cx:pt>
          <cx:pt idx="26">27</cx:pt>
          <cx:pt idx="27">28</cx:pt>
          <cx:pt idx="28">29</cx:pt>
          <cx:pt idx="29">30</cx:pt>
          <cx:pt idx="30">31</cx:pt>
          <cx:pt idx="31">32</cx:pt>
          <cx:pt idx="32">33</cx:pt>
          <cx:pt idx="33">34</cx:pt>
          <cx:pt idx="34">35</cx:pt>
          <cx:pt idx="35">36</cx:pt>
          <cx:pt idx="36">37</cx:pt>
          <cx:pt idx="37">38</cx:pt>
          <cx:pt idx="38">39</cx:pt>
          <cx:pt idx="39">40</cx:pt>
          <cx:pt idx="40">41</cx:pt>
          <cx:pt idx="41">42</cx:pt>
          <cx:pt idx="42">43</cx:pt>
          <cx:pt idx="43">44</cx:pt>
          <cx:pt idx="44">45</cx:pt>
          <cx:pt idx="45">46</cx:pt>
          <cx:pt idx="46">47</cx:pt>
          <cx:pt idx="47">48</cx:pt>
          <cx:pt idx="48">49</cx:pt>
          <cx:pt idx="49">50</cx:pt>
          <cx:pt idx="50">51</cx:pt>
          <cx:pt idx="51">52</cx:pt>
          <cx:pt idx="52">53</cx:pt>
          <cx:pt idx="53">54</cx:pt>
          <cx:pt idx="54">55</cx:pt>
          <cx:pt idx="55">56</cx:pt>
          <cx:pt idx="56">57</cx:pt>
          <cx:pt idx="57">58</cx:pt>
          <cx:pt idx="58">59</cx:pt>
          <cx:pt idx="59">60</cx:pt>
          <cx:pt idx="60">61</cx:pt>
          <cx:pt idx="61">62</cx:pt>
          <cx:pt idx="62">63</cx:pt>
          <cx:pt idx="63">64</cx:pt>
          <cx:pt idx="64">65</cx:pt>
          <cx:pt idx="65">66</cx:pt>
          <cx:pt idx="66">67</cx:pt>
          <cx:pt idx="67">68</cx:pt>
          <cx:pt idx="68">69</cx:pt>
          <cx:pt idx="69">70</cx:pt>
          <cx:pt idx="70">71</cx:pt>
          <cx:pt idx="71">72</cx:pt>
          <cx:pt idx="72">73</cx:pt>
          <cx:pt idx="73">74</cx:pt>
          <cx:pt idx="74">75</cx:pt>
          <cx:pt idx="75">76</cx:pt>
          <cx:pt idx="76">77</cx:pt>
          <cx:pt idx="77">78</cx:pt>
          <cx:pt idx="78">79</cx:pt>
          <cx:pt idx="79">80</cx:pt>
          <cx:pt idx="80">81</cx:pt>
          <cx:pt idx="81">82</cx:pt>
          <cx:pt idx="82">83</cx:pt>
          <cx:pt idx="83">84</cx:pt>
          <cx:pt idx="84">85</cx:pt>
          <cx:pt idx="85">86</cx:pt>
          <cx:pt idx="86">87</cx:pt>
          <cx:pt idx="87">88</cx:pt>
          <cx:pt idx="88">89</cx:pt>
          <cx:pt idx="89">90</cx:pt>
          <cx:pt idx="90">91</cx:pt>
          <cx:pt idx="91">92</cx:pt>
          <cx:pt idx="92">93</cx:pt>
          <cx:pt idx="93">94</cx:pt>
          <cx:pt idx="94">95</cx:pt>
          <cx:pt idx="95">96</cx:pt>
          <cx:pt idx="96">97</cx:pt>
          <cx:pt idx="97">98</cx:pt>
          <cx:pt idx="98">99</cx:pt>
          <cx:pt idx="99">100</cx:pt>
          <cx:pt idx="100">101</cx:pt>
          <cx:pt idx="101">102</cx:pt>
          <cx:pt idx="102">103</cx:pt>
          <cx:pt idx="103">104</cx:pt>
          <cx:pt idx="104">105</cx:pt>
          <cx:pt idx="105">106</cx:pt>
          <cx:pt idx="106">107</cx:pt>
          <cx:pt idx="107">108</cx:pt>
          <cx:pt idx="108">109</cx:pt>
          <cx:pt idx="109">110</cx:pt>
          <cx:pt idx="110">111</cx:pt>
          <cx:pt idx="111">112</cx:pt>
          <cx:pt idx="112">113</cx:pt>
          <cx:pt idx="113">114</cx:pt>
          <cx:pt idx="114">115</cx:pt>
          <cx:pt idx="115">116</cx:pt>
          <cx:pt idx="116">117</cx:pt>
          <cx:pt idx="117">118</cx:pt>
          <cx:pt idx="118">119</cx:pt>
          <cx:pt idx="119">120</cx:pt>
          <cx:pt idx="120">121</cx:pt>
          <cx:pt idx="121">122</cx:pt>
          <cx:pt idx="122">123</cx:pt>
          <cx:pt idx="123">124</cx:pt>
          <cx:pt idx="124">125</cx:pt>
          <cx:pt idx="125">126</cx:pt>
          <cx:pt idx="126">127</cx:pt>
          <cx:pt idx="127">128</cx:pt>
          <cx:pt idx="128">129</cx:pt>
          <cx:pt idx="129">130</cx:pt>
          <cx:pt idx="130">131</cx:pt>
          <cx:pt idx="131">132</cx:pt>
          <cx:pt idx="132">133</cx:pt>
          <cx:pt idx="133">134</cx:pt>
          <cx:pt idx="134">135</cx:pt>
          <cx:pt idx="135">136</cx:pt>
          <cx:pt idx="136">137</cx:pt>
          <cx:pt idx="137">138</cx:pt>
          <cx:pt idx="138">139</cx:pt>
          <cx:pt idx="139">140</cx:pt>
          <cx:pt idx="140">141</cx:pt>
          <cx:pt idx="141">142</cx:pt>
          <cx:pt idx="142">143</cx:pt>
          <cx:pt idx="143">144</cx:pt>
          <cx:pt idx="144">145</cx:pt>
          <cx:pt idx="145">146</cx:pt>
          <cx:pt idx="146">147</cx:pt>
          <cx:pt idx="147">148</cx:pt>
          <cx:pt idx="148">149</cx:pt>
          <cx:pt idx="149">150</cx:pt>
          <cx:pt idx="150">151</cx:pt>
          <cx:pt idx="151">152</cx:pt>
          <cx:pt idx="152">153</cx:pt>
          <cx:pt idx="153">154</cx:pt>
          <cx:pt idx="154">155</cx:pt>
          <cx:pt idx="155">156</cx:pt>
          <cx:pt idx="156">157</cx:pt>
          <cx:pt idx="157">158</cx:pt>
          <cx:pt idx="158">159</cx:pt>
          <cx:pt idx="159">160</cx:pt>
          <cx:pt idx="160">161</cx:pt>
          <cx:pt idx="161">162</cx:pt>
          <cx:pt idx="162">163</cx:pt>
          <cx:pt idx="163">164</cx:pt>
          <cx:pt idx="164">165</cx:pt>
          <cx:pt idx="165">166</cx:pt>
          <cx:pt idx="166">167</cx:pt>
          <cx:pt idx="167">168</cx:pt>
          <cx:pt idx="168">169</cx:pt>
          <cx:pt idx="169">170</cx:pt>
          <cx:pt idx="170">171</cx:pt>
          <cx:pt idx="171">172</cx:pt>
          <cx:pt idx="172">173</cx:pt>
          <cx:pt idx="173">174</cx:pt>
          <cx:pt idx="174">175</cx:pt>
          <cx:pt idx="175">176</cx:pt>
          <cx:pt idx="176">177</cx:pt>
          <cx:pt idx="177">178</cx:pt>
          <cx:pt idx="178">179</cx:pt>
          <cx:pt idx="179">180</cx:pt>
          <cx:pt idx="180">181</cx:pt>
          <cx:pt idx="181">182</cx:pt>
          <cx:pt idx="182">183</cx:pt>
          <cx:pt idx="183">184</cx:pt>
          <cx:pt idx="184">185</cx:pt>
          <cx:pt idx="185">186</cx:pt>
          <cx:pt idx="186">187</cx:pt>
          <cx:pt idx="187">188</cx:pt>
          <cx:pt idx="188">189</cx:pt>
          <cx:pt idx="189">190</cx:pt>
          <cx:pt idx="190">191</cx:pt>
          <cx:pt idx="191">192</cx:pt>
          <cx:pt idx="192">193</cx:pt>
          <cx:pt idx="193">194</cx:pt>
          <cx:pt idx="194">195</cx:pt>
          <cx:pt idx="195">196</cx:pt>
          <cx:pt idx="196">197</cx:pt>
          <cx:pt idx="197">198</cx:pt>
          <cx:pt idx="198">199</cx:pt>
          <cx:pt idx="199">200</cx:pt>
        </cx:lvl>
      </cx:strDim>
      <cx:numDim type="val">
        <cx:f>'6.1'!$C$11:$C$210</cx:f>
        <cx:lvl ptCount="200" formatCode="General">
          <cx:pt idx="0">1516.8322399999997</cx:pt>
          <cx:pt idx="1">1277.7145970000001</cx:pt>
          <cx:pt idx="2">1241.526685</cx:pt>
          <cx:pt idx="3">1080.6085849999997</cx:pt>
          <cx:pt idx="4">576.07596235000005</cx:pt>
          <cx:pt idx="5">556.20477499999993</cx:pt>
          <cx:pt idx="6">441.52499999999998</cx:pt>
          <cx:pt idx="7">430.37116499999996</cx:pt>
          <cx:pt idx="8">381.76100000000002</cx:pt>
          <cx:pt idx="9">365.03387243999998</cx:pt>
          <cx:pt idx="10">267.437275</cx:pt>
          <cx:pt idx="11">262.99692325000001</cx:pt>
          <cx:pt idx="12">258.51643999999999</cx:pt>
          <cx:pt idx="13">239.06299999999999</cx:pt>
          <cx:pt idx="14">234.72966557068378</cx:pt>
          <cx:pt idx="15">231.66470108999999</cx:pt>
          <cx:pt idx="16">231.66470108999999</cx:pt>
          <cx:pt idx="17">231.13922054999995</cx:pt>
          <cx:pt idx="18">222.43927999999997</cx:pt>
          <cx:pt idx="19">222.37200579999995</cx:pt>
          <cx:pt idx="20">214.31115999999997</cx:pt>
          <cx:pt idx="21">208.67463179867494</cx:pt>
          <cx:pt idx="22">198.70361664999993</cx:pt>
          <cx:pt idx="23">186.066755</cx:pt>
          <cx:pt idx="24">185.89724999999999</cx:pt>
          <cx:pt idx="25">182.21589574999996</cx:pt>
          <cx:pt idx="26">179.95043097499993</cx:pt>
          <cx:pt idx="27">179.37384499999999</cx:pt>
          <cx:pt idx="28">172.79055499999998</cx:pt>
          <cx:pt idx="29">172.62734400000002</cx:pt>
          <cx:pt idx="30">159.2535</cx:pt>
          <cx:pt idx="31">159.2535</cx:pt>
          <cx:pt idx="32">157.83249999999998</cx:pt>
          <cx:pt idx="33">144.64967999999999</cx:pt>
          <cx:pt idx="34">132.92033999999998</cx:pt>
          <cx:pt idx="35">131.559225</cx:pt>
          <cx:pt idx="36">116.40222999999999</cx:pt>
          <cx:pt idx="37">113.98785058706981</cx:pt>
          <cx:pt idx="38">113.56835</cx:pt>
          <cx:pt idx="39">112.48269381999998</cx:pt>
          <cx:pt idx="40">108.89359900000001</cx:pt>
          <cx:pt idx="41">108.77145999999999</cx:pt>
          <cx:pt idx="42">104.96723999999999</cx:pt>
          <cx:pt idx="43">99.306000190000006</cx:pt>
          <cx:pt idx="44">94.822820000000007</cx:pt>
          <cx:pt idx="45">94.822820000000007</cx:pt>
          <cx:pt idx="46">94.822820000000007</cx:pt>
          <cx:pt idx="47">94.740099999999998</cx:pt>
          <cx:pt idx="48">94.085482470091748</cx:pt>
          <cx:pt idx="49">91.129744999999986</cx:pt>
          <cx:pt idx="50">89.732597499999969</cx:pt>
          <cx:pt idx="51">88.111023349999968</cx:pt>
          <cx:pt idx="52">86.876813799999979</cx:pt>
          <cx:pt idx="53">86.628472912624972</cx:pt>
          <cx:pt idx="54">82.03063539999998</cx:pt>
          <cx:pt idx="55">81.769600000000011</cx:pt>
          <cx:pt idx="56">79.842437499999974</cx:pt>
          <cx:pt idx="57">77.605764829999998</cx:pt>
          <cx:pt idx="58">76.124999999999986</cx:pt>
          <cx:pt idx="59">76.124999999999986</cx:pt>
          <cx:pt idx="60">76</cx:pt>
          <cx:pt idx="61">75.41449999999999</cx:pt>
          <cx:pt idx="62">70.92819999999999</cx:pt>
          <cx:pt idx="63">68.763212882606581</cx:pt>
          <cx:pt idx="64">68.763212882606581</cx:pt>
          <cx:pt idx="65">63.987820819999996</cx:pt>
          <cx:pt idx="66">61.363291674999985</cx:pt>
          <cx:pt idx="67">60.616928999999999</cx:pt>
          <cx:pt idx="68">60.616928999999999</cx:pt>
          <cx:pt idx="69">60.345347150000002</cx:pt>
          <cx:pt idx="70">58.833531049999991</cx:pt>
          <cx:pt idx="71">54.768384999999995</cx:pt>
          <cx:pt idx="72">53.864200194218711</cx:pt>
          <cx:pt idx="73">52.779999999999994</cx:pt>
          <cx:pt idx="74">51.739624999999997</cx:pt>
          <cx:pt idx="75">50.749999999999993</cx:pt>
          <cx:pt idx="76">48.583850944999995</cx:pt>
          <cx:pt idx="77">47.870434849999988</cx:pt>
          <cx:pt idx="78">47.568357759999998</cx:pt>
          <cx:pt idx="79">47.489601999999998</cx:pt>
          <cx:pt idx="80">44.659350242674989</cx:pt>
          <cx:pt idx="81">44.393796516071163</cx:pt>
          <cx:pt idx="82">44.267278229999995</cx:pt>
          <cx:pt idx="83">42.867366807560423</cx:pt>
          <cx:pt idx="84">41.208999999999989</cx:pt>
          <cx:pt idx="85">40.599999999999994</cx:pt>
          <cx:pt idx="86">40.599999999999994</cx:pt>
          <cx:pt idx="87">40.599999999999994</cx:pt>
          <cx:pt idx="88">40.599999999999994</cx:pt>
          <cx:pt idx="89">40.599999999999994</cx:pt>
          <cx:pt idx="90">40.599999999999994</cx:pt>
          <cx:pt idx="91">40.110769999999995</cx:pt>
          <cx:pt idx="92">39.207419999999999</cx:pt>
          <cx:pt idx="93">38.493874999999996</cx:pt>
          <cx:pt idx="94">35.921885299999992</cx:pt>
          <cx:pt idx="95">31.200428911012125</cx:pt>
          <cx:pt idx="96">29.258046929999999</cx:pt>
          <cx:pt idx="97">29.058712151858767</cx:pt>
          <cx:pt idx="98">28.814392000000002</cx:pt>
          <cx:pt idx="99">28.206849999999996</cx:pt>
          <cx:pt idx="100">27.934829999999994</cx:pt>
          <cx:pt idx="101">26.344324999999994</cx:pt>
          <cx:pt idx="102">25.946143544999998</cx:pt>
          <cx:pt idx="103">24.431049999999999</cx:pt>
          <cx:pt idx="104">23.090418714999998</cx:pt>
          <cx:pt idx="105">21.682280794999997</cx:pt>
          <cx:pt idx="106">21.21082852</cx:pt>
          <cx:pt idx="107">20.626000000000001</cx:pt>
          <cx:pt idx="108">20.626000000000001</cx:pt>
          <cx:pt idx="109">20.464110274999996</cx:pt>
          <cx:pt idx="110">20.162974999999996</cx:pt>
          <cx:pt idx="111">19.460594999999998</cx:pt>
          <cx:pt idx="112">19.440294999999995</cx:pt>
          <cx:pt idx="113">18.005084999999998</cx:pt>
          <cx:pt idx="114">17.263119999999997</cx:pt>
          <cx:pt idx="115">17.170336819999999</cx:pt>
          <cx:pt idx="116">17.020675999999998</cx:pt>
          <cx:pt idx="117">17.001630624999997</cx:pt>
          <cx:pt idx="118">16.10240937</cx:pt>
          <cx:pt idx="119">15.747118933349995</cx:pt>
          <cx:pt idx="120">15.681394000000001</cx:pt>
          <cx:pt idx="121">14.518943160000003</cx:pt>
          <cx:pt idx="122">13.865326999999999</cx:pt>
          <cx:pt idx="123">13.635460264999999</cx:pt>
          <cx:pt idx="124">13.314314265</cx:pt>
          <cx:pt idx="125">12.858431074999999</cx:pt>
          <cx:pt idx="126">12.572494409999999</cx:pt>
          <cx:pt idx="127">12.425347829999998</cx:pt>
          <cx:pt idx="128">12.328806323808621</cx:pt>
          <cx:pt idx="129">11.597933024999998</cx:pt>
          <cx:pt idx="130">11.244505965</cx:pt>
          <cx:pt idx="131">10.657499999999999</cx:pt>
          <cx:pt idx="132">10.153673285</cx:pt>
          <cx:pt idx="133">9.5815999999999981</cx:pt>
          <cx:pt idx="134">9.4727107999999998</cx:pt>
          <cx:pt idx="135">8.2476129049999987</cx:pt>
          <cx:pt idx="136">7.0095899999999993</cx:pt>
          <cx:pt idx="137">6.5318267640569321</cx:pt>
          <cx:pt idx="138">6.2394658549999988</cx:pt>
          <cx:pt idx="139">5.9630000000000001</cx:pt>
          <cx:pt idx="140">5.8457532927617564</cx:pt>
          <cx:pt idx="141">5.8457532927617564</cx:pt>
          <cx:pt idx="142">5.7156882999999983</cx:pt>
          <cx:pt idx="143">5.4900000000000002</cx:pt>
          <cx:pt idx="144">5.3287499999999994</cx:pt>
          <cx:pt idx="145">5.1680639594499986</cx:pt>
          <cx:pt idx="146">5.0731344299999996</cx:pt>
          <cx:pt idx="147">4.776491</cx:pt>
          <cx:pt idx="148">4.776491</cx:pt>
          <cx:pt idx="149">4.776491</cx:pt>
          <cx:pt idx="150">4.7185036459749989</cx:pt>
          <cx:pt idx="151">4.55734490887468</cx:pt>
          <cx:pt idx="152">4.55734490887468</cx:pt>
          <cx:pt idx="153">4.1420820349999996</cx:pt>
          <cx:pt idx="154">4.0599999999999996</cx:pt>
          <cx:pt idx="155">4.0599999999999996</cx:pt>
          <cx:pt idx="156">4.0599999999999996</cx:pt>
          <cx:pt idx="157">4.0599999999999996</cx:pt>
          <cx:pt idx="158">4.0599999999999996</cx:pt>
          <cx:pt idx="159">4.0599999999999996</cx:pt>
          <cx:pt idx="160">4.0599999999999996</cx:pt>
          <cx:pt idx="161">4.0599999999999996</cx:pt>
          <cx:pt idx="162">4.0599999999999996</cx:pt>
          <cx:pt idx="163">4.0599999999999996</cx:pt>
          <cx:pt idx="164">4.0599999999999996</cx:pt>
          <cx:pt idx="165">4.0599999999999996</cx:pt>
          <cx:pt idx="166">4.0599999999999996</cx:pt>
          <cx:pt idx="167">4.0599999999999996</cx:pt>
          <cx:pt idx="168">4.0599999999999996</cx:pt>
          <cx:pt idx="169">4.0599999999999996</cx:pt>
          <cx:pt idx="170">4.0599999999999996</cx:pt>
          <cx:pt idx="171">4.0599999999999996</cx:pt>
          <cx:pt idx="172">4.0599999999999996</cx:pt>
          <cx:pt idx="173">3.9077499999999996</cx:pt>
          <cx:pt idx="174">3.7182697999999998</cx:pt>
          <cx:pt idx="175">3.6448649999999998</cx:pt>
          <cx:pt idx="176">3.5596049999999999</cx:pt>
          <cx:pt idx="177">3.5524999999999998</cx:pt>
          <cx:pt idx="178">3.1972499999999995</cx:pt>
          <cx:pt idx="179">3.0449999999999999</cx:pt>
          <cx:pt idx="180">3.0049734749999994</cx:pt>
          <cx:pt idx="181">2.7987579999999999</cx:pt>
          <cx:pt idx="182">2.5141054578499991</cx:pt>
          <cx:pt idx="183">2.4715249999999997</cx:pt>
          <cx:pt idx="184">2.3605042999999997</cx:pt>
          <cx:pt idx="185">2.3081658250000001</cx:pt>
          <cx:pt idx="186">2.1746019999999997</cx:pt>
          <cx:pt idx="187">2.1746019999999997</cx:pt>
          <cx:pt idx="188">2.1746019999999997</cx:pt>
          <cx:pt idx="189">2.1315</cx:pt>
          <cx:pt idx="190">2.1229536999999996</cx:pt>
          <cx:pt idx="191">1.8554068049999999</cx:pt>
          <cx:pt idx="192">1.8015996249999997</cx:pt>
          <cx:pt idx="193">1.6229849999999999</cx:pt>
          <cx:pt idx="194">1.2667384590344875</cx:pt>
          <cx:pt idx="195">1.06575</cx:pt>
          <cx:pt idx="196">0.96560104619999976</cx:pt>
          <cx:pt idx="197">0.90647721499999989</cx:pt>
          <cx:pt idx="198">0.80587650499999985</cx:pt>
          <cx:pt idx="199">0.31420847499999993</cx:pt>
        </cx:lvl>
      </cx:numDim>
    </cx:data>
  </cx:chartData>
  <cx:chart>
    <cx:plotArea>
      <cx:plotAreaRegion>
        <cx:plotSurface>
          <cx:spPr>
            <a:noFill/>
          </cx:spPr>
        </cx:plotSurface>
        <cx:series layoutId="clusteredColumn" uniqueId="{3654A794-DA2E-4542-BF8A-79C98B7086AD}">
          <cx:tx>
            <cx:txData>
              <cx:f>'6.1'!$C$10</cx:f>
              <cx:v>25-26</cx:v>
            </cx:txData>
          </cx:tx>
          <cx:spPr>
            <a:solidFill>
              <a:srgbClr val="1CADE4"/>
            </a:solidFill>
          </cx:spPr>
          <cx:dataId val="0"/>
          <cx:layoutPr>
            <cx:aggregation/>
          </cx:layoutPr>
          <cx:axisId val="1"/>
        </cx:series>
        <cx:series layoutId="paretoLine" ownerIdx="0" uniqueId="{DEB4E650-9B09-4A20-987E-3F1572E8914D}">
          <cx:spPr>
            <a:ln>
              <a:solidFill>
                <a:srgbClr val="264C72"/>
              </a:solidFill>
            </a:ln>
          </cx:spPr>
          <cx:axisId val="2"/>
        </cx:series>
      </cx:plotAreaRegion>
      <cx:axis id="0">
        <cx:catScaling gapWidth="0"/>
        <cx:tickLabels/>
        <cx:spPr>
          <a:ln>
            <a:solidFill>
              <a:schemeClr val="tx1"/>
            </a:solidFill>
          </a:ln>
        </cx:spPr>
        <cx:txPr>
          <a:bodyPr spcFirstLastPara="1" vertOverflow="ellipsis" horzOverflow="overflow" wrap="square" lIns="0" tIns="0" rIns="0" bIns="0" anchor="ctr" anchorCtr="1"/>
          <a:lstStyle/>
          <a:p>
            <a:pPr algn="ctr" rtl="0">
              <a:defRPr sz="1300">
                <a:solidFill>
                  <a:sysClr val="windowText" lastClr="000000"/>
                </a:solidFill>
                <a:latin typeface="Aptos" panose="020B0004020202020204" pitchFamily="34" charset="0"/>
                <a:ea typeface="Aptos" panose="020B0004020202020204" pitchFamily="34" charset="0"/>
                <a:cs typeface="Aptos" panose="020B0004020202020204" pitchFamily="34" charset="0"/>
              </a:defRPr>
            </a:pPr>
            <a:endParaRPr lang="en-US" sz="1300" b="0" i="0" u="none" strike="noStrike" baseline="0">
              <a:solidFill>
                <a:sysClr val="windowText" lastClr="000000"/>
              </a:solidFill>
              <a:latin typeface="Aptos" panose="020B0004020202020204" pitchFamily="34" charset="0"/>
            </a:endParaRPr>
          </a:p>
        </cx:txPr>
      </cx:axis>
      <cx:axis id="1">
        <cx:valScaling/>
        <cx:majorTickMarks type="out"/>
        <cx:tickLabels/>
        <cx:numFmt formatCode="#,##0" sourceLinked="0"/>
        <cx:spPr>
          <a:ln>
            <a:solidFill>
              <a:schemeClr val="tx1"/>
            </a:solidFill>
          </a:ln>
        </cx:spPr>
        <cx:txPr>
          <a:bodyPr vertOverflow="overflow" horzOverflow="overflow" wrap="square" lIns="0" tIns="0" rIns="0" bIns="0"/>
          <a:lstStyle/>
          <a:p>
            <a:pPr algn="ctr" rtl="0">
              <a:defRPr sz="1300" b="0" i="0">
                <a:solidFill>
                  <a:schemeClr val="bg1"/>
                </a:solidFill>
                <a:latin typeface="Aptos" panose="020B0004020202020204" pitchFamily="34" charset="0"/>
                <a:ea typeface="Aptos" panose="020B0004020202020204" pitchFamily="34" charset="0"/>
                <a:cs typeface="Aptos" panose="020B0004020202020204" pitchFamily="34" charset="0"/>
              </a:defRPr>
            </a:pPr>
            <a:endParaRPr lang="en-AU" sz="1300">
              <a:solidFill>
                <a:schemeClr val="bg1"/>
              </a:solidFill>
              <a:latin typeface="Aptos" panose="020B0004020202020204" pitchFamily="34" charset="0"/>
            </a:endParaRPr>
          </a:p>
        </cx:txPr>
      </cx:axis>
      <cx:axis id="2">
        <cx:valScaling max="1" min="0"/>
        <cx:units unit="percentage"/>
        <cx:majorTickMarks type="out"/>
        <cx:tickLabels/>
        <cx:spPr>
          <a:ln>
            <a:solidFill>
              <a:schemeClr val="tx1"/>
            </a:solidFill>
          </a:ln>
        </cx:spPr>
        <cx:txPr>
          <a:bodyPr vertOverflow="overflow" horzOverflow="overflow" wrap="square" lIns="0" tIns="0" rIns="0" bIns="0"/>
          <a:lstStyle/>
          <a:p>
            <a:pPr algn="ctr" rtl="0">
              <a:defRPr sz="1050" b="0" i="0">
                <a:solidFill>
                  <a:sysClr val="windowText" lastClr="000000"/>
                </a:solidFill>
                <a:latin typeface="Aptos" panose="020B0004020202020204" pitchFamily="34" charset="0"/>
                <a:ea typeface="Aptos" panose="020B0004020202020204" pitchFamily="34" charset="0"/>
                <a:cs typeface="Aptos" panose="020B0004020202020204" pitchFamily="34" charset="0"/>
              </a:defRPr>
            </a:pPr>
            <a:endParaRPr lang="en-AU" sz="1050">
              <a:solidFill>
                <a:sysClr val="windowText" lastClr="000000"/>
              </a:solidFill>
              <a:latin typeface="Aptos" panose="020B0004020202020204" pitchFamily="34" charset="0"/>
            </a:endParaRPr>
          </a:p>
        </cx:txPr>
      </cx:axis>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0.42998</cdr:x>
      <cdr:y>0.24122</cdr:y>
    </cdr:from>
    <cdr:to>
      <cdr:x>0.6379</cdr:x>
      <cdr:y>0.39455</cdr:y>
    </cdr:to>
    <cdr:sp macro="" textlink="">
      <cdr:nvSpPr>
        <cdr:cNvPr id="2" name="TextBox 6">
          <a:extLst xmlns:a="http://schemas.openxmlformats.org/drawingml/2006/main">
            <a:ext uri="{FF2B5EF4-FFF2-40B4-BE49-F238E27FC236}">
              <a16:creationId xmlns:a16="http://schemas.microsoft.com/office/drawing/2014/main" id="{F99C5244-4728-4BDE-9188-5EB730371DBB}"/>
            </a:ext>
          </a:extLst>
        </cdr:cNvPr>
        <cdr:cNvSpPr txBox="1"/>
      </cdr:nvSpPr>
      <cdr:spPr>
        <a:xfrm xmlns:a="http://schemas.openxmlformats.org/drawingml/2006/main">
          <a:off x="2464430" y="944323"/>
          <a:ext cx="1191696" cy="600252"/>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txBody>
        <a:bodyPr xmlns:a="http://schemas.openxmlformats.org/drawingml/2006/main" wrap="square"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kumimoji="0" lang="en-AU" sz="1100" b="0" i="0" u="none" strike="noStrike" kern="0" cap="none" spc="0" normalizeH="0" baseline="0" noProof="0">
              <a:ln>
                <a:noFill/>
              </a:ln>
              <a:solidFill>
                <a:srgbClr val="1CADE4"/>
              </a:solidFill>
              <a:effectLst/>
              <a:uLnTx/>
              <a:uFillTx/>
              <a:latin typeface="Aptos Narrow" panose="02110004020202020204"/>
              <a:ea typeface="+mn-ea"/>
              <a:cs typeface="+mn-cs"/>
            </a:rPr>
            <a:t>Expenses per capita</a:t>
          </a:r>
        </a:p>
      </cdr:txBody>
    </cdr:sp>
  </cdr:relSizeAnchor>
  <cdr:relSizeAnchor xmlns:cdr="http://schemas.openxmlformats.org/drawingml/2006/chartDrawing">
    <cdr:from>
      <cdr:x>0.58515</cdr:x>
      <cdr:y>0.46041</cdr:y>
    </cdr:from>
    <cdr:to>
      <cdr:x>0.79307</cdr:x>
      <cdr:y>0.61374</cdr:y>
    </cdr:to>
    <cdr:sp macro="" textlink="">
      <cdr:nvSpPr>
        <cdr:cNvPr id="3" name="TextBox 7">
          <a:extLst xmlns:a="http://schemas.openxmlformats.org/drawingml/2006/main">
            <a:ext uri="{FF2B5EF4-FFF2-40B4-BE49-F238E27FC236}">
              <a16:creationId xmlns:a16="http://schemas.microsoft.com/office/drawing/2014/main" id="{8BCE70C7-B5A1-4B54-9162-F2836E0F54B4}"/>
            </a:ext>
          </a:extLst>
        </cdr:cNvPr>
        <cdr:cNvSpPr txBox="1"/>
      </cdr:nvSpPr>
      <cdr:spPr>
        <a:xfrm xmlns:a="http://schemas.openxmlformats.org/drawingml/2006/main">
          <a:off x="3377554" y="1815003"/>
          <a:ext cx="1200135" cy="604447"/>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txBody>
        <a:bodyPr xmlns:a="http://schemas.openxmlformats.org/drawingml/2006/main" wrap="square"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kumimoji="0" lang="en-AU" sz="1100" b="0" i="0" u="none" strike="noStrike" kern="0" cap="none" spc="0" normalizeH="0" baseline="0" noProof="0">
              <a:ln>
                <a:noFill/>
              </a:ln>
              <a:solidFill>
                <a:srgbClr val="264C72"/>
              </a:solidFill>
              <a:effectLst/>
              <a:uLnTx/>
              <a:uFillTx/>
              <a:latin typeface="Aptos Narrow" panose="02110004020202020204"/>
              <a:ea typeface="+mn-ea"/>
              <a:cs typeface="+mn-cs"/>
            </a:rPr>
            <a:t>Revenue  per capita</a:t>
          </a:r>
        </a:p>
      </cdr:txBody>
    </cdr:sp>
  </cdr:relSizeAnchor>
  <cdr:relSizeAnchor xmlns:cdr="http://schemas.openxmlformats.org/drawingml/2006/chartDrawing">
    <cdr:from>
      <cdr:x>0.82222</cdr:x>
      <cdr:y>0.80808</cdr:y>
    </cdr:from>
    <cdr:to>
      <cdr:x>0.94341</cdr:x>
      <cdr:y>0.88537</cdr:y>
    </cdr:to>
    <cdr:sp macro="" textlink="">
      <cdr:nvSpPr>
        <cdr:cNvPr id="4" name="TextBox 1">
          <a:extLst xmlns:a="http://schemas.openxmlformats.org/drawingml/2006/main">
            <a:ext uri="{FF2B5EF4-FFF2-40B4-BE49-F238E27FC236}">
              <a16:creationId xmlns:a16="http://schemas.microsoft.com/office/drawing/2014/main" id="{F3CB0991-4A4A-4ED1-940F-02618C7B3546}"/>
            </a:ext>
          </a:extLst>
        </cdr:cNvPr>
        <cdr:cNvSpPr txBox="1"/>
      </cdr:nvSpPr>
      <cdr:spPr>
        <a:xfrm xmlns:a="http://schemas.openxmlformats.org/drawingml/2006/main">
          <a:off x="4712537" y="3163453"/>
          <a:ext cx="694602" cy="30257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kern="1200">
              <a:latin typeface="Aptos" panose="020B0004020202020204" pitchFamily="34" charset="0"/>
            </a:rPr>
            <a:t>B&amp;FE</a:t>
          </a:r>
        </a:p>
      </cdr:txBody>
    </cdr:sp>
  </cdr:relSizeAnchor>
</c:userShapes>
</file>

<file path=word/drawings/drawing2.xml><?xml version="1.0" encoding="utf-8"?>
<c:userShapes xmlns:c="http://schemas.openxmlformats.org/drawingml/2006/chart">
  <cdr:relSizeAnchor xmlns:cdr="http://schemas.openxmlformats.org/drawingml/2006/chartDrawing">
    <cdr:from>
      <cdr:x>0.39668</cdr:x>
      <cdr:y>0.07177</cdr:y>
    </cdr:from>
    <cdr:to>
      <cdr:x>0.64539</cdr:x>
      <cdr:y>0.23015</cdr:y>
    </cdr:to>
    <cdr:sp macro="" textlink="">
      <cdr:nvSpPr>
        <cdr:cNvPr id="2" name="TextBox 3">
          <a:extLst xmlns:a="http://schemas.openxmlformats.org/drawingml/2006/main">
            <a:ext uri="{FF2B5EF4-FFF2-40B4-BE49-F238E27FC236}">
              <a16:creationId xmlns:a16="http://schemas.microsoft.com/office/drawing/2014/main" id="{932CA525-0366-4118-B61B-EE5CEACA0A4C}"/>
            </a:ext>
          </a:extLst>
        </cdr:cNvPr>
        <cdr:cNvSpPr txBox="1"/>
      </cdr:nvSpPr>
      <cdr:spPr>
        <a:xfrm xmlns:a="http://schemas.openxmlformats.org/drawingml/2006/main">
          <a:off x="1643606" y="240756"/>
          <a:ext cx="1030494" cy="53131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1100">
              <a:solidFill>
                <a:srgbClr val="264C72"/>
              </a:solidFill>
            </a:rPr>
            <a:t>Net Debt </a:t>
          </a:r>
          <a:br>
            <a:rPr lang="en-AU" sz="1100">
              <a:solidFill>
                <a:srgbClr val="264C72"/>
              </a:solidFill>
            </a:rPr>
          </a:br>
          <a:r>
            <a:rPr lang="en-AU" sz="1100">
              <a:solidFill>
                <a:srgbClr val="264C72"/>
              </a:solidFill>
            </a:rPr>
            <a:t>per capita,</a:t>
          </a:r>
        </a:p>
        <a:p xmlns:a="http://schemas.openxmlformats.org/drawingml/2006/main">
          <a:r>
            <a:rPr lang="en-AU" sz="1100">
              <a:solidFill>
                <a:srgbClr val="264C72"/>
              </a:solidFill>
            </a:rPr>
            <a:t>$ (RHS)</a:t>
          </a:r>
        </a:p>
      </cdr:txBody>
    </cdr:sp>
  </cdr:relSizeAnchor>
  <cdr:relSizeAnchor xmlns:cdr="http://schemas.openxmlformats.org/drawingml/2006/chartDrawing">
    <cdr:from>
      <cdr:x>0.13854</cdr:x>
      <cdr:y>0.52783</cdr:y>
    </cdr:from>
    <cdr:to>
      <cdr:x>0.46652</cdr:x>
      <cdr:y>0.71781</cdr:y>
    </cdr:to>
    <cdr:sp macro="" textlink="">
      <cdr:nvSpPr>
        <cdr:cNvPr id="3" name="TextBox 4">
          <a:extLst xmlns:a="http://schemas.openxmlformats.org/drawingml/2006/main">
            <a:ext uri="{FF2B5EF4-FFF2-40B4-BE49-F238E27FC236}">
              <a16:creationId xmlns:a16="http://schemas.microsoft.com/office/drawing/2014/main" id="{8E7650C2-908A-4805-A1D6-D9C504A37B3A}"/>
            </a:ext>
          </a:extLst>
        </cdr:cNvPr>
        <cdr:cNvSpPr txBox="1"/>
      </cdr:nvSpPr>
      <cdr:spPr>
        <a:xfrm xmlns:a="http://schemas.openxmlformats.org/drawingml/2006/main">
          <a:off x="574028" y="1770728"/>
          <a:ext cx="1358944" cy="63732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1100">
              <a:solidFill>
                <a:srgbClr val="27CED7"/>
              </a:solidFill>
            </a:rPr>
            <a:t>Net Debt as a per</a:t>
          </a:r>
          <a:r>
            <a:rPr lang="en-AU" sz="1100" baseline="0">
              <a:solidFill>
                <a:srgbClr val="27CED7"/>
              </a:solidFill>
            </a:rPr>
            <a:t> cent of GSP </a:t>
          </a:r>
        </a:p>
        <a:p xmlns:a="http://schemas.openxmlformats.org/drawingml/2006/main">
          <a:r>
            <a:rPr lang="en-AU" sz="1100">
              <a:solidFill>
                <a:srgbClr val="27CED7"/>
              </a:solidFill>
            </a:rPr>
            <a:t>(LHS)</a:t>
          </a:r>
        </a:p>
      </cdr:txBody>
    </cdr:sp>
  </cdr:relSizeAnchor>
</c:userShapes>
</file>

<file path=word/drawings/drawing3.xml><?xml version="1.0" encoding="utf-8"?>
<c:userShapes xmlns:c="http://schemas.openxmlformats.org/drawingml/2006/chart">
  <cdr:relSizeAnchor xmlns:cdr="http://schemas.openxmlformats.org/drawingml/2006/chartDrawing">
    <cdr:from>
      <cdr:x>0.8425</cdr:x>
      <cdr:y>0.7862</cdr:y>
    </cdr:from>
    <cdr:to>
      <cdr:x>0.95068</cdr:x>
      <cdr:y>0.86885</cdr:y>
    </cdr:to>
    <cdr:sp macro="" textlink="">
      <cdr:nvSpPr>
        <cdr:cNvPr id="2" name="TextBox 1">
          <a:extLst xmlns:a="http://schemas.openxmlformats.org/drawingml/2006/main">
            <a:ext uri="{FF2B5EF4-FFF2-40B4-BE49-F238E27FC236}">
              <a16:creationId xmlns:a16="http://schemas.microsoft.com/office/drawing/2014/main" id="{CC9FEF03-5C81-0923-D76A-A53CFF854915}"/>
            </a:ext>
          </a:extLst>
        </cdr:cNvPr>
        <cdr:cNvSpPr txBox="1"/>
      </cdr:nvSpPr>
      <cdr:spPr>
        <a:xfrm xmlns:a="http://schemas.openxmlformats.org/drawingml/2006/main">
          <a:off x="4828804" y="2547599"/>
          <a:ext cx="620035" cy="2678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kern="1200">
              <a:latin typeface="Aptos" panose="020B0004020202020204" pitchFamily="34" charset="0"/>
            </a:rPr>
            <a:t>B&amp;FE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B129536202A840A302400BC5968B14" ma:contentTypeVersion="21" ma:contentTypeDescription="Create a new document." ma:contentTypeScope="" ma:versionID="206d8ddf2679aa850265f4082f76c179">
  <xsd:schema xmlns:xsd="http://www.w3.org/2001/XMLSchema" xmlns:xs="http://www.w3.org/2001/XMLSchema" xmlns:p="http://schemas.microsoft.com/office/2006/metadata/properties" xmlns:ns2="b0960635-5465-4878-99d4-9993807fb876" xmlns:ns3="e3e16a1c-742c-4098-a58e-fcd748443dcf" xmlns:ns4="098f4d9a-14f4-44ba-83a6-a42e7aa9fa64" targetNamespace="http://schemas.microsoft.com/office/2006/metadata/properties" ma:root="true" ma:fieldsID="4f5a6e5f8030f2d83bdf0fc8e5c51eea" ns2:_="" ns3:_="" ns4:_="">
    <xsd:import namespace="b0960635-5465-4878-99d4-9993807fb876"/>
    <xsd:import namespace="e3e16a1c-742c-4098-a58e-fcd748443dcf"/>
    <xsd:import namespace="098f4d9a-14f4-44ba-83a6-a42e7aa9fa6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ESO" minOccurs="0"/>
                <xsd:element ref="ns3:SharedWithUsers" minOccurs="0"/>
                <xsd:element ref="ns3:SharedWithDetails" minOccurs="0"/>
                <xsd:element ref="ns2:Documenttype" minOccurs="0"/>
                <xsd:element ref="ns2:Createdby" minOccurs="0"/>
                <xsd:element ref="ns2:Status" minOccurs="0"/>
                <xsd:element ref="ns2:Board"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Dateprovided"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60635-5465-4878-99d4-9993807fb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ESO" ma:index="12" nillable="true" ma:displayName="ESO " ma:format="RadioButtons" ma:internalName="ESO">
      <xsd:simpleType>
        <xsd:restriction base="dms:Choice">
          <xsd:enumeration value="FRV"/>
          <xsd:enumeration value="TZV"/>
          <xsd:enumeration value="VICSES"/>
          <xsd:enumeration value="CFA"/>
          <xsd:enumeration value="All"/>
        </xsd:restriction>
      </xsd:simpleType>
    </xsd:element>
    <xsd:element name="Documenttype" ma:index="15" nillable="true" ma:displayName="Document type" ma:format="Dropdown" ma:internalName="Documenttype">
      <xsd:simpleType>
        <xsd:restriction base="dms:Choice">
          <xsd:enumeration value="Board papers"/>
          <xsd:enumeration value="Annotated agenda"/>
          <xsd:enumeration value="Brief"/>
          <xsd:enumeration value="BFC submission"/>
          <xsd:enumeration value="Letter"/>
          <xsd:enumeration value="Information response"/>
          <xsd:enumeration value="Information request"/>
          <xsd:enumeration value="Analysis"/>
          <xsd:enumeration value="Working group papers"/>
          <xsd:enumeration value="Email"/>
          <xsd:enumeration value="Administration"/>
          <xsd:enumeration value="DTF Green"/>
        </xsd:restriction>
      </xsd:simpleType>
    </xsd:element>
    <xsd:element name="Createdby" ma:index="16" nillable="true" ma:displayName="Created by" ma:description="Department that created the document" ma:format="Dropdown" ma:internalName="Createdby">
      <xsd:simpleType>
        <xsd:restriction base="dms:Choice">
          <xsd:enumeration value="DTF"/>
          <xsd:enumeration value="DJCS"/>
          <xsd:enumeration value="DPC"/>
          <xsd:enumeration value="ESO"/>
          <xsd:enumeration value="VicPol"/>
          <xsd:enumeration value="DJSIR"/>
          <xsd:enumeration value="CA"/>
        </xsd:restriction>
      </xsd:simpleType>
    </xsd:element>
    <xsd:element name="Status" ma:index="17" nillable="true" ma:displayName="Status" ma:format="Dropdown" ma:internalName="Status">
      <xsd:simpleType>
        <xsd:restriction base="dms:Choice">
          <xsd:enumeration value="Draft"/>
          <xsd:enumeration value="Final"/>
        </xsd:restriction>
      </xsd:simpleType>
    </xsd:element>
    <xsd:element name="Board" ma:index="18" nillable="true" ma:displayName="Board" ma:description="The board that the document relates to" ma:format="Dropdown" ma:internalName="Board">
      <xsd:simpleType>
        <xsd:restriction base="dms:Choice">
          <xsd:enumeration value="ESOFB"/>
          <xsd:enumeration value="VicPolFB"/>
          <xsd:enumeration value="CAFB"/>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Dateprovided" ma:index="26" nillable="true" ma:displayName="Date provided " ma:description="Include the date received for information requests and other documents provided by external departments/agencies" ma:format="DateOnly" ma:internalName="Dateprovided">
      <xsd:simpleType>
        <xsd:restriction base="dms:DateTime"/>
      </xsd:simpleType>
    </xsd:element>
    <xsd:element name="_Flow_SignoffStatus" ma:index="27" nillable="true" ma:displayName="Sign-off status" ma:internalName="Sign_x002d_off_x0020_status">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e16a1c-742c-4098-a58e-fcd748443dc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8f4d9a-14f4-44ba-83a6-a42e7aa9fa6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6bd4a87-efc6-4511-b01d-c88c6be19eb1}" ma:internalName="TaxCatchAll" ma:showField="CatchAllData" ma:web="e3e16a1c-742c-4098-a58e-fcd748443d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K a p i s h F i l e n a m e T o U r i M a p p i n g s   x m l n s : x s i = " h t t p : / / w w w . w 3 . o r g / 2 0 0 1 / X M L S c h e m a - i n s t a n c e "   x m l n s : x s d = " h t t p : / / w w w . w 3 . o r g / 2 0 0 1 / X M L S c h e m a " / > 
</file>

<file path=customXml/item5.xml><?xml version="1.0" encoding="utf-8"?>
<p:properties xmlns:p="http://schemas.microsoft.com/office/2006/metadata/properties" xmlns:xsi="http://www.w3.org/2001/XMLSchema-instance" xmlns:pc="http://schemas.microsoft.com/office/infopath/2007/PartnerControls">
  <documentManagement>
    <Createdby xmlns="b0960635-5465-4878-99d4-9993807fb876" xsi:nil="true"/>
    <_Flow_SignoffStatus xmlns="b0960635-5465-4878-99d4-9993807fb876" xsi:nil="true"/>
    <Documenttype xmlns="b0960635-5465-4878-99d4-9993807fb876" xsi:nil="true"/>
    <ESO xmlns="b0960635-5465-4878-99d4-9993807fb876" xsi:nil="true"/>
    <Dateprovided xmlns="b0960635-5465-4878-99d4-9993807fb876" xsi:nil="true"/>
    <lcf76f155ced4ddcb4097134ff3c332f xmlns="b0960635-5465-4878-99d4-9993807fb876">
      <Terms xmlns="http://schemas.microsoft.com/office/infopath/2007/PartnerControls"/>
    </lcf76f155ced4ddcb4097134ff3c332f>
    <Status xmlns="b0960635-5465-4878-99d4-9993807fb876" xsi:nil="true"/>
    <TaxCatchAll xmlns="098f4d9a-14f4-44ba-83a6-a42e7aa9fa64" xsi:nil="true"/>
    <Board xmlns="b0960635-5465-4878-99d4-9993807fb876" xsi:nil="true"/>
  </documentManagement>
</p:properties>
</file>

<file path=customXml/itemProps1.xml><?xml version="1.0" encoding="utf-8"?>
<ds:datastoreItem xmlns:ds="http://schemas.openxmlformats.org/officeDocument/2006/customXml" ds:itemID="{199BE1E9-B82F-4163-8CCD-60DFEA805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60635-5465-4878-99d4-9993807fb876"/>
    <ds:schemaRef ds:uri="e3e16a1c-742c-4098-a58e-fcd748443dcf"/>
    <ds:schemaRef ds:uri="098f4d9a-14f4-44ba-83a6-a42e7aa9fa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4FC84E-98E3-4978-A711-0E7A005A28DA}">
  <ds:schemaRefs>
    <ds:schemaRef ds:uri="http://schemas.openxmlformats.org/officeDocument/2006/bibliography"/>
  </ds:schemaRefs>
</ds:datastoreItem>
</file>

<file path=customXml/itemProps3.xml><?xml version="1.0" encoding="utf-8"?>
<ds:datastoreItem xmlns:ds="http://schemas.openxmlformats.org/officeDocument/2006/customXml" ds:itemID="{94CE78CF-16CB-4F38-ADA5-A28F66BD3C4C}">
  <ds:schemaRefs>
    <ds:schemaRef ds:uri="http://schemas.microsoft.com/sharepoint/v3/contenttype/forms"/>
  </ds:schemaRefs>
</ds:datastoreItem>
</file>

<file path=customXml/itemProps4.xml><?xml version="1.0" encoding="utf-8"?>
<ds:datastoreItem xmlns:ds="http://schemas.openxmlformats.org/officeDocument/2006/customXml" ds:itemID="{7E8B86AB-FAF7-4DAA-A514-6507661FA0B2}">
  <ds:schemaRefs>
    <ds:schemaRef ds:uri="http://www.w3.org/2001/XMLSchema"/>
  </ds:schemaRefs>
</ds:datastoreItem>
</file>

<file path=customXml/itemProps5.xml><?xml version="1.0" encoding="utf-8"?>
<ds:datastoreItem xmlns:ds="http://schemas.openxmlformats.org/officeDocument/2006/customXml" ds:itemID="{7D49DB92-0F86-4576-A258-AB4D6E7E9679}">
  <ds:schemaRefs>
    <ds:schemaRef ds:uri="http://schemas.microsoft.com/office/2006/metadata/properties"/>
    <ds:schemaRef ds:uri="http://schemas.microsoft.com/office/infopath/2007/PartnerControls"/>
    <ds:schemaRef ds:uri="b0960635-5465-4878-99d4-9993807fb876"/>
    <ds:schemaRef ds:uri="098f4d9a-14f4-44ba-83a6-a42e7aa9fa6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162</Pages>
  <Words>43453</Words>
  <Characters>257677</Characters>
  <Application>Microsoft Office Word</Application>
  <DocSecurity>0</DocSecurity>
  <Lines>8312</Lines>
  <Paragraphs>2595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298535</CharactersWithSpaces>
  <SharedDoc>false</SharedDoc>
  <HLinks>
    <vt:vector size="366" baseType="variant">
      <vt:variant>
        <vt:i4>1966135</vt:i4>
      </vt:variant>
      <vt:variant>
        <vt:i4>356</vt:i4>
      </vt:variant>
      <vt:variant>
        <vt:i4>0</vt:i4>
      </vt:variant>
      <vt:variant>
        <vt:i4>5</vt:i4>
      </vt:variant>
      <vt:variant>
        <vt:lpwstr/>
      </vt:variant>
      <vt:variant>
        <vt:lpwstr>_Toc214912035</vt:lpwstr>
      </vt:variant>
      <vt:variant>
        <vt:i4>1966135</vt:i4>
      </vt:variant>
      <vt:variant>
        <vt:i4>350</vt:i4>
      </vt:variant>
      <vt:variant>
        <vt:i4>0</vt:i4>
      </vt:variant>
      <vt:variant>
        <vt:i4>5</vt:i4>
      </vt:variant>
      <vt:variant>
        <vt:lpwstr/>
      </vt:variant>
      <vt:variant>
        <vt:lpwstr>_Toc214912034</vt:lpwstr>
      </vt:variant>
      <vt:variant>
        <vt:i4>1966135</vt:i4>
      </vt:variant>
      <vt:variant>
        <vt:i4>344</vt:i4>
      </vt:variant>
      <vt:variant>
        <vt:i4>0</vt:i4>
      </vt:variant>
      <vt:variant>
        <vt:i4>5</vt:i4>
      </vt:variant>
      <vt:variant>
        <vt:lpwstr/>
      </vt:variant>
      <vt:variant>
        <vt:lpwstr>_Toc214912033</vt:lpwstr>
      </vt:variant>
      <vt:variant>
        <vt:i4>1966135</vt:i4>
      </vt:variant>
      <vt:variant>
        <vt:i4>338</vt:i4>
      </vt:variant>
      <vt:variant>
        <vt:i4>0</vt:i4>
      </vt:variant>
      <vt:variant>
        <vt:i4>5</vt:i4>
      </vt:variant>
      <vt:variant>
        <vt:lpwstr/>
      </vt:variant>
      <vt:variant>
        <vt:lpwstr>_Toc214912032</vt:lpwstr>
      </vt:variant>
      <vt:variant>
        <vt:i4>1966135</vt:i4>
      </vt:variant>
      <vt:variant>
        <vt:i4>332</vt:i4>
      </vt:variant>
      <vt:variant>
        <vt:i4>0</vt:i4>
      </vt:variant>
      <vt:variant>
        <vt:i4>5</vt:i4>
      </vt:variant>
      <vt:variant>
        <vt:lpwstr/>
      </vt:variant>
      <vt:variant>
        <vt:lpwstr>_Toc214912031</vt:lpwstr>
      </vt:variant>
      <vt:variant>
        <vt:i4>1966135</vt:i4>
      </vt:variant>
      <vt:variant>
        <vt:i4>326</vt:i4>
      </vt:variant>
      <vt:variant>
        <vt:i4>0</vt:i4>
      </vt:variant>
      <vt:variant>
        <vt:i4>5</vt:i4>
      </vt:variant>
      <vt:variant>
        <vt:lpwstr/>
      </vt:variant>
      <vt:variant>
        <vt:lpwstr>_Toc214912030</vt:lpwstr>
      </vt:variant>
      <vt:variant>
        <vt:i4>2031671</vt:i4>
      </vt:variant>
      <vt:variant>
        <vt:i4>320</vt:i4>
      </vt:variant>
      <vt:variant>
        <vt:i4>0</vt:i4>
      </vt:variant>
      <vt:variant>
        <vt:i4>5</vt:i4>
      </vt:variant>
      <vt:variant>
        <vt:lpwstr/>
      </vt:variant>
      <vt:variant>
        <vt:lpwstr>_Toc214912029</vt:lpwstr>
      </vt:variant>
      <vt:variant>
        <vt:i4>2031671</vt:i4>
      </vt:variant>
      <vt:variant>
        <vt:i4>314</vt:i4>
      </vt:variant>
      <vt:variant>
        <vt:i4>0</vt:i4>
      </vt:variant>
      <vt:variant>
        <vt:i4>5</vt:i4>
      </vt:variant>
      <vt:variant>
        <vt:lpwstr/>
      </vt:variant>
      <vt:variant>
        <vt:lpwstr>_Toc214912028</vt:lpwstr>
      </vt:variant>
      <vt:variant>
        <vt:i4>2031671</vt:i4>
      </vt:variant>
      <vt:variant>
        <vt:i4>308</vt:i4>
      </vt:variant>
      <vt:variant>
        <vt:i4>0</vt:i4>
      </vt:variant>
      <vt:variant>
        <vt:i4>5</vt:i4>
      </vt:variant>
      <vt:variant>
        <vt:lpwstr/>
      </vt:variant>
      <vt:variant>
        <vt:lpwstr>_Toc214912027</vt:lpwstr>
      </vt:variant>
      <vt:variant>
        <vt:i4>2031671</vt:i4>
      </vt:variant>
      <vt:variant>
        <vt:i4>302</vt:i4>
      </vt:variant>
      <vt:variant>
        <vt:i4>0</vt:i4>
      </vt:variant>
      <vt:variant>
        <vt:i4>5</vt:i4>
      </vt:variant>
      <vt:variant>
        <vt:lpwstr/>
      </vt:variant>
      <vt:variant>
        <vt:lpwstr>_Toc214912026</vt:lpwstr>
      </vt:variant>
      <vt:variant>
        <vt:i4>2031671</vt:i4>
      </vt:variant>
      <vt:variant>
        <vt:i4>296</vt:i4>
      </vt:variant>
      <vt:variant>
        <vt:i4>0</vt:i4>
      </vt:variant>
      <vt:variant>
        <vt:i4>5</vt:i4>
      </vt:variant>
      <vt:variant>
        <vt:lpwstr/>
      </vt:variant>
      <vt:variant>
        <vt:lpwstr>_Toc214912025</vt:lpwstr>
      </vt:variant>
      <vt:variant>
        <vt:i4>2031671</vt:i4>
      </vt:variant>
      <vt:variant>
        <vt:i4>290</vt:i4>
      </vt:variant>
      <vt:variant>
        <vt:i4>0</vt:i4>
      </vt:variant>
      <vt:variant>
        <vt:i4>5</vt:i4>
      </vt:variant>
      <vt:variant>
        <vt:lpwstr/>
      </vt:variant>
      <vt:variant>
        <vt:lpwstr>_Toc214912024</vt:lpwstr>
      </vt:variant>
      <vt:variant>
        <vt:i4>2031671</vt:i4>
      </vt:variant>
      <vt:variant>
        <vt:i4>284</vt:i4>
      </vt:variant>
      <vt:variant>
        <vt:i4>0</vt:i4>
      </vt:variant>
      <vt:variant>
        <vt:i4>5</vt:i4>
      </vt:variant>
      <vt:variant>
        <vt:lpwstr/>
      </vt:variant>
      <vt:variant>
        <vt:lpwstr>_Toc214912023</vt:lpwstr>
      </vt:variant>
      <vt:variant>
        <vt:i4>2031671</vt:i4>
      </vt:variant>
      <vt:variant>
        <vt:i4>278</vt:i4>
      </vt:variant>
      <vt:variant>
        <vt:i4>0</vt:i4>
      </vt:variant>
      <vt:variant>
        <vt:i4>5</vt:i4>
      </vt:variant>
      <vt:variant>
        <vt:lpwstr/>
      </vt:variant>
      <vt:variant>
        <vt:lpwstr>_Toc214912022</vt:lpwstr>
      </vt:variant>
      <vt:variant>
        <vt:i4>2031671</vt:i4>
      </vt:variant>
      <vt:variant>
        <vt:i4>272</vt:i4>
      </vt:variant>
      <vt:variant>
        <vt:i4>0</vt:i4>
      </vt:variant>
      <vt:variant>
        <vt:i4>5</vt:i4>
      </vt:variant>
      <vt:variant>
        <vt:lpwstr/>
      </vt:variant>
      <vt:variant>
        <vt:lpwstr>_Toc214912021</vt:lpwstr>
      </vt:variant>
      <vt:variant>
        <vt:i4>2031671</vt:i4>
      </vt:variant>
      <vt:variant>
        <vt:i4>266</vt:i4>
      </vt:variant>
      <vt:variant>
        <vt:i4>0</vt:i4>
      </vt:variant>
      <vt:variant>
        <vt:i4>5</vt:i4>
      </vt:variant>
      <vt:variant>
        <vt:lpwstr/>
      </vt:variant>
      <vt:variant>
        <vt:lpwstr>_Toc214912020</vt:lpwstr>
      </vt:variant>
      <vt:variant>
        <vt:i4>1835063</vt:i4>
      </vt:variant>
      <vt:variant>
        <vt:i4>260</vt:i4>
      </vt:variant>
      <vt:variant>
        <vt:i4>0</vt:i4>
      </vt:variant>
      <vt:variant>
        <vt:i4>5</vt:i4>
      </vt:variant>
      <vt:variant>
        <vt:lpwstr/>
      </vt:variant>
      <vt:variant>
        <vt:lpwstr>_Toc214912019</vt:lpwstr>
      </vt:variant>
      <vt:variant>
        <vt:i4>1835063</vt:i4>
      </vt:variant>
      <vt:variant>
        <vt:i4>254</vt:i4>
      </vt:variant>
      <vt:variant>
        <vt:i4>0</vt:i4>
      </vt:variant>
      <vt:variant>
        <vt:i4>5</vt:i4>
      </vt:variant>
      <vt:variant>
        <vt:lpwstr/>
      </vt:variant>
      <vt:variant>
        <vt:lpwstr>_Toc214912018</vt:lpwstr>
      </vt:variant>
      <vt:variant>
        <vt:i4>1835063</vt:i4>
      </vt:variant>
      <vt:variant>
        <vt:i4>248</vt:i4>
      </vt:variant>
      <vt:variant>
        <vt:i4>0</vt:i4>
      </vt:variant>
      <vt:variant>
        <vt:i4>5</vt:i4>
      </vt:variant>
      <vt:variant>
        <vt:lpwstr/>
      </vt:variant>
      <vt:variant>
        <vt:lpwstr>_Toc214912017</vt:lpwstr>
      </vt:variant>
      <vt:variant>
        <vt:i4>1835063</vt:i4>
      </vt:variant>
      <vt:variant>
        <vt:i4>242</vt:i4>
      </vt:variant>
      <vt:variant>
        <vt:i4>0</vt:i4>
      </vt:variant>
      <vt:variant>
        <vt:i4>5</vt:i4>
      </vt:variant>
      <vt:variant>
        <vt:lpwstr/>
      </vt:variant>
      <vt:variant>
        <vt:lpwstr>_Toc214912016</vt:lpwstr>
      </vt:variant>
      <vt:variant>
        <vt:i4>1835063</vt:i4>
      </vt:variant>
      <vt:variant>
        <vt:i4>236</vt:i4>
      </vt:variant>
      <vt:variant>
        <vt:i4>0</vt:i4>
      </vt:variant>
      <vt:variant>
        <vt:i4>5</vt:i4>
      </vt:variant>
      <vt:variant>
        <vt:lpwstr/>
      </vt:variant>
      <vt:variant>
        <vt:lpwstr>_Toc214912015</vt:lpwstr>
      </vt:variant>
      <vt:variant>
        <vt:i4>1835063</vt:i4>
      </vt:variant>
      <vt:variant>
        <vt:i4>230</vt:i4>
      </vt:variant>
      <vt:variant>
        <vt:i4>0</vt:i4>
      </vt:variant>
      <vt:variant>
        <vt:i4>5</vt:i4>
      </vt:variant>
      <vt:variant>
        <vt:lpwstr/>
      </vt:variant>
      <vt:variant>
        <vt:lpwstr>_Toc214912014</vt:lpwstr>
      </vt:variant>
      <vt:variant>
        <vt:i4>1835063</vt:i4>
      </vt:variant>
      <vt:variant>
        <vt:i4>224</vt:i4>
      </vt:variant>
      <vt:variant>
        <vt:i4>0</vt:i4>
      </vt:variant>
      <vt:variant>
        <vt:i4>5</vt:i4>
      </vt:variant>
      <vt:variant>
        <vt:lpwstr/>
      </vt:variant>
      <vt:variant>
        <vt:lpwstr>_Toc214912013</vt:lpwstr>
      </vt:variant>
      <vt:variant>
        <vt:i4>1835063</vt:i4>
      </vt:variant>
      <vt:variant>
        <vt:i4>218</vt:i4>
      </vt:variant>
      <vt:variant>
        <vt:i4>0</vt:i4>
      </vt:variant>
      <vt:variant>
        <vt:i4>5</vt:i4>
      </vt:variant>
      <vt:variant>
        <vt:lpwstr/>
      </vt:variant>
      <vt:variant>
        <vt:lpwstr>_Toc214912012</vt:lpwstr>
      </vt:variant>
      <vt:variant>
        <vt:i4>1835063</vt:i4>
      </vt:variant>
      <vt:variant>
        <vt:i4>212</vt:i4>
      </vt:variant>
      <vt:variant>
        <vt:i4>0</vt:i4>
      </vt:variant>
      <vt:variant>
        <vt:i4>5</vt:i4>
      </vt:variant>
      <vt:variant>
        <vt:lpwstr/>
      </vt:variant>
      <vt:variant>
        <vt:lpwstr>_Toc214912011</vt:lpwstr>
      </vt:variant>
      <vt:variant>
        <vt:i4>1835063</vt:i4>
      </vt:variant>
      <vt:variant>
        <vt:i4>206</vt:i4>
      </vt:variant>
      <vt:variant>
        <vt:i4>0</vt:i4>
      </vt:variant>
      <vt:variant>
        <vt:i4>5</vt:i4>
      </vt:variant>
      <vt:variant>
        <vt:lpwstr/>
      </vt:variant>
      <vt:variant>
        <vt:lpwstr>_Toc214912010</vt:lpwstr>
      </vt:variant>
      <vt:variant>
        <vt:i4>1900599</vt:i4>
      </vt:variant>
      <vt:variant>
        <vt:i4>200</vt:i4>
      </vt:variant>
      <vt:variant>
        <vt:i4>0</vt:i4>
      </vt:variant>
      <vt:variant>
        <vt:i4>5</vt:i4>
      </vt:variant>
      <vt:variant>
        <vt:lpwstr/>
      </vt:variant>
      <vt:variant>
        <vt:lpwstr>_Toc214912009</vt:lpwstr>
      </vt:variant>
      <vt:variant>
        <vt:i4>1900599</vt:i4>
      </vt:variant>
      <vt:variant>
        <vt:i4>194</vt:i4>
      </vt:variant>
      <vt:variant>
        <vt:i4>0</vt:i4>
      </vt:variant>
      <vt:variant>
        <vt:i4>5</vt:i4>
      </vt:variant>
      <vt:variant>
        <vt:lpwstr/>
      </vt:variant>
      <vt:variant>
        <vt:lpwstr>_Toc214912008</vt:lpwstr>
      </vt:variant>
      <vt:variant>
        <vt:i4>1900599</vt:i4>
      </vt:variant>
      <vt:variant>
        <vt:i4>188</vt:i4>
      </vt:variant>
      <vt:variant>
        <vt:i4>0</vt:i4>
      </vt:variant>
      <vt:variant>
        <vt:i4>5</vt:i4>
      </vt:variant>
      <vt:variant>
        <vt:lpwstr/>
      </vt:variant>
      <vt:variant>
        <vt:lpwstr>_Toc214912007</vt:lpwstr>
      </vt:variant>
      <vt:variant>
        <vt:i4>1900599</vt:i4>
      </vt:variant>
      <vt:variant>
        <vt:i4>182</vt:i4>
      </vt:variant>
      <vt:variant>
        <vt:i4>0</vt:i4>
      </vt:variant>
      <vt:variant>
        <vt:i4>5</vt:i4>
      </vt:variant>
      <vt:variant>
        <vt:lpwstr/>
      </vt:variant>
      <vt:variant>
        <vt:lpwstr>_Toc214912006</vt:lpwstr>
      </vt:variant>
      <vt:variant>
        <vt:i4>1900599</vt:i4>
      </vt:variant>
      <vt:variant>
        <vt:i4>176</vt:i4>
      </vt:variant>
      <vt:variant>
        <vt:i4>0</vt:i4>
      </vt:variant>
      <vt:variant>
        <vt:i4>5</vt:i4>
      </vt:variant>
      <vt:variant>
        <vt:lpwstr/>
      </vt:variant>
      <vt:variant>
        <vt:lpwstr>_Toc214912005</vt:lpwstr>
      </vt:variant>
      <vt:variant>
        <vt:i4>1900599</vt:i4>
      </vt:variant>
      <vt:variant>
        <vt:i4>170</vt:i4>
      </vt:variant>
      <vt:variant>
        <vt:i4>0</vt:i4>
      </vt:variant>
      <vt:variant>
        <vt:i4>5</vt:i4>
      </vt:variant>
      <vt:variant>
        <vt:lpwstr/>
      </vt:variant>
      <vt:variant>
        <vt:lpwstr>_Toc214912004</vt:lpwstr>
      </vt:variant>
      <vt:variant>
        <vt:i4>1900599</vt:i4>
      </vt:variant>
      <vt:variant>
        <vt:i4>164</vt:i4>
      </vt:variant>
      <vt:variant>
        <vt:i4>0</vt:i4>
      </vt:variant>
      <vt:variant>
        <vt:i4>5</vt:i4>
      </vt:variant>
      <vt:variant>
        <vt:lpwstr/>
      </vt:variant>
      <vt:variant>
        <vt:lpwstr>_Toc214912003</vt:lpwstr>
      </vt:variant>
      <vt:variant>
        <vt:i4>1900599</vt:i4>
      </vt:variant>
      <vt:variant>
        <vt:i4>158</vt:i4>
      </vt:variant>
      <vt:variant>
        <vt:i4>0</vt:i4>
      </vt:variant>
      <vt:variant>
        <vt:i4>5</vt:i4>
      </vt:variant>
      <vt:variant>
        <vt:lpwstr/>
      </vt:variant>
      <vt:variant>
        <vt:lpwstr>_Toc214912002</vt:lpwstr>
      </vt:variant>
      <vt:variant>
        <vt:i4>1900599</vt:i4>
      </vt:variant>
      <vt:variant>
        <vt:i4>152</vt:i4>
      </vt:variant>
      <vt:variant>
        <vt:i4>0</vt:i4>
      </vt:variant>
      <vt:variant>
        <vt:i4>5</vt:i4>
      </vt:variant>
      <vt:variant>
        <vt:lpwstr/>
      </vt:variant>
      <vt:variant>
        <vt:lpwstr>_Toc214912001</vt:lpwstr>
      </vt:variant>
      <vt:variant>
        <vt:i4>1900599</vt:i4>
      </vt:variant>
      <vt:variant>
        <vt:i4>146</vt:i4>
      </vt:variant>
      <vt:variant>
        <vt:i4>0</vt:i4>
      </vt:variant>
      <vt:variant>
        <vt:i4>5</vt:i4>
      </vt:variant>
      <vt:variant>
        <vt:lpwstr/>
      </vt:variant>
      <vt:variant>
        <vt:lpwstr>_Toc214912000</vt:lpwstr>
      </vt:variant>
      <vt:variant>
        <vt:i4>1507390</vt:i4>
      </vt:variant>
      <vt:variant>
        <vt:i4>140</vt:i4>
      </vt:variant>
      <vt:variant>
        <vt:i4>0</vt:i4>
      </vt:variant>
      <vt:variant>
        <vt:i4>5</vt:i4>
      </vt:variant>
      <vt:variant>
        <vt:lpwstr/>
      </vt:variant>
      <vt:variant>
        <vt:lpwstr>_Toc214911999</vt:lpwstr>
      </vt:variant>
      <vt:variant>
        <vt:i4>1507390</vt:i4>
      </vt:variant>
      <vt:variant>
        <vt:i4>134</vt:i4>
      </vt:variant>
      <vt:variant>
        <vt:i4>0</vt:i4>
      </vt:variant>
      <vt:variant>
        <vt:i4>5</vt:i4>
      </vt:variant>
      <vt:variant>
        <vt:lpwstr/>
      </vt:variant>
      <vt:variant>
        <vt:lpwstr>_Toc214911998</vt:lpwstr>
      </vt:variant>
      <vt:variant>
        <vt:i4>1507390</vt:i4>
      </vt:variant>
      <vt:variant>
        <vt:i4>128</vt:i4>
      </vt:variant>
      <vt:variant>
        <vt:i4>0</vt:i4>
      </vt:variant>
      <vt:variant>
        <vt:i4>5</vt:i4>
      </vt:variant>
      <vt:variant>
        <vt:lpwstr/>
      </vt:variant>
      <vt:variant>
        <vt:lpwstr>_Toc214911997</vt:lpwstr>
      </vt:variant>
      <vt:variant>
        <vt:i4>1507390</vt:i4>
      </vt:variant>
      <vt:variant>
        <vt:i4>122</vt:i4>
      </vt:variant>
      <vt:variant>
        <vt:i4>0</vt:i4>
      </vt:variant>
      <vt:variant>
        <vt:i4>5</vt:i4>
      </vt:variant>
      <vt:variant>
        <vt:lpwstr/>
      </vt:variant>
      <vt:variant>
        <vt:lpwstr>_Toc214911996</vt:lpwstr>
      </vt:variant>
      <vt:variant>
        <vt:i4>1507390</vt:i4>
      </vt:variant>
      <vt:variant>
        <vt:i4>116</vt:i4>
      </vt:variant>
      <vt:variant>
        <vt:i4>0</vt:i4>
      </vt:variant>
      <vt:variant>
        <vt:i4>5</vt:i4>
      </vt:variant>
      <vt:variant>
        <vt:lpwstr/>
      </vt:variant>
      <vt:variant>
        <vt:lpwstr>_Toc214911995</vt:lpwstr>
      </vt:variant>
      <vt:variant>
        <vt:i4>1507390</vt:i4>
      </vt:variant>
      <vt:variant>
        <vt:i4>110</vt:i4>
      </vt:variant>
      <vt:variant>
        <vt:i4>0</vt:i4>
      </vt:variant>
      <vt:variant>
        <vt:i4>5</vt:i4>
      </vt:variant>
      <vt:variant>
        <vt:lpwstr/>
      </vt:variant>
      <vt:variant>
        <vt:lpwstr>_Toc214911994</vt:lpwstr>
      </vt:variant>
      <vt:variant>
        <vt:i4>1507390</vt:i4>
      </vt:variant>
      <vt:variant>
        <vt:i4>104</vt:i4>
      </vt:variant>
      <vt:variant>
        <vt:i4>0</vt:i4>
      </vt:variant>
      <vt:variant>
        <vt:i4>5</vt:i4>
      </vt:variant>
      <vt:variant>
        <vt:lpwstr/>
      </vt:variant>
      <vt:variant>
        <vt:lpwstr>_Toc214911993</vt:lpwstr>
      </vt:variant>
      <vt:variant>
        <vt:i4>1507390</vt:i4>
      </vt:variant>
      <vt:variant>
        <vt:i4>98</vt:i4>
      </vt:variant>
      <vt:variant>
        <vt:i4>0</vt:i4>
      </vt:variant>
      <vt:variant>
        <vt:i4>5</vt:i4>
      </vt:variant>
      <vt:variant>
        <vt:lpwstr/>
      </vt:variant>
      <vt:variant>
        <vt:lpwstr>_Toc214911992</vt:lpwstr>
      </vt:variant>
      <vt:variant>
        <vt:i4>1507390</vt:i4>
      </vt:variant>
      <vt:variant>
        <vt:i4>92</vt:i4>
      </vt:variant>
      <vt:variant>
        <vt:i4>0</vt:i4>
      </vt:variant>
      <vt:variant>
        <vt:i4>5</vt:i4>
      </vt:variant>
      <vt:variant>
        <vt:lpwstr/>
      </vt:variant>
      <vt:variant>
        <vt:lpwstr>_Toc214911991</vt:lpwstr>
      </vt:variant>
      <vt:variant>
        <vt:i4>1507390</vt:i4>
      </vt:variant>
      <vt:variant>
        <vt:i4>86</vt:i4>
      </vt:variant>
      <vt:variant>
        <vt:i4>0</vt:i4>
      </vt:variant>
      <vt:variant>
        <vt:i4>5</vt:i4>
      </vt:variant>
      <vt:variant>
        <vt:lpwstr/>
      </vt:variant>
      <vt:variant>
        <vt:lpwstr>_Toc214911990</vt:lpwstr>
      </vt:variant>
      <vt:variant>
        <vt:i4>1441854</vt:i4>
      </vt:variant>
      <vt:variant>
        <vt:i4>80</vt:i4>
      </vt:variant>
      <vt:variant>
        <vt:i4>0</vt:i4>
      </vt:variant>
      <vt:variant>
        <vt:i4>5</vt:i4>
      </vt:variant>
      <vt:variant>
        <vt:lpwstr/>
      </vt:variant>
      <vt:variant>
        <vt:lpwstr>_Toc214911989</vt:lpwstr>
      </vt:variant>
      <vt:variant>
        <vt:i4>1441854</vt:i4>
      </vt:variant>
      <vt:variant>
        <vt:i4>74</vt:i4>
      </vt:variant>
      <vt:variant>
        <vt:i4>0</vt:i4>
      </vt:variant>
      <vt:variant>
        <vt:i4>5</vt:i4>
      </vt:variant>
      <vt:variant>
        <vt:lpwstr/>
      </vt:variant>
      <vt:variant>
        <vt:lpwstr>_Toc214911988</vt:lpwstr>
      </vt:variant>
      <vt:variant>
        <vt:i4>1441854</vt:i4>
      </vt:variant>
      <vt:variant>
        <vt:i4>68</vt:i4>
      </vt:variant>
      <vt:variant>
        <vt:i4>0</vt:i4>
      </vt:variant>
      <vt:variant>
        <vt:i4>5</vt:i4>
      </vt:variant>
      <vt:variant>
        <vt:lpwstr/>
      </vt:variant>
      <vt:variant>
        <vt:lpwstr>_Toc214911987</vt:lpwstr>
      </vt:variant>
      <vt:variant>
        <vt:i4>1441854</vt:i4>
      </vt:variant>
      <vt:variant>
        <vt:i4>62</vt:i4>
      </vt:variant>
      <vt:variant>
        <vt:i4>0</vt:i4>
      </vt:variant>
      <vt:variant>
        <vt:i4>5</vt:i4>
      </vt:variant>
      <vt:variant>
        <vt:lpwstr/>
      </vt:variant>
      <vt:variant>
        <vt:lpwstr>_Toc214911986</vt:lpwstr>
      </vt:variant>
      <vt:variant>
        <vt:i4>1441854</vt:i4>
      </vt:variant>
      <vt:variant>
        <vt:i4>56</vt:i4>
      </vt:variant>
      <vt:variant>
        <vt:i4>0</vt:i4>
      </vt:variant>
      <vt:variant>
        <vt:i4>5</vt:i4>
      </vt:variant>
      <vt:variant>
        <vt:lpwstr/>
      </vt:variant>
      <vt:variant>
        <vt:lpwstr>_Toc214911985</vt:lpwstr>
      </vt:variant>
      <vt:variant>
        <vt:i4>1441854</vt:i4>
      </vt:variant>
      <vt:variant>
        <vt:i4>50</vt:i4>
      </vt:variant>
      <vt:variant>
        <vt:i4>0</vt:i4>
      </vt:variant>
      <vt:variant>
        <vt:i4>5</vt:i4>
      </vt:variant>
      <vt:variant>
        <vt:lpwstr/>
      </vt:variant>
      <vt:variant>
        <vt:lpwstr>_Toc214911984</vt:lpwstr>
      </vt:variant>
      <vt:variant>
        <vt:i4>1441854</vt:i4>
      </vt:variant>
      <vt:variant>
        <vt:i4>44</vt:i4>
      </vt:variant>
      <vt:variant>
        <vt:i4>0</vt:i4>
      </vt:variant>
      <vt:variant>
        <vt:i4>5</vt:i4>
      </vt:variant>
      <vt:variant>
        <vt:lpwstr/>
      </vt:variant>
      <vt:variant>
        <vt:lpwstr>_Toc214911983</vt:lpwstr>
      </vt:variant>
      <vt:variant>
        <vt:i4>1441854</vt:i4>
      </vt:variant>
      <vt:variant>
        <vt:i4>38</vt:i4>
      </vt:variant>
      <vt:variant>
        <vt:i4>0</vt:i4>
      </vt:variant>
      <vt:variant>
        <vt:i4>5</vt:i4>
      </vt:variant>
      <vt:variant>
        <vt:lpwstr/>
      </vt:variant>
      <vt:variant>
        <vt:lpwstr>_Toc214911982</vt:lpwstr>
      </vt:variant>
      <vt:variant>
        <vt:i4>1441854</vt:i4>
      </vt:variant>
      <vt:variant>
        <vt:i4>32</vt:i4>
      </vt:variant>
      <vt:variant>
        <vt:i4>0</vt:i4>
      </vt:variant>
      <vt:variant>
        <vt:i4>5</vt:i4>
      </vt:variant>
      <vt:variant>
        <vt:lpwstr/>
      </vt:variant>
      <vt:variant>
        <vt:lpwstr>_Toc214911981</vt:lpwstr>
      </vt:variant>
      <vt:variant>
        <vt:i4>1441854</vt:i4>
      </vt:variant>
      <vt:variant>
        <vt:i4>26</vt:i4>
      </vt:variant>
      <vt:variant>
        <vt:i4>0</vt:i4>
      </vt:variant>
      <vt:variant>
        <vt:i4>5</vt:i4>
      </vt:variant>
      <vt:variant>
        <vt:lpwstr/>
      </vt:variant>
      <vt:variant>
        <vt:lpwstr>_Toc214911980</vt:lpwstr>
      </vt:variant>
      <vt:variant>
        <vt:i4>1638462</vt:i4>
      </vt:variant>
      <vt:variant>
        <vt:i4>20</vt:i4>
      </vt:variant>
      <vt:variant>
        <vt:i4>0</vt:i4>
      </vt:variant>
      <vt:variant>
        <vt:i4>5</vt:i4>
      </vt:variant>
      <vt:variant>
        <vt:lpwstr/>
      </vt:variant>
      <vt:variant>
        <vt:lpwstr>_Toc214911979</vt:lpwstr>
      </vt:variant>
      <vt:variant>
        <vt:i4>1638462</vt:i4>
      </vt:variant>
      <vt:variant>
        <vt:i4>14</vt:i4>
      </vt:variant>
      <vt:variant>
        <vt:i4>0</vt:i4>
      </vt:variant>
      <vt:variant>
        <vt:i4>5</vt:i4>
      </vt:variant>
      <vt:variant>
        <vt:lpwstr/>
      </vt:variant>
      <vt:variant>
        <vt:lpwstr>_Toc214911978</vt:lpwstr>
      </vt:variant>
      <vt:variant>
        <vt:i4>1638462</vt:i4>
      </vt:variant>
      <vt:variant>
        <vt:i4>8</vt:i4>
      </vt:variant>
      <vt:variant>
        <vt:i4>0</vt:i4>
      </vt:variant>
      <vt:variant>
        <vt:i4>5</vt:i4>
      </vt:variant>
      <vt:variant>
        <vt:lpwstr/>
      </vt:variant>
      <vt:variant>
        <vt:lpwstr>_Toc214911977</vt:lpwstr>
      </vt:variant>
      <vt:variant>
        <vt:i4>1638462</vt:i4>
      </vt:variant>
      <vt:variant>
        <vt:i4>2</vt:i4>
      </vt:variant>
      <vt:variant>
        <vt:i4>0</vt:i4>
      </vt:variant>
      <vt:variant>
        <vt:i4>5</vt:i4>
      </vt:variant>
      <vt:variant>
        <vt:lpwstr/>
      </vt:variant>
      <vt:variant>
        <vt:lpwstr>_Toc214911976</vt:lpwstr>
      </vt:variant>
      <vt:variant>
        <vt:i4>720971</vt:i4>
      </vt:variant>
      <vt:variant>
        <vt:i4>0</vt:i4>
      </vt:variant>
      <vt:variant>
        <vt:i4>0</vt:i4>
      </vt:variant>
      <vt:variant>
        <vt:i4>5</vt:i4>
      </vt:variant>
      <vt:variant>
        <vt:lpwstr>https://www.apsc.gov.au/publication/working-ministers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of the VPS Final Report</dc:title>
  <dc:subject/>
  <dc:creator/>
  <cp:keywords/>
  <dc:description/>
  <cp:lastModifiedBy/>
  <cp:revision>1</cp:revision>
  <dcterms:created xsi:type="dcterms:W3CDTF">2025-11-24T10:23:00Z</dcterms:created>
  <dcterms:modified xsi:type="dcterms:W3CDTF">2025-12-03T07:09:00Z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2025-11-24T10:24:04Z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73531357-6053-4fa6-9a1b-6a11876a54d7</vt:lpwstr>
  </property>
  <property fmtid="{D5CDD505-2E9C-101B-9397-08002B2CF9AE}" pid="8" name="MSIP_Label_bb4ee517-5ca4-4fff-98d2-ed4f906edd6d_ContentBits">
    <vt:lpwstr>0</vt:lpwstr>
  </property>
  <property fmtid="{D5CDD505-2E9C-101B-9397-08002B2CF9AE}" pid="9" name="MSIP_Label_bb4ee517-5ca4-4fff-98d2-ed4f906edd6d_Tag">
    <vt:lpwstr>10, 0, 1, 1</vt:lpwstr>
  </property>
  <property fmtid="{D5CDD505-2E9C-101B-9397-08002B2CF9AE}" pid="10" name="p6e19800e83a496a879097b691376fc2">
    <vt:lpwstr/>
  </property>
  <property fmtid="{D5CDD505-2E9C-101B-9397-08002B2CF9AE}" pid="11" name="MSIP_Label_eb7d4b36-b971-4c96-8a9c-a8448299e6ae_Tag">
    <vt:lpwstr>10, 0, 1, 1</vt:lpwstr>
  </property>
  <property fmtid="{D5CDD505-2E9C-101B-9397-08002B2CF9AE}" pid="12" name="Stage">
    <vt:lpwstr/>
  </property>
  <property fmtid="{D5CDD505-2E9C-101B-9397-08002B2CF9AE}" pid="13" name="m58b4a6f25884784bae88cbc64c2f746">
    <vt:lpwstr/>
  </property>
  <property fmtid="{D5CDD505-2E9C-101B-9397-08002B2CF9AE}" pid="14" name="Work Package">
    <vt:lpwstr/>
  </property>
  <property fmtid="{D5CDD505-2E9C-101B-9397-08002B2CF9AE}" pid="15" name="MSIP_Label_eb7d4b36-b971-4c96-8a9c-a8448299e6ae_Enabled">
    <vt:lpwstr>true</vt:lpwstr>
  </property>
  <property fmtid="{D5CDD505-2E9C-101B-9397-08002B2CF9AE}" pid="16" name="MediaServiceImageTags">
    <vt:lpwstr/>
  </property>
  <property fmtid="{D5CDD505-2E9C-101B-9397-08002B2CF9AE}" pid="17" name="ContentTypeId">
    <vt:lpwstr>0x010100A6B129536202A840A302400BC5968B14</vt:lpwstr>
  </property>
  <property fmtid="{D5CDD505-2E9C-101B-9397-08002B2CF9AE}" pid="18" name="SRLA_x0020_Location">
    <vt:lpwstr/>
  </property>
  <property fmtid="{D5CDD505-2E9C-101B-9397-08002B2CF9AE}" pid="19" name="Division_x0020__x002F__x0020_Bus_x0020_Unit">
    <vt:lpwstr/>
  </property>
  <property fmtid="{D5CDD505-2E9C-101B-9397-08002B2CF9AE}" pid="20" name="Work_x0020_Package">
    <vt:lpwstr/>
  </property>
  <property fmtid="{D5CDD505-2E9C-101B-9397-08002B2CF9AE}" pid="21" name="ob6bb44262fc4772ba0e1e097d2e9090">
    <vt:lpwstr/>
  </property>
  <property fmtid="{D5CDD505-2E9C-101B-9397-08002B2CF9AE}" pid="22" name="MSIP_Label_eb7d4b36-b971-4c96-8a9c-a8448299e6ae_SetDate">
    <vt:lpwstr>2025-10-12T20:44:03Z</vt:lpwstr>
  </property>
  <property fmtid="{D5CDD505-2E9C-101B-9397-08002B2CF9AE}" pid="23" name="Document_x0020_Status">
    <vt:lpwstr/>
  </property>
  <property fmtid="{D5CDD505-2E9C-101B-9397-08002B2CF9AE}" pid="24" name="f114608e9e1b4c758e93eca9cddd0769">
    <vt:lpwstr/>
  </property>
  <property fmtid="{D5CDD505-2E9C-101B-9397-08002B2CF9AE}" pid="25" name="ic9e53c67b4c4ed68f1c1d68eb4599fd">
    <vt:lpwstr/>
  </property>
  <property fmtid="{D5CDD505-2E9C-101B-9397-08002B2CF9AE}" pid="26" name="Document Status">
    <vt:lpwstr/>
  </property>
  <property fmtid="{D5CDD505-2E9C-101B-9397-08002B2CF9AE}" pid="27" name="Calendar_x0020_Year">
    <vt:lpwstr/>
  </property>
  <property fmtid="{D5CDD505-2E9C-101B-9397-08002B2CF9AE}" pid="28" name="g3460c53d97343e3883f2e4cc156db52">
    <vt:lpwstr/>
  </property>
  <property fmtid="{D5CDD505-2E9C-101B-9397-08002B2CF9AE}" pid="29" name="Document_x0020_type">
    <vt:lpwstr/>
  </property>
  <property fmtid="{D5CDD505-2E9C-101B-9397-08002B2CF9AE}" pid="30" name="Financial_x0020_Year">
    <vt:lpwstr/>
  </property>
  <property fmtid="{D5CDD505-2E9C-101B-9397-08002B2CF9AE}" pid="31" name="MSIP_Label_eb7d4b36-b971-4c96-8a9c-a8448299e6ae_Name">
    <vt:lpwstr>eb7d4b36-b971-4c96-8a9c-a8448299e6ae</vt:lpwstr>
  </property>
  <property fmtid="{D5CDD505-2E9C-101B-9397-08002B2CF9AE}" pid="32" name="ClassificationContentMarkingFooterShapeIds">
    <vt:lpwstr>351b331f,5c776fc9,56bbc287</vt:lpwstr>
  </property>
  <property fmtid="{D5CDD505-2E9C-101B-9397-08002B2CF9AE}" pid="33" name="Division / Bus Unit">
    <vt:lpwstr/>
  </property>
  <property fmtid="{D5CDD505-2E9C-101B-9397-08002B2CF9AE}" pid="34" name="ClassificationContentMarkingFooterFontProps">
    <vt:lpwstr>#e4100e,10,Arial Black</vt:lpwstr>
  </property>
  <property fmtid="{D5CDD505-2E9C-101B-9397-08002B2CF9AE}" pid="35" name="Month">
    <vt:lpwstr/>
  </property>
  <property fmtid="{D5CDD505-2E9C-101B-9397-08002B2CF9AE}" pid="36" name="Calendar Year">
    <vt:lpwstr/>
  </property>
  <property fmtid="{D5CDD505-2E9C-101B-9397-08002B2CF9AE}" pid="37" name="MSIP_Label_eb7d4b36-b971-4c96-8a9c-a8448299e6ae_SiteId">
    <vt:lpwstr>c0e0601f-0fac-449c-9c88-a104c4eb9f28</vt:lpwstr>
  </property>
  <property fmtid="{D5CDD505-2E9C-101B-9397-08002B2CF9AE}" pid="38" name="MSIP_Label_eb7d4b36-b971-4c96-8a9c-a8448299e6ae_Method">
    <vt:lpwstr>Privileged</vt:lpwstr>
  </property>
  <property fmtid="{D5CDD505-2E9C-101B-9397-08002B2CF9AE}" pid="39" name="p0b185c679294722855f29baff024f83">
    <vt:lpwstr/>
  </property>
  <property fmtid="{D5CDD505-2E9C-101B-9397-08002B2CF9AE}" pid="40" name="Financial Year">
    <vt:lpwstr/>
  </property>
  <property fmtid="{D5CDD505-2E9C-101B-9397-08002B2CF9AE}" pid="41" name="MSIP_Label_eb7d4b36-b971-4c96-8a9c-a8448299e6ae_ContentBits">
    <vt:lpwstr>2</vt:lpwstr>
  </property>
  <property fmtid="{D5CDD505-2E9C-101B-9397-08002B2CF9AE}" pid="42" name="h93c17b71aea4c1eb7bdd25dfc5967c0">
    <vt:lpwstr/>
  </property>
  <property fmtid="{D5CDD505-2E9C-101B-9397-08002B2CF9AE}" pid="43" name="SRLA Location">
    <vt:lpwstr/>
  </property>
  <property fmtid="{D5CDD505-2E9C-101B-9397-08002B2CF9AE}" pid="44" name="Document type">
    <vt:lpwstr/>
  </property>
  <property fmtid="{D5CDD505-2E9C-101B-9397-08002B2CF9AE}" pid="45" name="cbd05efb159d464ab26f546476fb6f21">
    <vt:lpwstr/>
  </property>
  <property fmtid="{D5CDD505-2E9C-101B-9397-08002B2CF9AE}" pid="46" name="fea7e95b0ef44b5c9bdc4439410252e8">
    <vt:lpwstr/>
  </property>
  <property fmtid="{D5CDD505-2E9C-101B-9397-08002B2CF9AE}" pid="47" name="Lifecycle Phases">
    <vt:lpwstr/>
  </property>
  <property fmtid="{D5CDD505-2E9C-101B-9397-08002B2CF9AE}" pid="48" name="MSIP_Label_eb7d4b36-b971-4c96-8a9c-a8448299e6ae_ActionId">
    <vt:lpwstr>2f979b7c-f878-4d60-9bcf-e2c50d7f80af</vt:lpwstr>
  </property>
  <property fmtid="{D5CDD505-2E9C-101B-9397-08002B2CF9AE}" pid="49" name="ClassificationContentMarkingFooterText">
    <vt:lpwstr>PROTECTED//Cabinet-In-Confidence </vt:lpwstr>
  </property>
  <property fmtid="{D5CDD505-2E9C-101B-9397-08002B2CF9AE}" pid="50" name="Lifecycle_x0020_Phases">
    <vt:lpwstr/>
  </property>
</Properties>
</file>