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3685CAFE" w:rsidR="0074696E" w:rsidRPr="00280C4B" w:rsidRDefault="0074696E" w:rsidP="00280C4B">
      <w:pPr>
        <w:pStyle w:val="Sectionbreakfirstpage"/>
      </w:pP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175F7">
          <w:headerReference w:type="default" r:id="rId11"/>
          <w:footerReference w:type="first" r:id="rId12"/>
          <w:pgSz w:w="11906" w:h="16838" w:code="9"/>
          <w:pgMar w:top="454" w:right="851" w:bottom="1418" w:left="851" w:header="680" w:footer="567" w:gutter="0"/>
          <w:cols w:space="708"/>
          <w:docGrid w:linePitch="360"/>
        </w:sectPr>
      </w:pPr>
    </w:p>
    <w:p w14:paraId="0C23B27A" w14:textId="77777777" w:rsidR="00161540" w:rsidRDefault="00161540" w:rsidP="00E33381">
      <w:pPr>
        <w:pStyle w:val="Heading1"/>
      </w:pPr>
      <w:r>
        <w:t xml:space="preserve">Template 3 – Payment guidelines </w:t>
      </w:r>
    </w:p>
    <w:p w14:paraId="67FC41ED" w14:textId="08C040A5" w:rsidR="005175F7" w:rsidRPr="008E6E6C" w:rsidRDefault="005175F7" w:rsidP="005175F7">
      <w:pPr>
        <w:pStyle w:val="Body"/>
      </w:pPr>
      <w:r>
        <w:t xml:space="preserve">This template is part of the </w:t>
      </w:r>
      <w:hyperlink r:id="rId13" w:history="1">
        <w:r w:rsidRPr="00EF1561">
          <w:rPr>
            <w:rStyle w:val="Hyperlink"/>
          </w:rPr>
          <w:t>Better practice guide for inclusive engagement</w:t>
        </w:r>
      </w:hyperlink>
      <w:r w:rsidR="00EF1561">
        <w:rPr>
          <w:rStyle w:val="FootnoteReference"/>
        </w:rPr>
        <w:footnoteReference w:id="1"/>
      </w:r>
      <w:r w:rsidR="008E6E6C" w:rsidRPr="008E6E6C">
        <w:t>.</w:t>
      </w:r>
    </w:p>
    <w:p w14:paraId="2F23C852" w14:textId="77777777" w:rsidR="006A23BF" w:rsidRDefault="006A23BF" w:rsidP="006A23BF">
      <w:pPr>
        <w:pStyle w:val="Heading2"/>
      </w:pPr>
      <w:bookmarkStart w:id="0" w:name="_Toc203393638"/>
      <w:bookmarkStart w:id="1" w:name="_Toc203466210"/>
      <w:bookmarkStart w:id="2" w:name="_Toc203561812"/>
      <w:r>
        <w:t>Instructions</w:t>
      </w:r>
      <w:bookmarkEnd w:id="0"/>
      <w:bookmarkEnd w:id="1"/>
      <w:bookmarkEnd w:id="2"/>
      <w:r>
        <w:t xml:space="preserve"> (this section can be deleted)</w:t>
      </w:r>
    </w:p>
    <w:p w14:paraId="6EB69583" w14:textId="77777777" w:rsidR="00413E89" w:rsidRDefault="00413E89" w:rsidP="00413E89">
      <w:pPr>
        <w:pStyle w:val="Body"/>
      </w:pPr>
      <w:r>
        <w:t xml:space="preserve">It is important to pay community members for their time. </w:t>
      </w:r>
    </w:p>
    <w:p w14:paraId="6D92B8F9" w14:textId="15B74011" w:rsidR="00413E89" w:rsidRDefault="00413E89" w:rsidP="00413E89">
      <w:pPr>
        <w:pStyle w:val="Body"/>
      </w:pPr>
      <w:r>
        <w:t xml:space="preserve">You can use </w:t>
      </w:r>
      <w:r w:rsidR="00C1305D">
        <w:t xml:space="preserve">this template </w:t>
      </w:r>
      <w:r>
        <w:t xml:space="preserve">as a guideline for payment. This guideline was informed by the </w:t>
      </w:r>
      <w:hyperlink r:id="rId14" w:history="1">
        <w:r w:rsidRPr="00FA3BA6">
          <w:rPr>
            <w:rStyle w:val="Hyperlink"/>
          </w:rPr>
          <w:t>Victorian Government’s Appointment and Remuneration Guidelines for a Group C board</w:t>
        </w:r>
      </w:hyperlink>
      <w:r>
        <w:rPr>
          <w:rStyle w:val="FootnoteReference"/>
        </w:rPr>
        <w:footnoteReference w:id="2"/>
      </w:r>
      <w:r>
        <w:t>.</w:t>
      </w:r>
    </w:p>
    <w:p w14:paraId="30CF285C" w14:textId="77777777" w:rsidR="00413E89" w:rsidRDefault="00413E89" w:rsidP="00413E89">
      <w:pPr>
        <w:pStyle w:val="Body"/>
      </w:pPr>
      <w:r>
        <w:t>When you share payment details, tell people:</w:t>
      </w:r>
    </w:p>
    <w:p w14:paraId="164C2DA9" w14:textId="77777777" w:rsidR="00413E89" w:rsidRDefault="00413E89" w:rsidP="00413E89">
      <w:pPr>
        <w:pStyle w:val="Bullet1"/>
      </w:pPr>
      <w:r>
        <w:t>how much they will be paid</w:t>
      </w:r>
    </w:p>
    <w:p w14:paraId="038076E1" w14:textId="77777777" w:rsidR="00413E89" w:rsidRDefault="00413E89" w:rsidP="00413E89">
      <w:pPr>
        <w:pStyle w:val="Bullet1"/>
      </w:pPr>
      <w:r>
        <w:t>when they can expect payment to be made</w:t>
      </w:r>
    </w:p>
    <w:p w14:paraId="725D37FA" w14:textId="77777777" w:rsidR="00413E89" w:rsidRDefault="00413E89" w:rsidP="00413E89">
      <w:pPr>
        <w:pStyle w:val="Bullet1"/>
      </w:pPr>
      <w:r>
        <w:t>the form of the payment (if it will be a direct payment or gift card)</w:t>
      </w:r>
    </w:p>
    <w:p w14:paraId="756ED7C5" w14:textId="77777777" w:rsidR="006A23BF" w:rsidRDefault="006A23BF" w:rsidP="006A23BF">
      <w:pPr>
        <w:pStyle w:val="Heading1"/>
      </w:pPr>
      <w:r>
        <w:t>Project 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2205"/>
      </w:tblGrid>
      <w:tr w:rsidR="00413E89" w14:paraId="7CD39699" w14:textId="77777777" w:rsidTr="006A23BF">
        <w:trPr>
          <w:tblHeader/>
        </w:trPr>
        <w:tc>
          <w:tcPr>
            <w:tcW w:w="1696" w:type="dxa"/>
            <w:shd w:val="clear" w:color="auto" w:fill="002060"/>
          </w:tcPr>
          <w:p w14:paraId="7D397265" w14:textId="77777777" w:rsidR="00413E89" w:rsidRPr="00F074B7" w:rsidRDefault="00413E89" w:rsidP="00987B00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Type of payment</w:t>
            </w:r>
          </w:p>
        </w:tc>
        <w:tc>
          <w:tcPr>
            <w:tcW w:w="5387" w:type="dxa"/>
            <w:shd w:val="clear" w:color="auto" w:fill="002060"/>
          </w:tcPr>
          <w:p w14:paraId="1FE68135" w14:textId="77777777" w:rsidR="00413E89" w:rsidRPr="00F074B7" w:rsidRDefault="00413E89" w:rsidP="00987B00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Activity</w:t>
            </w:r>
          </w:p>
        </w:tc>
        <w:tc>
          <w:tcPr>
            <w:tcW w:w="2205" w:type="dxa"/>
            <w:shd w:val="clear" w:color="auto" w:fill="002060"/>
          </w:tcPr>
          <w:p w14:paraId="68F7931C" w14:textId="77777777" w:rsidR="00413E89" w:rsidRDefault="00413E89" w:rsidP="00987B00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Payment</w:t>
            </w:r>
          </w:p>
        </w:tc>
      </w:tr>
      <w:tr w:rsidR="00413E89" w14:paraId="248E74F0" w14:textId="77777777" w:rsidTr="006A23BF">
        <w:tc>
          <w:tcPr>
            <w:tcW w:w="1696" w:type="dxa"/>
          </w:tcPr>
          <w:p w14:paraId="5C456E55" w14:textId="77777777" w:rsidR="00413E89" w:rsidRDefault="00413E89" w:rsidP="00987B00">
            <w:pPr>
              <w:pStyle w:val="Body"/>
            </w:pPr>
            <w:r>
              <w:t>Meeting rate</w:t>
            </w:r>
          </w:p>
        </w:tc>
        <w:tc>
          <w:tcPr>
            <w:tcW w:w="5387" w:type="dxa"/>
          </w:tcPr>
          <w:p w14:paraId="6EA68B5E" w14:textId="77777777" w:rsidR="00413E89" w:rsidRDefault="00413E89" w:rsidP="00987B00">
            <w:pPr>
              <w:pStyle w:val="Body"/>
            </w:pPr>
            <w:r>
              <w:t>Attend regular meetings</w:t>
            </w:r>
          </w:p>
        </w:tc>
        <w:tc>
          <w:tcPr>
            <w:tcW w:w="2205" w:type="dxa"/>
          </w:tcPr>
          <w:p w14:paraId="063D82D9" w14:textId="77777777" w:rsidR="00413E89" w:rsidRPr="008C130D" w:rsidRDefault="00413E89" w:rsidP="00987B00">
            <w:pPr>
              <w:pStyle w:val="Body"/>
              <w:rPr>
                <w:b/>
                <w:bCs/>
              </w:rPr>
            </w:pPr>
            <w:r>
              <w:rPr>
                <w:b/>
                <w:bCs/>
              </w:rPr>
              <w:t>General attendee:</w:t>
            </w:r>
          </w:p>
          <w:p w14:paraId="00D16F51" w14:textId="77777777" w:rsidR="00413E89" w:rsidRDefault="00413E89" w:rsidP="00987B00">
            <w:pPr>
              <w:pStyle w:val="Body"/>
            </w:pPr>
            <w:r>
              <w:t>Four hours or under: $254 total</w:t>
            </w:r>
          </w:p>
          <w:p w14:paraId="7DA8178A" w14:textId="77777777" w:rsidR="00413E89" w:rsidRDefault="00413E89" w:rsidP="00987B00">
            <w:pPr>
              <w:pStyle w:val="Body"/>
            </w:pPr>
            <w:r>
              <w:t>Over four hours: $339 daily rate</w:t>
            </w:r>
          </w:p>
          <w:p w14:paraId="349C1447" w14:textId="77777777" w:rsidR="00413E89" w:rsidRDefault="00413E89" w:rsidP="00987B00">
            <w:pPr>
              <w:pStyle w:val="Body"/>
            </w:pPr>
            <w:r w:rsidRPr="008C130D">
              <w:rPr>
                <w:b/>
                <w:bCs/>
              </w:rPr>
              <w:t>Chair of group or committee:</w:t>
            </w:r>
            <w:r>
              <w:t xml:space="preserve"> </w:t>
            </w:r>
          </w:p>
          <w:p w14:paraId="62C2B2A5" w14:textId="77777777" w:rsidR="00413E89" w:rsidRDefault="00413E89" w:rsidP="00987B00">
            <w:pPr>
              <w:pStyle w:val="Body"/>
            </w:pPr>
            <w:r>
              <w:t>Four hours or under: $371 total</w:t>
            </w:r>
          </w:p>
          <w:p w14:paraId="624C4F63" w14:textId="77777777" w:rsidR="00413E89" w:rsidRDefault="00413E89" w:rsidP="00987B00">
            <w:pPr>
              <w:pStyle w:val="Body"/>
            </w:pPr>
            <w:r>
              <w:t>Over four hours: $435 daily rate</w:t>
            </w:r>
          </w:p>
        </w:tc>
      </w:tr>
      <w:tr w:rsidR="00413E89" w14:paraId="0CF2ACCC" w14:textId="77777777" w:rsidTr="006A23BF">
        <w:tc>
          <w:tcPr>
            <w:tcW w:w="1696" w:type="dxa"/>
          </w:tcPr>
          <w:p w14:paraId="0828EB37" w14:textId="77777777" w:rsidR="00413E89" w:rsidRDefault="00413E89" w:rsidP="00987B00">
            <w:pPr>
              <w:pStyle w:val="Body"/>
            </w:pPr>
            <w:r>
              <w:t>Hourly rate</w:t>
            </w:r>
          </w:p>
        </w:tc>
        <w:tc>
          <w:tcPr>
            <w:tcW w:w="5387" w:type="dxa"/>
          </w:tcPr>
          <w:p w14:paraId="24D45029" w14:textId="77777777" w:rsidR="00413E89" w:rsidRDefault="00413E89" w:rsidP="00987B00">
            <w:pPr>
              <w:pStyle w:val="Bullet1"/>
            </w:pPr>
            <w:r>
              <w:t>Represent a lived experience or client voice perspective on an advisory group, working group, committee, consultation process or interview panel.</w:t>
            </w:r>
          </w:p>
          <w:p w14:paraId="0013EAB3" w14:textId="77777777" w:rsidR="00413E89" w:rsidRDefault="00413E89" w:rsidP="00987B00">
            <w:pPr>
              <w:pStyle w:val="Bullet1"/>
            </w:pPr>
            <w:r>
              <w:t xml:space="preserve">Capability building and awareness raising activities. </w:t>
            </w:r>
          </w:p>
          <w:p w14:paraId="171F722D" w14:textId="77777777" w:rsidR="00413E89" w:rsidRDefault="00413E89" w:rsidP="00987B00">
            <w:pPr>
              <w:pStyle w:val="Bullet1"/>
            </w:pPr>
            <w:r>
              <w:t xml:space="preserve">Media or public speaking engagement. </w:t>
            </w:r>
          </w:p>
          <w:p w14:paraId="2C6BF514" w14:textId="77777777" w:rsidR="00413E89" w:rsidRDefault="00413E89" w:rsidP="00987B00">
            <w:pPr>
              <w:pStyle w:val="Bullet1"/>
            </w:pPr>
            <w:r>
              <w:t>Storytelling to support communications, program development or delivery: interviews, writing, video development.</w:t>
            </w:r>
          </w:p>
          <w:p w14:paraId="44A5C166" w14:textId="77777777" w:rsidR="00413E89" w:rsidRDefault="00413E89" w:rsidP="00987B00">
            <w:pPr>
              <w:pStyle w:val="Bullet1"/>
            </w:pPr>
            <w:r>
              <w:lastRenderedPageBreak/>
              <w:t>Contribute to projects through workshops, focus groups, or reviewing documents.</w:t>
            </w:r>
          </w:p>
        </w:tc>
        <w:tc>
          <w:tcPr>
            <w:tcW w:w="2205" w:type="dxa"/>
          </w:tcPr>
          <w:p w14:paraId="25F9321C" w14:textId="77777777" w:rsidR="00413E89" w:rsidRDefault="00413E89" w:rsidP="00987B00">
            <w:pPr>
              <w:pStyle w:val="Body"/>
            </w:pPr>
            <w:r>
              <w:lastRenderedPageBreak/>
              <w:t>$64 per hour</w:t>
            </w:r>
          </w:p>
          <w:p w14:paraId="64041DA8" w14:textId="77777777" w:rsidR="00413E89" w:rsidRDefault="00413E89" w:rsidP="00987B00">
            <w:pPr>
              <w:pStyle w:val="Body"/>
            </w:pPr>
          </w:p>
        </w:tc>
      </w:tr>
      <w:tr w:rsidR="00413E89" w14:paraId="1C233931" w14:textId="77777777" w:rsidTr="006A23BF">
        <w:tc>
          <w:tcPr>
            <w:tcW w:w="1696" w:type="dxa"/>
          </w:tcPr>
          <w:p w14:paraId="54DBBDC3" w14:textId="77777777" w:rsidR="00413E89" w:rsidRDefault="00413E89" w:rsidP="00987B00">
            <w:pPr>
              <w:pStyle w:val="Body"/>
            </w:pPr>
            <w:r>
              <w:t xml:space="preserve">Ongoing consultancy </w:t>
            </w:r>
          </w:p>
        </w:tc>
        <w:tc>
          <w:tcPr>
            <w:tcW w:w="5387" w:type="dxa"/>
          </w:tcPr>
          <w:p w14:paraId="0D0BCFC3" w14:textId="77777777" w:rsidR="00413E89" w:rsidRPr="000C279B" w:rsidRDefault="00413E89" w:rsidP="00987B00">
            <w:pPr>
              <w:pStyle w:val="Body"/>
            </w:pPr>
            <w:r>
              <w:t xml:space="preserve">Working as a member of a team for an ongoing project. This could be fixed term, casual or ongoing. </w:t>
            </w:r>
          </w:p>
        </w:tc>
        <w:tc>
          <w:tcPr>
            <w:tcW w:w="2205" w:type="dxa"/>
          </w:tcPr>
          <w:p w14:paraId="192E313A" w14:textId="77777777" w:rsidR="00413E89" w:rsidRDefault="00413E89" w:rsidP="00987B00">
            <w:pPr>
              <w:pStyle w:val="Body"/>
            </w:pPr>
            <w:r>
              <w:t>As per negotiated consultancy fees</w:t>
            </w:r>
          </w:p>
        </w:tc>
      </w:tr>
    </w:tbl>
    <w:p w14:paraId="0E55CC58" w14:textId="77777777" w:rsidR="00413E89" w:rsidRDefault="00413E89" w:rsidP="00413E89">
      <w:pPr>
        <w:pStyle w:val="Bodyafterbullets"/>
      </w:pPr>
      <w:r>
        <w:t>While not mandatory, you may also consider paying people to:</w:t>
      </w:r>
    </w:p>
    <w:p w14:paraId="0C8D00A6" w14:textId="77777777" w:rsidR="00413E89" w:rsidRDefault="00413E89" w:rsidP="00413E89">
      <w:pPr>
        <w:pStyle w:val="Bullet1"/>
      </w:pPr>
      <w:r>
        <w:t>complete a survey</w:t>
      </w:r>
    </w:p>
    <w:p w14:paraId="185E8805" w14:textId="77777777" w:rsidR="00413E89" w:rsidRDefault="00413E89" w:rsidP="00413E89">
      <w:pPr>
        <w:pStyle w:val="Bullet1"/>
      </w:pPr>
      <w:r>
        <w:t>review documents or information</w:t>
      </w:r>
    </w:p>
    <w:p w14:paraId="7D94E5A1" w14:textId="77777777" w:rsidR="00413E89" w:rsidRDefault="00413E89" w:rsidP="00413E89">
      <w:pPr>
        <w:pStyle w:val="Bullet1"/>
      </w:pPr>
      <w:r>
        <w:t>attend a debrief about the project.</w:t>
      </w:r>
    </w:p>
    <w:p w14:paraId="543A4C12" w14:textId="77777777" w:rsidR="00413E89" w:rsidRDefault="00413E89" w:rsidP="00413E89">
      <w:pPr>
        <w:pStyle w:val="Heading2"/>
      </w:pPr>
      <w:bookmarkStart w:id="3" w:name="_Toc203393641"/>
      <w:bookmarkStart w:id="4" w:name="_Toc203466213"/>
      <w:bookmarkStart w:id="5" w:name="_Toc203561815"/>
      <w:r>
        <w:t>Other expenses</w:t>
      </w:r>
      <w:bookmarkEnd w:id="3"/>
      <w:bookmarkEnd w:id="4"/>
      <w:bookmarkEnd w:id="5"/>
    </w:p>
    <w:p w14:paraId="5B852EAC" w14:textId="77777777" w:rsidR="00413E89" w:rsidRPr="000C279B" w:rsidRDefault="00413E89" w:rsidP="00413E89">
      <w:pPr>
        <w:pStyle w:val="Heading2"/>
      </w:pPr>
      <w:r>
        <w:t>Transport</w:t>
      </w:r>
    </w:p>
    <w:p w14:paraId="1F5C580D" w14:textId="77777777" w:rsidR="00413E89" w:rsidRPr="00FB064C" w:rsidRDefault="00413E89" w:rsidP="00413E89">
      <w:pPr>
        <w:pStyle w:val="Body"/>
        <w:rPr>
          <w:rFonts w:eastAsiaTheme="minorHAnsi"/>
          <w:lang w:eastAsia="en-AU"/>
        </w:rPr>
      </w:pPr>
      <w:r>
        <w:t>Where a person with lived experience needs to travel for their engagement, you should provide reimbursement. You should consider:</w:t>
      </w:r>
    </w:p>
    <w:p w14:paraId="34AA9CDA" w14:textId="77777777" w:rsidR="00413E89" w:rsidRDefault="00413E89" w:rsidP="00413E89">
      <w:pPr>
        <w:pStyle w:val="Bullet1"/>
      </w:pPr>
      <w:r>
        <w:t>advising the most economical and direct route</w:t>
      </w:r>
    </w:p>
    <w:p w14:paraId="10501E88" w14:textId="77777777" w:rsidR="00413E89" w:rsidRDefault="00413E89" w:rsidP="00413E89">
      <w:pPr>
        <w:pStyle w:val="Bullet1"/>
      </w:pPr>
      <w:r>
        <w:t>public transport options</w:t>
      </w:r>
    </w:p>
    <w:p w14:paraId="6CAFF7E2" w14:textId="26758949" w:rsidR="00413E89" w:rsidRDefault="00413E89" w:rsidP="00413E89">
      <w:pPr>
        <w:pStyle w:val="Bullet1"/>
      </w:pPr>
      <w:r>
        <w:t xml:space="preserve">reimbursing mileage costs and car parking (calculated at </w:t>
      </w:r>
      <w:hyperlink r:id="rId15" w:history="1">
        <w:r w:rsidRPr="00082246">
          <w:rPr>
            <w:rStyle w:val="Hyperlink"/>
          </w:rPr>
          <w:t xml:space="preserve">ATO rates </w:t>
        </w:r>
        <w:hyperlink r:id="rId16" w:history="1">
          <w:r w:rsidRPr="00082246">
            <w:rPr>
              <w:rStyle w:val="Hyperlink"/>
            </w:rPr>
            <w:t>per</w:t>
          </w:r>
        </w:hyperlink>
        <w:r w:rsidRPr="00082246">
          <w:rPr>
            <w:rStyle w:val="Hyperlink"/>
          </w:rPr>
          <w:t xml:space="preserve"> kilometre</w:t>
        </w:r>
      </w:hyperlink>
      <w:r>
        <w:rPr>
          <w:rStyle w:val="FootnoteReference"/>
        </w:rPr>
        <w:footnoteReference w:id="3"/>
      </w:r>
      <w:r>
        <w:t>)</w:t>
      </w:r>
    </w:p>
    <w:p w14:paraId="35C586F3" w14:textId="77777777" w:rsidR="00413E89" w:rsidRDefault="00413E89" w:rsidP="00413E89">
      <w:pPr>
        <w:pStyle w:val="Bullet1"/>
      </w:pPr>
      <w:r>
        <w:t>cost of an Uber or taxi</w:t>
      </w:r>
    </w:p>
    <w:p w14:paraId="75D6D6D7" w14:textId="77777777" w:rsidR="00413E89" w:rsidRDefault="00413E89" w:rsidP="00413E89">
      <w:pPr>
        <w:pStyle w:val="Heading2"/>
      </w:pPr>
      <w:r>
        <w:t>Accommodation</w:t>
      </w:r>
    </w:p>
    <w:p w14:paraId="4DFCE9A5" w14:textId="77777777" w:rsidR="00413E89" w:rsidRDefault="00413E89" w:rsidP="00413E89">
      <w:pPr>
        <w:pStyle w:val="Body"/>
      </w:pPr>
      <w:r>
        <w:t xml:space="preserve">If someone does not live near the consultation, you should consider paying for accommodation. </w:t>
      </w:r>
    </w:p>
    <w:p w14:paraId="7A9C3C60" w14:textId="77777777" w:rsidR="00413E89" w:rsidRDefault="00413E89" w:rsidP="00413E89">
      <w:pPr>
        <w:pStyle w:val="Body"/>
      </w:pPr>
      <w:r>
        <w:t>This could be because of:</w:t>
      </w:r>
    </w:p>
    <w:p w14:paraId="56C51C1F" w14:textId="77777777" w:rsidR="00413E89" w:rsidRPr="00B16347" w:rsidRDefault="00413E89" w:rsidP="00413E89">
      <w:pPr>
        <w:pStyle w:val="Bullet1"/>
      </w:pPr>
      <w:r w:rsidRPr="00B16347">
        <w:t xml:space="preserve">an early start </w:t>
      </w:r>
    </w:p>
    <w:p w14:paraId="62D4A4CE" w14:textId="77777777" w:rsidR="00413E89" w:rsidRPr="00B16347" w:rsidRDefault="00413E89" w:rsidP="00413E89">
      <w:pPr>
        <w:pStyle w:val="Bullet1"/>
      </w:pPr>
      <w:r w:rsidRPr="00B16347">
        <w:t>a late finish</w:t>
      </w:r>
    </w:p>
    <w:p w14:paraId="12C360FC" w14:textId="77777777" w:rsidR="00413E89" w:rsidRPr="00B16347" w:rsidRDefault="00413E89" w:rsidP="00413E89">
      <w:pPr>
        <w:pStyle w:val="Bullet1"/>
      </w:pPr>
      <w:r w:rsidRPr="00B16347">
        <w:t>a multi-day consultation</w:t>
      </w:r>
    </w:p>
    <w:p w14:paraId="6C6C5778" w14:textId="77777777" w:rsidR="00413E89" w:rsidRPr="00B16347" w:rsidRDefault="00413E89" w:rsidP="00413E89">
      <w:pPr>
        <w:pStyle w:val="Bullet1"/>
      </w:pPr>
      <w:r w:rsidRPr="00B16347">
        <w:t>accessibility needs.</w:t>
      </w:r>
    </w:p>
    <w:p w14:paraId="13649214" w14:textId="77777777" w:rsidR="00413E89" w:rsidRDefault="00413E89" w:rsidP="00413E89">
      <w:pPr>
        <w:pStyle w:val="Heading2"/>
      </w:pPr>
      <w:r>
        <w:t>Meals</w:t>
      </w:r>
    </w:p>
    <w:p w14:paraId="2CE441ED" w14:textId="00E5BE39" w:rsidR="00413E89" w:rsidRDefault="00413E89" w:rsidP="1FD14936">
      <w:pPr>
        <w:pStyle w:val="Body"/>
        <w:spacing w:after="0" w:line="240" w:lineRule="auto"/>
      </w:pPr>
      <w:r>
        <w:t xml:space="preserve">If food is not already included in the consultation, you should consider reimbursement. </w:t>
      </w:r>
    </w:p>
    <w:p w14:paraId="6217CFE7" w14:textId="2AD0F9F0" w:rsidR="001C2AD3" w:rsidRDefault="001C2AD3">
      <w:pPr>
        <w:spacing w:after="0" w:line="240" w:lineRule="auto"/>
        <w:rPr>
          <w:rFonts w:eastAsia="Times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E33381" w14:paraId="184FCA48" w14:textId="77777777" w:rsidTr="1FD14936">
        <w:tc>
          <w:tcPr>
            <w:tcW w:w="10194" w:type="dxa"/>
          </w:tcPr>
          <w:p w14:paraId="4448CA10" w14:textId="77777777" w:rsidR="001C2AD3" w:rsidRPr="00C45201" w:rsidRDefault="001C2AD3" w:rsidP="001C2AD3">
            <w:pPr>
              <w:pStyle w:val="Accessibilitypara"/>
              <w:rPr>
                <w:color w:val="87189D"/>
              </w:rPr>
            </w:pPr>
            <w:bookmarkStart w:id="6" w:name="_Hlk37240926"/>
            <w:r w:rsidRPr="00E3298A">
              <w:lastRenderedPageBreak/>
              <w:t>To receive this document in another format,</w:t>
            </w:r>
            <w:r>
              <w:t xml:space="preserve"> email Stakeholder Engagement </w:t>
            </w:r>
            <w:hyperlink r:id="rId17" w:history="1">
              <w:r w:rsidRPr="00913E3F">
                <w:rPr>
                  <w:rStyle w:val="Hyperlink"/>
                  <w:szCs w:val="24"/>
                </w:rPr>
                <w:t>engagement@dffh.vic.gov.au</w:t>
              </w:r>
            </w:hyperlink>
          </w:p>
          <w:p w14:paraId="566D74DE" w14:textId="77777777" w:rsidR="001C2AD3" w:rsidRPr="00913E3F" w:rsidRDefault="001C2AD3" w:rsidP="001C2AD3">
            <w:pPr>
              <w:pStyle w:val="Imprint"/>
              <w:rPr>
                <w:sz w:val="24"/>
                <w:szCs w:val="24"/>
              </w:rPr>
            </w:pPr>
            <w:r w:rsidRPr="00913E3F">
              <w:rPr>
                <w:sz w:val="24"/>
                <w:szCs w:val="24"/>
              </w:rPr>
              <w:t>Authorised and published by the Victorian Government, 1 Treasury Place, Melbourne.</w:t>
            </w:r>
          </w:p>
          <w:p w14:paraId="0D77BE17" w14:textId="77777777" w:rsidR="001C2AD3" w:rsidRPr="003474D7" w:rsidRDefault="001C2AD3" w:rsidP="001C2AD3">
            <w:pPr>
              <w:pStyle w:val="Imprint"/>
              <w:rPr>
                <w:sz w:val="24"/>
                <w:szCs w:val="24"/>
              </w:rPr>
            </w:pPr>
            <w:r w:rsidRPr="003474D7">
              <w:rPr>
                <w:sz w:val="24"/>
                <w:szCs w:val="24"/>
              </w:rPr>
              <w:t>© State of Victoria, Australia, Department of Families, Fairness and Housing, November 2025.</w:t>
            </w:r>
          </w:p>
          <w:p w14:paraId="75780474" w14:textId="76E06612" w:rsidR="00E33381" w:rsidRPr="008E6E6C" w:rsidRDefault="008E6E6C" w:rsidP="001C2AD3">
            <w:pPr>
              <w:pStyle w:val="Imprint"/>
            </w:pPr>
            <w:r w:rsidRPr="00403CAE">
              <w:rPr>
                <w:sz w:val="24"/>
                <w:szCs w:val="32"/>
              </w:rPr>
              <w:t xml:space="preserve">Available at </w:t>
            </w:r>
            <w:hyperlink r:id="rId18" w:history="1">
              <w:r w:rsidRPr="00403CAE">
                <w:rPr>
                  <w:rStyle w:val="Hyperlink"/>
                  <w:sz w:val="24"/>
                  <w:szCs w:val="32"/>
                </w:rPr>
                <w:t>Better practice guide for inclusive engagement resources</w:t>
              </w:r>
            </w:hyperlink>
            <w:r w:rsidRPr="00403CAE">
              <w:rPr>
                <w:sz w:val="24"/>
                <w:szCs w:val="32"/>
              </w:rPr>
              <w:t xml:space="preserve"> </w:t>
            </w:r>
            <w:r>
              <w:rPr>
                <w:sz w:val="24"/>
                <w:szCs w:val="32"/>
              </w:rPr>
              <w:t>&lt;</w:t>
            </w:r>
            <w:r w:rsidRPr="008E6E6C">
              <w:rPr>
                <w:sz w:val="24"/>
                <w:szCs w:val="32"/>
              </w:rPr>
              <w:t>https://www.vic.gov.au/better-practice-guide-inclusive-engagement/resources</w:t>
            </w:r>
            <w:r>
              <w:rPr>
                <w:sz w:val="24"/>
                <w:szCs w:val="32"/>
              </w:rPr>
              <w:t>&gt;.</w:t>
            </w:r>
          </w:p>
        </w:tc>
      </w:tr>
      <w:bookmarkEnd w:id="6"/>
    </w:tbl>
    <w:p w14:paraId="312DEA78" w14:textId="77777777" w:rsidR="00162CA9" w:rsidRDefault="00162CA9" w:rsidP="00E33381">
      <w:pPr>
        <w:pStyle w:val="Body"/>
      </w:pPr>
    </w:p>
    <w:sectPr w:rsidR="00162CA9" w:rsidSect="00593A99">
      <w:headerReference w:type="default" r:id="rId19"/>
      <w:footerReference w:type="default" r:id="rId20"/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80A3" w14:textId="77777777" w:rsidR="00247490" w:rsidRDefault="00247490">
      <w:r>
        <w:separator/>
      </w:r>
    </w:p>
    <w:p w14:paraId="10D19B4D" w14:textId="77777777" w:rsidR="00247490" w:rsidRDefault="00247490"/>
  </w:endnote>
  <w:endnote w:type="continuationSeparator" w:id="0">
    <w:p w14:paraId="234F9CB9" w14:textId="77777777" w:rsidR="00247490" w:rsidRDefault="00247490">
      <w:r>
        <w:continuationSeparator/>
      </w:r>
    </w:p>
    <w:p w14:paraId="403C1875" w14:textId="77777777" w:rsidR="00247490" w:rsidRDefault="002474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Ebrima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6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273AB87A" w:rsidR="00593A99" w:rsidRPr="00F65AA9" w:rsidRDefault="00593A99" w:rsidP="00EF2C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444C6" w14:textId="77777777" w:rsidR="00247490" w:rsidRDefault="00247490" w:rsidP="00207717">
      <w:pPr>
        <w:spacing w:before="120"/>
      </w:pPr>
      <w:r>
        <w:separator/>
      </w:r>
    </w:p>
  </w:footnote>
  <w:footnote w:type="continuationSeparator" w:id="0">
    <w:p w14:paraId="6983DE7D" w14:textId="77777777" w:rsidR="00247490" w:rsidRDefault="00247490">
      <w:r>
        <w:continuationSeparator/>
      </w:r>
    </w:p>
    <w:p w14:paraId="02FB473E" w14:textId="77777777" w:rsidR="00247490" w:rsidRDefault="00247490"/>
  </w:footnote>
  <w:footnote w:id="1">
    <w:p w14:paraId="527CA061" w14:textId="3FF8C117" w:rsidR="00EF1561" w:rsidRPr="00EF1561" w:rsidRDefault="00EF15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F1561">
        <w:t>https://www.vic.gov.au/better-practice-guide-inclusive-engagement</w:t>
      </w:r>
    </w:p>
  </w:footnote>
  <w:footnote w:id="2">
    <w:p w14:paraId="574FD0CF" w14:textId="77777777" w:rsidR="00413E89" w:rsidRDefault="00413E89" w:rsidP="00413E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7E60">
        <w:t>https://www.vic.gov.au/guidelines-appointment-remuneration</w:t>
      </w:r>
    </w:p>
  </w:footnote>
  <w:footnote w:id="3">
    <w:p w14:paraId="2C0A7F00" w14:textId="77777777" w:rsidR="00413E89" w:rsidRDefault="00413E89" w:rsidP="00413E8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27E60">
        <w:t>https://www.ato.gov.au/businesses-and-organisations/income-deductions-and-concessions/income-and-deductions-for-business/deductions/deductions-for-motor-vehicle-expenses/cents-per-kilometre-method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E55E" w14:textId="77777777" w:rsidR="005175F7" w:rsidRDefault="005175F7" w:rsidP="005175F7">
    <w:pPr>
      <w:pStyle w:val="Header"/>
    </w:pPr>
    <w:r>
      <w:t>Template 3 – Payment guidelines</w:t>
    </w:r>
  </w:p>
  <w:p w14:paraId="1B212EDA" w14:textId="77777777" w:rsidR="005175F7" w:rsidRPr="0051568D" w:rsidRDefault="005175F7" w:rsidP="005175F7">
    <w:pPr>
      <w:pStyle w:val="Header"/>
    </w:pPr>
    <w:r>
      <w:t>Better practice guide for inclusive engagement</w:t>
    </w:r>
    <w:r>
      <w:ptab w:relativeTo="margin" w:alignment="right" w:leader="none"/>
    </w:r>
    <w:r w:rsidRPr="00DE6C85">
      <w:rPr>
        <w:b w:val="0"/>
        <w:bCs/>
      </w:rPr>
      <w:fldChar w:fldCharType="begin"/>
    </w:r>
    <w:r w:rsidRPr="00DE6C85">
      <w:rPr>
        <w:bCs/>
      </w:rPr>
      <w:instrText xml:space="preserve"> PAGE </w:instrText>
    </w:r>
    <w:r w:rsidRPr="00DE6C85">
      <w:rPr>
        <w:b w:val="0"/>
        <w:bCs/>
      </w:rPr>
      <w:fldChar w:fldCharType="separate"/>
    </w:r>
    <w:r>
      <w:rPr>
        <w:b w:val="0"/>
        <w:bCs/>
      </w:rPr>
      <w:t>2</w:t>
    </w:r>
    <w:r w:rsidRPr="00DE6C85">
      <w:rPr>
        <w:b w:val="0"/>
        <w:bCs/>
      </w:rPr>
      <w:fldChar w:fldCharType="end"/>
    </w:r>
  </w:p>
  <w:p w14:paraId="4A9775C6" w14:textId="77777777" w:rsidR="005175F7" w:rsidRDefault="00517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204F" w14:textId="77777777" w:rsidR="005175F7" w:rsidRDefault="005175F7" w:rsidP="0017674D">
    <w:pPr>
      <w:pStyle w:val="Header"/>
    </w:pPr>
    <w:r>
      <w:t>Template 3 – Payment guidelines</w:t>
    </w:r>
  </w:p>
  <w:p w14:paraId="01FD96D1" w14:textId="59D526D0" w:rsidR="00E261B3" w:rsidRPr="0051568D" w:rsidRDefault="005175F7" w:rsidP="0017674D">
    <w:pPr>
      <w:pStyle w:val="Header"/>
    </w:pPr>
    <w:r>
      <w:t>Better practice guide for inclusive engagement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63A515D"/>
    <w:multiLevelType w:val="hybridMultilevel"/>
    <w:tmpl w:val="0434832E"/>
    <w:lvl w:ilvl="0" w:tplc="A36263DE">
      <w:start w:val="1"/>
      <w:numFmt w:val="bullet"/>
      <w:lvlText w:val=""/>
      <w:lvlJc w:val="left"/>
      <w:pPr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2" w:tplc="FFFFFFFF">
      <w:start w:val="1"/>
      <w:numFmt w:val="decimal"/>
      <w:lvlRestart w:val="0"/>
      <w:lvlText w:val=""/>
      <w:lvlJc w:val="left"/>
      <w:pPr>
        <w:ind w:left="0" w:firstLine="0"/>
      </w:pPr>
    </w:lvl>
    <w:lvl w:ilvl="3" w:tplc="FFFFFFFF">
      <w:start w:val="1"/>
      <w:numFmt w:val="decimal"/>
      <w:lvlRestart w:val="0"/>
      <w:lvlText w:val=""/>
      <w:lvlJc w:val="left"/>
      <w:pPr>
        <w:ind w:left="0" w:firstLine="0"/>
      </w:pPr>
    </w:lvl>
    <w:lvl w:ilvl="4" w:tplc="FFFFFFFF">
      <w:start w:val="1"/>
      <w:numFmt w:val="decimal"/>
      <w:lvlRestart w:val="0"/>
      <w:lvlText w:val=""/>
      <w:lvlJc w:val="left"/>
      <w:pPr>
        <w:ind w:left="0" w:firstLine="0"/>
      </w:pPr>
    </w:lvl>
    <w:lvl w:ilvl="5" w:tplc="FFFFFFFF">
      <w:start w:val="1"/>
      <w:numFmt w:val="decimal"/>
      <w:lvlRestart w:val="0"/>
      <w:lvlText w:val=""/>
      <w:lvlJc w:val="left"/>
      <w:pPr>
        <w:ind w:left="0" w:firstLine="0"/>
      </w:pPr>
    </w:lvl>
    <w:lvl w:ilvl="6" w:tplc="FFFFFFFF">
      <w:start w:val="1"/>
      <w:numFmt w:val="decimal"/>
      <w:lvlRestart w:val="0"/>
      <w:lvlText w:val=""/>
      <w:lvlJc w:val="left"/>
      <w:pPr>
        <w:ind w:left="0" w:firstLine="0"/>
      </w:pPr>
    </w:lvl>
    <w:lvl w:ilvl="7" w:tplc="FFFFFFFF">
      <w:start w:val="1"/>
      <w:numFmt w:val="decimal"/>
      <w:lvlRestart w:val="0"/>
      <w:lvlText w:val=""/>
      <w:lvlJc w:val="left"/>
      <w:pPr>
        <w:ind w:left="0" w:firstLine="0"/>
      </w:pPr>
    </w:lvl>
    <w:lvl w:ilvl="8" w:tplc="FFFFFFFF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26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95D3630"/>
    <w:multiLevelType w:val="hybridMultilevel"/>
    <w:tmpl w:val="3816F7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6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7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76315117">
    <w:abstractNumId w:val="28"/>
  </w:num>
  <w:num w:numId="45" w16cid:durableId="28639711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47122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2246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4030"/>
    <w:rsid w:val="000B543D"/>
    <w:rsid w:val="000B55F9"/>
    <w:rsid w:val="000B5BF7"/>
    <w:rsid w:val="000B6BC8"/>
    <w:rsid w:val="000C0303"/>
    <w:rsid w:val="000C42EA"/>
    <w:rsid w:val="000C4546"/>
    <w:rsid w:val="000D024D"/>
    <w:rsid w:val="000D1242"/>
    <w:rsid w:val="000E0970"/>
    <w:rsid w:val="000E30D4"/>
    <w:rsid w:val="000E3CC7"/>
    <w:rsid w:val="000E6BD4"/>
    <w:rsid w:val="000E6D6D"/>
    <w:rsid w:val="000F1F1E"/>
    <w:rsid w:val="000F2259"/>
    <w:rsid w:val="000F2B46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4864"/>
    <w:rsid w:val="00156598"/>
    <w:rsid w:val="0016037B"/>
    <w:rsid w:val="00161540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2AD3"/>
    <w:rsid w:val="001C2C33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47490"/>
    <w:rsid w:val="002475B6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1BA7"/>
    <w:rsid w:val="00314054"/>
    <w:rsid w:val="00316F27"/>
    <w:rsid w:val="003214F1"/>
    <w:rsid w:val="00322E4B"/>
    <w:rsid w:val="003252EE"/>
    <w:rsid w:val="00327870"/>
    <w:rsid w:val="0033259D"/>
    <w:rsid w:val="003333D2"/>
    <w:rsid w:val="003359F2"/>
    <w:rsid w:val="00337339"/>
    <w:rsid w:val="003406C6"/>
    <w:rsid w:val="003418CC"/>
    <w:rsid w:val="003459BD"/>
    <w:rsid w:val="00350D38"/>
    <w:rsid w:val="00351405"/>
    <w:rsid w:val="00351B36"/>
    <w:rsid w:val="00354A65"/>
    <w:rsid w:val="00357B4E"/>
    <w:rsid w:val="00367518"/>
    <w:rsid w:val="003716FD"/>
    <w:rsid w:val="0037204B"/>
    <w:rsid w:val="003744CF"/>
    <w:rsid w:val="00374717"/>
    <w:rsid w:val="0037676C"/>
    <w:rsid w:val="00377A1A"/>
    <w:rsid w:val="00381043"/>
    <w:rsid w:val="003829E5"/>
    <w:rsid w:val="00385763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3E89"/>
    <w:rsid w:val="004148F9"/>
    <w:rsid w:val="0042084E"/>
    <w:rsid w:val="00421EEF"/>
    <w:rsid w:val="00424D65"/>
    <w:rsid w:val="00430393"/>
    <w:rsid w:val="00431806"/>
    <w:rsid w:val="004350F9"/>
    <w:rsid w:val="00437AC5"/>
    <w:rsid w:val="00437CBC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23EC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077D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15ECA"/>
    <w:rsid w:val="005175F7"/>
    <w:rsid w:val="00522DC2"/>
    <w:rsid w:val="00526AC7"/>
    <w:rsid w:val="00526C15"/>
    <w:rsid w:val="00536499"/>
    <w:rsid w:val="00541BC7"/>
    <w:rsid w:val="00542A03"/>
    <w:rsid w:val="00543903"/>
    <w:rsid w:val="00543F11"/>
    <w:rsid w:val="00546305"/>
    <w:rsid w:val="00547A95"/>
    <w:rsid w:val="0055119B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1C7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23BF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2A07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37EE1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2CDC"/>
    <w:rsid w:val="007B32E5"/>
    <w:rsid w:val="007B3DB9"/>
    <w:rsid w:val="007B589F"/>
    <w:rsid w:val="007B6186"/>
    <w:rsid w:val="007B73BC"/>
    <w:rsid w:val="007C1838"/>
    <w:rsid w:val="007C20B9"/>
    <w:rsid w:val="007C2874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0C24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5142"/>
    <w:rsid w:val="008474FE"/>
    <w:rsid w:val="0085232E"/>
    <w:rsid w:val="008536C5"/>
    <w:rsid w:val="00853EE4"/>
    <w:rsid w:val="00855535"/>
    <w:rsid w:val="008578F3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6E6C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111B2"/>
    <w:rsid w:val="00912207"/>
    <w:rsid w:val="009151F5"/>
    <w:rsid w:val="00924AE1"/>
    <w:rsid w:val="009257ED"/>
    <w:rsid w:val="009269B1"/>
    <w:rsid w:val="00927228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178F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5E6D"/>
    <w:rsid w:val="00AA63D4"/>
    <w:rsid w:val="00AB06E8"/>
    <w:rsid w:val="00AB1A4F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100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0CA4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86EE2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53A9"/>
    <w:rsid w:val="00C06137"/>
    <w:rsid w:val="00C06929"/>
    <w:rsid w:val="00C079B8"/>
    <w:rsid w:val="00C10037"/>
    <w:rsid w:val="00C123EA"/>
    <w:rsid w:val="00C12A49"/>
    <w:rsid w:val="00C1305D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0A28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539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1AC6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33381"/>
    <w:rsid w:val="00E34678"/>
    <w:rsid w:val="00E40181"/>
    <w:rsid w:val="00E54950"/>
    <w:rsid w:val="00E55FB3"/>
    <w:rsid w:val="00E56A01"/>
    <w:rsid w:val="00E629A1"/>
    <w:rsid w:val="00E6794C"/>
    <w:rsid w:val="00E71591"/>
    <w:rsid w:val="00E71CEB"/>
    <w:rsid w:val="00E73D73"/>
    <w:rsid w:val="00E7474F"/>
    <w:rsid w:val="00E77634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C059F"/>
    <w:rsid w:val="00EC1F24"/>
    <w:rsid w:val="00EC20FF"/>
    <w:rsid w:val="00EC22F6"/>
    <w:rsid w:val="00EC74D7"/>
    <w:rsid w:val="00ED0DE0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E65AA"/>
    <w:rsid w:val="00EF109B"/>
    <w:rsid w:val="00EF1561"/>
    <w:rsid w:val="00EF201C"/>
    <w:rsid w:val="00EF2C72"/>
    <w:rsid w:val="00EF36AF"/>
    <w:rsid w:val="00EF3884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03B9"/>
    <w:rsid w:val="00F72115"/>
    <w:rsid w:val="00F72C2C"/>
    <w:rsid w:val="00F741F2"/>
    <w:rsid w:val="00F76CAB"/>
    <w:rsid w:val="00F772C6"/>
    <w:rsid w:val="00F77F59"/>
    <w:rsid w:val="00F815B5"/>
    <w:rsid w:val="00F85195"/>
    <w:rsid w:val="00F868E3"/>
    <w:rsid w:val="00F91AD5"/>
    <w:rsid w:val="00F938BA"/>
    <w:rsid w:val="00F972B1"/>
    <w:rsid w:val="00F97919"/>
    <w:rsid w:val="00FA2C46"/>
    <w:rsid w:val="00FA3525"/>
    <w:rsid w:val="00FA3BA6"/>
    <w:rsid w:val="00FA4DF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0588"/>
    <w:rsid w:val="00FE2DCF"/>
    <w:rsid w:val="00FE3FA7"/>
    <w:rsid w:val="00FF2A4E"/>
    <w:rsid w:val="00FF2FCE"/>
    <w:rsid w:val="00FF4F7D"/>
    <w:rsid w:val="00FF6D9D"/>
    <w:rsid w:val="00FF7DD5"/>
    <w:rsid w:val="1FD14936"/>
    <w:rsid w:val="4F3B251C"/>
    <w:rsid w:val="4F8A9AFB"/>
    <w:rsid w:val="563A83C6"/>
    <w:rsid w:val="57698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link w:val="FooterChar"/>
    <w:uiPriority w:val="99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EF1561"/>
    <w:rPr>
      <w:rFonts w:ascii="Arial" w:hAnsi="Arial" w:cs="Arial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c.gov.au/better-practice-guide-inclusive-engagement" TargetMode="External"/><Relationship Id="rId18" Type="http://schemas.openxmlformats.org/officeDocument/2006/relationships/hyperlink" Target="https://www.vic.gov.au/better-practice-guide-inclusive-engagement/resourc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engagement@dff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to.gov.au/businesses-and-organisations/income-deductions-and-concessions/income-and-deductions-for-business/deductions/deductions-for-motor-vehicle-expenses/cents-per-kilometre-metho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ato.gov.au/businesses-and-organisations/income-deductions-and-concessions/income-and-deductions-for-business/deductions/deductions-for-motor-vehicle-expenses/cents-per-kilometre-method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vic.gov.au/guidelines-appointment-remuneratio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4239ced841baabae3de98ac4cf5f024c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689213ee4a1b6192de7fb9fe15060b9a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</ds:schemaRefs>
</ds:datastoreItem>
</file>

<file path=customXml/itemProps4.xml><?xml version="1.0" encoding="utf-8"?>
<ds:datastoreItem xmlns:ds="http://schemas.openxmlformats.org/officeDocument/2006/customXml" ds:itemID="{4EB852FE-FEE8-4929-9D3E-0844F6F81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505</Words>
  <Characters>2879</Characters>
  <Application>Microsoft Office Word</Application>
  <DocSecurity>2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Better practice guide for inclusive engagement - Template 3 - Payment guidelines</vt:lpstr>
    </vt:vector>
  </TitlesOfParts>
  <Company>Victoria State Government, Department of Families, Fairness and Housing</Company>
  <LinksUpToDate>false</LinksUpToDate>
  <CharactersWithSpaces>3378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practice guide for inclusive engagement - Template 3 - Payment guidelines</dc:title>
  <dc:subject>Better practice guide for inclusive engagement - Template 3 - Payment guidelines</dc:subject>
  <dc:creator>Public Engagement</dc:creator>
  <cp:keywords>Better practice guide, inclusive engagement, community engagement, accessibility</cp:keywords>
  <cp:lastPrinted>2021-01-29T05:27:00Z</cp:lastPrinted>
  <dcterms:created xsi:type="dcterms:W3CDTF">2025-09-03T05:25:00Z</dcterms:created>
  <dcterms:modified xsi:type="dcterms:W3CDTF">2025-12-02T00:45:00Z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  <property fmtid="{D5CDD505-2E9C-101B-9397-08002B2CF9AE}" pid="4" name="version">
    <vt:lpwstr>2025v1 01072025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2022-02-01T04:45:40Z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O365portals">
    <vt:lpwstr>https://dhhsvicgovau.sharepoint.com/:w:/s/dffh/Ed1G_4r4BHNHgqOGDkeMWhcB0Lm5z1k7mSu1dsrFHD18Fg?e=GtzvTT, DFFH A4 portrait factsheet Teal (O365)</vt:lpwstr>
  </property>
  <property fmtid="{D5CDD505-2E9C-101B-9397-08002B2CF9AE}" pid="13" name="xd_ProgID">
    <vt:lpwstr/>
  </property>
  <property fmtid="{D5CDD505-2E9C-101B-9397-08002B2CF9AE}" pid="14" name="Daysbeforethenextreview">
    <vt:r8>365</vt:r8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Format">
    <vt:lpwstr>Factsheet</vt:lpwstr>
  </property>
  <property fmtid="{D5CDD505-2E9C-101B-9397-08002B2CF9AE}" pid="18" name="Style">
    <vt:lpwstr>Visual style</vt:lpwstr>
  </property>
  <property fmtid="{D5CDD505-2E9C-101B-9397-08002B2CF9AE}" pid="19" name="TemplateVersion">
    <vt:i4>1</vt:i4>
  </property>
  <property fmtid="{D5CDD505-2E9C-101B-9397-08002B2CF9AE}" pid="20" name="Hyperlink Base">
    <vt:lpwstr>https://dhhsvicgovau.sharepoint.com/:w:/s/dffh/ERru7sG4VvdIqrUpHqYgLGkBTVDvDkt3EhVEUNuHeoMhgw</vt:lpwstr>
  </property>
  <property fmtid="{D5CDD505-2E9C-101B-9397-08002B2CF9AE}" pid="21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2" name="xd_Signature">
    <vt:bool>false</vt:bool>
  </property>
  <property fmtid="{D5CDD505-2E9C-101B-9397-08002B2CF9AE}" pid="23" name="GrammarlyDocumentId">
    <vt:lpwstr>a96ef3f9140c67fb1c37e25bbce71637528ada4686b3f059d6e1212ee154b03b</vt:lpwstr>
  </property>
  <property fmtid="{D5CDD505-2E9C-101B-9397-08002B2CF9AE}" pid="24" name="MediaServiceImageTags">
    <vt:lpwstr/>
  </property>
</Properties>
</file>