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79581893" w:rsidR="00056EC4" w:rsidRDefault="00A01FB1" w:rsidP="00E4339D">
      <w:pPr>
        <w:pStyle w:val="Body"/>
        <w:jc w:val="right"/>
      </w:pPr>
      <w:r>
        <w:rPr>
          <w:noProof/>
        </w:rPr>
        <w:drawing>
          <wp:anchor distT="0" distB="0" distL="114300" distR="114300" simplePos="0" relativeHeight="251658240" behindDoc="1" locked="1" layoutInCell="1" allowOverlap="1" wp14:anchorId="21966DC4" wp14:editId="6AB7335F">
            <wp:simplePos x="0" y="0"/>
            <wp:positionH relativeFrom="page">
              <wp:align>right</wp:align>
            </wp:positionH>
            <wp:positionV relativeFrom="page">
              <wp:align>top</wp:align>
            </wp:positionV>
            <wp:extent cx="7562850" cy="10185400"/>
            <wp:effectExtent l="0" t="0" r="0" b="6350"/>
            <wp:wrapNone/>
            <wp:docPr id="2" name="Picture 2" descr="Take the next step&#10;Do a job that matters&#10;&#10;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ke the next step&#10;Do a job that matters&#10;&#10;Victorian State Government"/>
                    <pic:cNvPicPr/>
                  </pic:nvPicPr>
                  <pic:blipFill rotWithShape="1">
                    <a:blip r:embed="rId11"/>
                    <a:srcRect b="4728"/>
                    <a:stretch/>
                  </pic:blipFill>
                  <pic:spPr bwMode="auto">
                    <a:xfrm>
                      <a:off x="0" y="0"/>
                      <a:ext cx="7562850" cy="1018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446487" w14:textId="77777777" w:rsidR="00C4796F" w:rsidRPr="00431F42" w:rsidRDefault="00C4796F" w:rsidP="00431F42">
      <w:pPr>
        <w:pStyle w:val="Documenttitle"/>
      </w:pPr>
      <w:r>
        <w:t>Community and Social Services Graduate Program</w:t>
      </w:r>
    </w:p>
    <w:p w14:paraId="4BD148BD" w14:textId="77777777" w:rsidR="00C4796F" w:rsidRDefault="00C4796F" w:rsidP="00C12B05">
      <w:pPr>
        <w:pStyle w:val="Documentsubtitle"/>
      </w:pPr>
      <w:r>
        <w:t>Professional Learning Framework</w:t>
      </w:r>
    </w:p>
    <w:p w14:paraId="36E04F41" w14:textId="43E8F544" w:rsidR="00C4796F" w:rsidRPr="00A1389F" w:rsidRDefault="00C4796F" w:rsidP="00C12B05">
      <w:pPr>
        <w:pStyle w:val="Documentsubtitle"/>
      </w:pPr>
      <w:r w:rsidRPr="00CA4073">
        <w:t xml:space="preserve">Version </w:t>
      </w:r>
      <w:r w:rsidR="00CA4073" w:rsidRPr="00CA4073">
        <w:t>February</w:t>
      </w:r>
      <w:r w:rsidRPr="00CA4073">
        <w:t xml:space="preserve"> 202</w:t>
      </w:r>
      <w:r w:rsidR="00130401" w:rsidRPr="00CA4073">
        <w:t>6</w:t>
      </w:r>
    </w:p>
    <w:p w14:paraId="564D4D39" w14:textId="77777777" w:rsidR="00C4796F" w:rsidRDefault="00C4796F" w:rsidP="00430393">
      <w:pPr>
        <w:pStyle w:val="Bannermarking"/>
      </w:pPr>
      <w:fldSimple w:instr="FILLIN  &quot;Type the protective marking&quot; \d OFFICIAL \o  \* MERGEFORMAT">
        <w:r>
          <w:t>OFFICIAL</w:t>
        </w:r>
      </w:fldSimple>
    </w:p>
    <w:p w14:paraId="0F126512" w14:textId="77777777" w:rsidR="00FE4081" w:rsidRDefault="000C3FC9" w:rsidP="00EF27C3">
      <w:pPr>
        <w:pStyle w:val="Body"/>
        <w:spacing w:before="7000"/>
      </w:pPr>
      <w:r>
        <w:rPr>
          <w:noProof/>
        </w:rPr>
        <w:drawing>
          <wp:inline distT="0" distB="0" distL="0" distR="0" wp14:anchorId="7F4EB4AC" wp14:editId="097627EB">
            <wp:extent cx="1162050" cy="1162050"/>
            <wp:effectExtent l="0" t="0" r="0" b="0"/>
            <wp:docPr id="1718385525" name="Picture 8" descr="Deaki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85525" name="Picture 8" descr="Deakin Universit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3B4B7FED" w14:textId="68D2F004" w:rsidR="00577F1C" w:rsidRPr="00FE4081" w:rsidRDefault="00577F1C" w:rsidP="000C3FC9">
      <w:pPr>
        <w:pStyle w:val="Body"/>
        <w:spacing w:before="6000"/>
        <w:sectPr w:rsidR="00577F1C" w:rsidRPr="00FE4081" w:rsidSect="00F15144">
          <w:headerReference w:type="default" r:id="rId13"/>
          <w:footerReference w:type="even" r:id="rId14"/>
          <w:footerReference w:type="default" r:id="rId15"/>
          <w:footerReference w:type="first" r:id="rId16"/>
          <w:type w:val="continuous"/>
          <w:pgSz w:w="11906" w:h="16838" w:code="9"/>
          <w:pgMar w:top="3969" w:right="1304" w:bottom="851" w:left="1304" w:header="680" w:footer="567" w:gutter="0"/>
          <w:cols w:space="340"/>
          <w:titlePg/>
          <w:docGrid w:linePitch="360"/>
        </w:sectPr>
      </w:pPr>
    </w:p>
    <w:p w14:paraId="6EFB0FE8" w14:textId="29884EDD" w:rsidR="005158BE" w:rsidRPr="00783B90" w:rsidRDefault="005158BE" w:rsidP="005158BE">
      <w:pPr>
        <w:pStyle w:val="Accessibilitypara"/>
      </w:pPr>
      <w:r w:rsidRPr="00783B90">
        <w:lastRenderedPageBreak/>
        <w:t>Contact us to receive this document in another format. Please phone</w:t>
      </w:r>
      <w:r w:rsidR="00DE1294">
        <w:t xml:space="preserve"> +61 3 9500 </w:t>
      </w:r>
      <w:r w:rsidR="00A211F6">
        <w:t>4957</w:t>
      </w:r>
      <w:r w:rsidR="00A211F6">
        <w:rPr>
          <w:color w:val="87189D"/>
        </w:rPr>
        <w:t xml:space="preserve"> </w:t>
      </w:r>
      <w:r w:rsidRPr="00783B90">
        <w:t>or email</w:t>
      </w:r>
      <w:r w:rsidR="00A211F6">
        <w:t xml:space="preserve"> </w:t>
      </w:r>
      <w:hyperlink r:id="rId17" w:history="1">
        <w:r w:rsidR="00A211F6" w:rsidRPr="009D6E1A">
          <w:rPr>
            <w:rStyle w:val="Hyperlink"/>
          </w:rPr>
          <w:t>CASSgraduateprogram@dffh.vic.gov.au</w:t>
        </w:r>
      </w:hyperlink>
      <w:r w:rsidR="00A211F6">
        <w:t xml:space="preserve"> </w:t>
      </w:r>
    </w:p>
    <w:p w14:paraId="309E2C52" w14:textId="416CEDDB" w:rsidR="005158BE" w:rsidRPr="00783B90" w:rsidRDefault="005158BE" w:rsidP="005158BE">
      <w:pPr>
        <w:pStyle w:val="Accessibilitypara"/>
      </w:pPr>
      <w:r w:rsidRPr="00783B90">
        <w:rPr>
          <w:b/>
          <w:bCs/>
        </w:rPr>
        <w:t>If you are d/Deaf, hard of hearing, or have a speech/communication difficulty</w:t>
      </w:r>
      <w:r w:rsidRPr="00783B90">
        <w:t xml:space="preserve"> please contact us through your preferred </w:t>
      </w:r>
      <w:hyperlink r:id="rId18" w:history="1">
        <w:r w:rsidRPr="00783B90">
          <w:rPr>
            <w:rStyle w:val="Hyperlink"/>
            <w:szCs w:val="24"/>
          </w:rPr>
          <w:t>National Relay Service (NRS) call channel</w:t>
        </w:r>
      </w:hyperlink>
      <w:r>
        <w:rPr>
          <w:rStyle w:val="FootnoteReference"/>
        </w:rPr>
        <w:footnoteReference w:id="2"/>
      </w:r>
      <w:r w:rsidRPr="00783B90">
        <w:t xml:space="preserve"> Then, provide the NRS with our phone number </w:t>
      </w:r>
      <w:r w:rsidRPr="00D434DA">
        <w:t>[</w:t>
      </w:r>
      <w:r w:rsidR="00D434DA" w:rsidRPr="00D434DA">
        <w:t>61 3 9500 4957</w:t>
      </w:r>
      <w:r w:rsidRPr="00D434DA">
        <w:t>].</w:t>
      </w:r>
      <w:r w:rsidRPr="00783B90">
        <w:t xml:space="preserve"> For more information, visit </w:t>
      </w:r>
      <w:hyperlink r:id="rId19" w:history="1">
        <w:r w:rsidRPr="00783B90">
          <w:rPr>
            <w:rStyle w:val="Hyperlink"/>
            <w:szCs w:val="24"/>
          </w:rPr>
          <w:t>About the National Relay Service</w:t>
        </w:r>
      </w:hyperlink>
      <w:r>
        <w:rPr>
          <w:rStyle w:val="FootnoteReference"/>
        </w:rPr>
        <w:footnoteReference w:id="3"/>
      </w:r>
    </w:p>
    <w:p w14:paraId="3F171523" w14:textId="77777777" w:rsidR="005158BE" w:rsidRPr="00276479" w:rsidRDefault="005158BE" w:rsidP="005158BE">
      <w:pPr>
        <w:pStyle w:val="Imprint"/>
      </w:pPr>
      <w:r w:rsidRPr="00276479">
        <w:t>Authorised and published by the Victorian Government, 1 Treasury Place, Melbourne.</w:t>
      </w:r>
    </w:p>
    <w:p w14:paraId="7392C743" w14:textId="7B1561FC" w:rsidR="005158BE" w:rsidRPr="00276479" w:rsidRDefault="005158BE" w:rsidP="005158BE">
      <w:pPr>
        <w:pStyle w:val="Imprint"/>
      </w:pPr>
      <w:r w:rsidRPr="00276479">
        <w:t xml:space="preserve">© State of Victoria, Australia, Department of Families, Fairness and Housing, </w:t>
      </w:r>
      <w:r w:rsidR="00C82DF4" w:rsidRPr="00C82DF4">
        <w:t xml:space="preserve">February </w:t>
      </w:r>
      <w:r w:rsidR="00887361" w:rsidRPr="00C82DF4">
        <w:t>2026</w:t>
      </w:r>
    </w:p>
    <w:p w14:paraId="6C210CF5" w14:textId="77777777" w:rsidR="00887361" w:rsidRPr="00276479" w:rsidRDefault="00887361" w:rsidP="005158BE">
      <w:pPr>
        <w:pStyle w:val="Imprint"/>
      </w:pPr>
    </w:p>
    <w:p w14:paraId="60F35697" w14:textId="77777777" w:rsidR="005158BE" w:rsidRPr="00276479" w:rsidRDefault="005158BE" w:rsidP="005158BE">
      <w:pPr>
        <w:pStyle w:val="Imprint"/>
      </w:pPr>
      <w:r w:rsidRPr="00276479">
        <w:rPr>
          <w:noProof/>
          <w:sz w:val="16"/>
          <w:szCs w:val="16"/>
          <w:lang w:eastAsia="zh-CN"/>
        </w:rPr>
        <w:drawing>
          <wp:inline distT="0" distB="0" distL="0" distR="0" wp14:anchorId="60491FAA" wp14:editId="7050B756">
            <wp:extent cx="1222375" cy="422275"/>
            <wp:effectExtent l="0" t="0" r="0" b="0"/>
            <wp:docPr id="3" name="Picture 4" descr="Description: CC (Creative commons)_b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724DC56E" w14:textId="366B20E1" w:rsidR="005158BE" w:rsidRPr="00276479" w:rsidRDefault="005158BE" w:rsidP="005158BE">
      <w:pPr>
        <w:pStyle w:val="Imprint"/>
      </w:pPr>
      <w:proofErr w:type="gramStart"/>
      <w:r w:rsidRPr="00276479">
        <w:t>With the exception of</w:t>
      </w:r>
      <w:proofErr w:type="gramEnd"/>
      <w:r w:rsidRPr="00276479">
        <w:t xml:space="preserve"> any images, photographs or branding (including, but not limited to the Victorian Coat of Arms, the Victorian Government logo or the Department of Families, Fairness and Housing logo), this work</w:t>
      </w:r>
      <w:r w:rsidRPr="00B4758F">
        <w:t xml:space="preserve">, </w:t>
      </w:r>
      <w:r w:rsidR="00B4758F" w:rsidRPr="00B4758F">
        <w:t>Community and Social Services Graduate Program Professional Learning Framework</w:t>
      </w:r>
      <w:r w:rsidRPr="00276479">
        <w:t>, is licensed under a Creative Commons Attribution 4.0 licence.</w:t>
      </w:r>
    </w:p>
    <w:p w14:paraId="2C9C005A" w14:textId="77777777" w:rsidR="005158BE" w:rsidRPr="00276479" w:rsidRDefault="005158BE" w:rsidP="005158BE">
      <w:pPr>
        <w:pStyle w:val="Imprint"/>
      </w:pPr>
      <w:r w:rsidRPr="00276479">
        <w:t xml:space="preserve">The terms and conditions of this licence, including disclaimer of warranties and limitation of liability are available at </w:t>
      </w:r>
      <w:hyperlink r:id="rId22" w:history="1">
        <w:r w:rsidRPr="00276479">
          <w:rPr>
            <w:rStyle w:val="Hyperlink"/>
          </w:rPr>
          <w:t xml:space="preserve">Creative Commons Attribution 4.0 International Public License </w:t>
        </w:r>
      </w:hyperlink>
      <w:r w:rsidRPr="00276479">
        <w:t>https://creativecommons.org/licenses/by/4.0/.</w:t>
      </w:r>
    </w:p>
    <w:p w14:paraId="77C64C0B" w14:textId="77777777" w:rsidR="005158BE" w:rsidRPr="00276479" w:rsidRDefault="005158BE" w:rsidP="005158BE">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3D26BAE6" w14:textId="77777777" w:rsidR="005158BE" w:rsidRPr="00B86808" w:rsidRDefault="005158BE" w:rsidP="005158BE">
      <w:pPr>
        <w:pStyle w:val="Imprint"/>
      </w:pPr>
      <w:r w:rsidRPr="00B86808">
        <w:t>In this document, ‘Aboriginal’ refers to both Aboriginal and Torres Strait Islander people. ‘Indigenous’ or ‘Koori/Koorie’ is retained when part of the title of a report, program or quotation.</w:t>
      </w:r>
    </w:p>
    <w:p w14:paraId="7A07C06B" w14:textId="2D67CD02" w:rsidR="007A402E" w:rsidRDefault="009250B5">
      <w:pPr>
        <w:spacing w:after="0" w:line="240" w:lineRule="auto"/>
        <w:rPr>
          <w:color w:val="201547"/>
          <w:sz w:val="32"/>
          <w:szCs w:val="24"/>
        </w:rPr>
      </w:pPr>
      <w:r w:rsidRPr="009250B5">
        <w:rPr>
          <w:rFonts w:eastAsia="Times"/>
          <w:sz w:val="20"/>
        </w:rPr>
        <w:t>ISBN</w:t>
      </w:r>
      <w:r w:rsidRPr="009250B5">
        <w:rPr>
          <w:rFonts w:eastAsia="Times"/>
          <w:b/>
          <w:bCs/>
          <w:sz w:val="20"/>
        </w:rPr>
        <w:t xml:space="preserve"> </w:t>
      </w:r>
      <w:r w:rsidRPr="009250B5">
        <w:rPr>
          <w:rFonts w:eastAsia="Times"/>
          <w:sz w:val="20"/>
        </w:rPr>
        <w:t xml:space="preserve">978-1-76130-971-7 </w:t>
      </w:r>
      <w:r w:rsidR="007A402E">
        <w:br w:type="page"/>
      </w:r>
    </w:p>
    <w:sdt>
      <w:sdtPr>
        <w:rPr>
          <w:color w:val="auto"/>
          <w:sz w:val="21"/>
          <w:szCs w:val="20"/>
        </w:rPr>
        <w:id w:val="-610825486"/>
        <w:docPartObj>
          <w:docPartGallery w:val="Cover Pages"/>
          <w:docPartUnique/>
        </w:docPartObj>
      </w:sdtPr>
      <w:sdtEndPr>
        <w:rPr>
          <w:rFonts w:ascii="Aptos" w:eastAsia="Aptos" w:hAnsi="Aptos" w:cs="Aptos"/>
          <w:sz w:val="24"/>
          <w:szCs w:val="24"/>
        </w:rPr>
      </w:sdtEndPr>
      <w:sdtContent>
        <w:p w14:paraId="6D33070D" w14:textId="77777777" w:rsidR="00944430" w:rsidRDefault="00944430" w:rsidP="00944430">
          <w:pPr>
            <w:pStyle w:val="Documentsubtitle"/>
          </w:pPr>
          <w:r>
            <w:t>Acknowledgements</w:t>
          </w:r>
        </w:p>
        <w:p w14:paraId="59A281E5" w14:textId="77777777" w:rsidR="00944430" w:rsidRDefault="00944430" w:rsidP="00944430">
          <w:pPr>
            <w:pStyle w:val="Body"/>
          </w:pPr>
          <w:r>
            <w:t xml:space="preserve">The Professional Learning Framework for the Community and Social Services Graduate Program was developed by </w:t>
          </w:r>
          <w:r w:rsidRPr="00623AB5">
            <w:t>Sevi Vassos, Aimee Knights, Beth Crisp, Priscilla Dunk-West and Michelle Hunt</w:t>
          </w:r>
          <w:r>
            <w:t xml:space="preserve"> from Deakin University for the Department of Families, Fairness and Housing (DFFH). Deakin University and DFFH would like to acknowledge the input and collaboration of the Victorian</w:t>
          </w:r>
          <w:r w:rsidRPr="00623AB5">
            <w:t xml:space="preserve"> community and social services sector</w:t>
          </w:r>
          <w:r>
            <w:t xml:space="preserve"> and Aboriginal Community Controlled Organisations in developing the Framework.</w:t>
          </w:r>
        </w:p>
        <w:p w14:paraId="1DDE73FA" w14:textId="59D1F025" w:rsidR="00944430" w:rsidRPr="00176591" w:rsidRDefault="00944430" w:rsidP="00944430">
          <w:pPr>
            <w:pStyle w:val="Body"/>
          </w:pPr>
          <w:r w:rsidRPr="00176591">
            <w:t xml:space="preserve">The Department of Families, Fairness and Housing acknowledges Aboriginal people as the First Peoples and Traditional Owners and Custodians of the land and water on which we rely. We acknowledge and respect that </w:t>
          </w:r>
          <w:r>
            <w:t>First Nations</w:t>
          </w:r>
          <w:r w:rsidRPr="00176591">
            <w:t xml:space="preserve"> are steeped in traditions and customs built on a disciplined social and cultural order that has sustained 60,000 years of existence. We acknowledge the significant disruptions to social and cultural order and the ongoing hurt caused by colonisation.</w:t>
          </w:r>
        </w:p>
        <w:p w14:paraId="2763ED6F" w14:textId="610D0E7C" w:rsidR="00945C45" w:rsidRDefault="001F05C3" w:rsidP="00ED197E">
          <w:pPr>
            <w:pStyle w:val="Body"/>
          </w:pPr>
          <w:r>
            <w:t xml:space="preserve">The </w:t>
          </w:r>
          <w:r w:rsidRPr="00176591">
            <w:t>Department of Families, Fairness and Housing</w:t>
          </w:r>
          <w:r w:rsidR="00944430" w:rsidRPr="00176591">
            <w:t xml:space="preserve"> acknowledge</w:t>
          </w:r>
          <w:r w:rsidR="00944430">
            <w:t>s</w:t>
          </w:r>
          <w:r w:rsidR="00944430" w:rsidRPr="00176591">
            <w:t xml:space="preserve"> the </w:t>
          </w:r>
          <w:r w:rsidR="00944430">
            <w:t xml:space="preserve">critical and </w:t>
          </w:r>
          <w:r w:rsidR="00944430" w:rsidRPr="00176591">
            <w:t xml:space="preserve">ongoing leadership role of </w:t>
          </w:r>
          <w:r w:rsidR="00DB01FD">
            <w:t xml:space="preserve">Aboriginal </w:t>
          </w:r>
          <w:r w:rsidR="00461672">
            <w:t>people</w:t>
          </w:r>
          <w:r w:rsidR="00944430">
            <w:t>,</w:t>
          </w:r>
          <w:r w:rsidR="00944430" w:rsidRPr="00176591">
            <w:t xml:space="preserve"> communities, </w:t>
          </w:r>
          <w:r w:rsidR="00944430">
            <w:t>Aboriginal Community Controlled Organisations and their workforces in determining and delivering essential community and social services to</w:t>
          </w:r>
          <w:r w:rsidR="002A0126">
            <w:t xml:space="preserve"> </w:t>
          </w:r>
          <w:r w:rsidR="00EA5975">
            <w:t>Aboriginal</w:t>
          </w:r>
          <w:r w:rsidR="00D40680">
            <w:t xml:space="preserve"> People</w:t>
          </w:r>
          <w:r w:rsidR="00944430">
            <w:t>.</w:t>
          </w:r>
        </w:p>
        <w:p w14:paraId="72B1C627" w14:textId="77777777" w:rsidR="00945C45" w:rsidRDefault="00945C45" w:rsidP="00945C45">
          <w:pPr>
            <w:rPr>
              <w:rFonts w:ascii="Aptos" w:eastAsia="Aptos" w:hAnsi="Aptos" w:cs="Aptos"/>
              <w:sz w:val="24"/>
              <w:szCs w:val="24"/>
            </w:rPr>
          </w:pPr>
          <w:r>
            <w:rPr>
              <w:rFonts w:ascii="Aptos" w:eastAsia="Aptos" w:hAnsi="Aptos" w:cs="Aptos"/>
              <w:sz w:val="24"/>
              <w:szCs w:val="24"/>
            </w:rPr>
            <w:br w:type="page"/>
          </w:r>
        </w:p>
      </w:sdtContent>
    </w:sdt>
    <w:sdt>
      <w:sdtPr>
        <w:rPr>
          <w:rFonts w:asciiTheme="minorHAnsi" w:eastAsiaTheme="minorEastAsia" w:hAnsiTheme="minorHAnsi" w:cstheme="minorBidi"/>
          <w:bCs w:val="0"/>
          <w:color w:val="auto"/>
          <w:kern w:val="2"/>
          <w:sz w:val="22"/>
          <w:szCs w:val="22"/>
          <w:lang w:eastAsia="en-AU"/>
          <w14:ligatures w14:val="standardContextual"/>
        </w:rPr>
        <w:id w:val="-346329972"/>
        <w:docPartObj>
          <w:docPartGallery w:val="Table of Contents"/>
          <w:docPartUnique/>
        </w:docPartObj>
      </w:sdtPr>
      <w:sdtEndPr>
        <w:rPr>
          <w:noProof/>
          <w:kern w:val="0"/>
          <w:sz w:val="21"/>
          <w:szCs w:val="21"/>
          <w:lang w:eastAsia="en-US"/>
          <w14:ligatures w14:val="none"/>
        </w:rPr>
      </w:sdtEndPr>
      <w:sdtContent>
        <w:p w14:paraId="5641D63F" w14:textId="77777777" w:rsidR="00C21F02" w:rsidRPr="00B57329" w:rsidRDefault="00C21F02" w:rsidP="00C21F02">
          <w:pPr>
            <w:pStyle w:val="TOCheadingreport"/>
          </w:pPr>
          <w:r w:rsidRPr="00B57329">
            <w:t>Contents</w:t>
          </w:r>
        </w:p>
        <w:p w14:paraId="493A58C3" w14:textId="700454D5" w:rsidR="00BA6994" w:rsidRDefault="00C21F02">
          <w:pPr>
            <w:pStyle w:val="TOC1"/>
            <w:tabs>
              <w:tab w:val="left" w:pos="567"/>
            </w:tabs>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1790867" w:history="1">
            <w:r w:rsidR="00BA6994" w:rsidRPr="00DB1652">
              <w:rPr>
                <w:rStyle w:val="Hyperlink"/>
              </w:rPr>
              <w:t>1.</w:t>
            </w:r>
            <w:r w:rsidR="00BA6994">
              <w:rPr>
                <w:rFonts w:asciiTheme="minorHAnsi" w:eastAsiaTheme="minorEastAsia" w:hAnsiTheme="minorHAnsi" w:cstheme="minorBidi"/>
                <w:b w:val="0"/>
                <w:kern w:val="2"/>
                <w:sz w:val="24"/>
                <w:szCs w:val="24"/>
                <w:lang w:eastAsia="en-AU"/>
                <w14:ligatures w14:val="standardContextual"/>
              </w:rPr>
              <w:tab/>
            </w:r>
            <w:r w:rsidR="00BA6994" w:rsidRPr="00DB1652">
              <w:rPr>
                <w:rStyle w:val="Hyperlink"/>
              </w:rPr>
              <w:t>Introduction</w:t>
            </w:r>
            <w:r w:rsidR="00BA6994">
              <w:rPr>
                <w:webHidden/>
              </w:rPr>
              <w:tab/>
            </w:r>
            <w:r w:rsidR="00BA6994">
              <w:rPr>
                <w:webHidden/>
              </w:rPr>
              <w:fldChar w:fldCharType="begin"/>
            </w:r>
            <w:r w:rsidR="00BA6994">
              <w:rPr>
                <w:webHidden/>
              </w:rPr>
              <w:instrText xml:space="preserve"> PAGEREF _Toc221790867 \h </w:instrText>
            </w:r>
            <w:r w:rsidR="00BA6994">
              <w:rPr>
                <w:webHidden/>
              </w:rPr>
            </w:r>
            <w:r w:rsidR="00BA6994">
              <w:rPr>
                <w:webHidden/>
              </w:rPr>
              <w:fldChar w:fldCharType="separate"/>
            </w:r>
            <w:r w:rsidR="00BA6994">
              <w:rPr>
                <w:webHidden/>
              </w:rPr>
              <w:t>5</w:t>
            </w:r>
            <w:r w:rsidR="00BA6994">
              <w:rPr>
                <w:webHidden/>
              </w:rPr>
              <w:fldChar w:fldCharType="end"/>
            </w:r>
          </w:hyperlink>
        </w:p>
        <w:p w14:paraId="5E6BFE04" w14:textId="75A105CE" w:rsidR="00BA6994" w:rsidRDefault="00BA699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1790868" w:history="1">
            <w:r w:rsidRPr="00DB1652">
              <w:rPr>
                <w:rStyle w:val="Hyperlink"/>
              </w:rPr>
              <w:t>2.</w:t>
            </w:r>
            <w:r>
              <w:rPr>
                <w:rFonts w:asciiTheme="minorHAnsi" w:eastAsiaTheme="minorEastAsia" w:hAnsiTheme="minorHAnsi" w:cstheme="minorBidi"/>
                <w:b w:val="0"/>
                <w:kern w:val="2"/>
                <w:sz w:val="24"/>
                <w:szCs w:val="24"/>
                <w:lang w:eastAsia="en-AU"/>
                <w14:ligatures w14:val="standardContextual"/>
              </w:rPr>
              <w:tab/>
            </w:r>
            <w:r w:rsidRPr="00DB1652">
              <w:rPr>
                <w:rStyle w:val="Hyperlink"/>
              </w:rPr>
              <w:t>The Professional Learning Framework</w:t>
            </w:r>
            <w:r>
              <w:rPr>
                <w:webHidden/>
              </w:rPr>
              <w:tab/>
            </w:r>
            <w:r>
              <w:rPr>
                <w:webHidden/>
              </w:rPr>
              <w:fldChar w:fldCharType="begin"/>
            </w:r>
            <w:r>
              <w:rPr>
                <w:webHidden/>
              </w:rPr>
              <w:instrText xml:space="preserve"> PAGEREF _Toc221790868 \h </w:instrText>
            </w:r>
            <w:r>
              <w:rPr>
                <w:webHidden/>
              </w:rPr>
            </w:r>
            <w:r>
              <w:rPr>
                <w:webHidden/>
              </w:rPr>
              <w:fldChar w:fldCharType="separate"/>
            </w:r>
            <w:r>
              <w:rPr>
                <w:webHidden/>
              </w:rPr>
              <w:t>5</w:t>
            </w:r>
            <w:r>
              <w:rPr>
                <w:webHidden/>
              </w:rPr>
              <w:fldChar w:fldCharType="end"/>
            </w:r>
          </w:hyperlink>
        </w:p>
        <w:p w14:paraId="6FFCBCBC" w14:textId="73B7C711" w:rsidR="00BA6994" w:rsidRDefault="00BA699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1790869" w:history="1">
            <w:r w:rsidRPr="00DB1652">
              <w:rPr>
                <w:rStyle w:val="Hyperlink"/>
              </w:rPr>
              <w:t>3.</w:t>
            </w:r>
            <w:r>
              <w:rPr>
                <w:rFonts w:asciiTheme="minorHAnsi" w:eastAsiaTheme="minorEastAsia" w:hAnsiTheme="minorHAnsi" w:cstheme="minorBidi"/>
                <w:b w:val="0"/>
                <w:kern w:val="2"/>
                <w:sz w:val="24"/>
                <w:szCs w:val="24"/>
                <w:lang w:eastAsia="en-AU"/>
                <w14:ligatures w14:val="standardContextual"/>
              </w:rPr>
              <w:tab/>
            </w:r>
            <w:r w:rsidRPr="00DB1652">
              <w:rPr>
                <w:rStyle w:val="Hyperlink"/>
              </w:rPr>
              <w:t>Using this framework</w:t>
            </w:r>
            <w:r>
              <w:rPr>
                <w:webHidden/>
              </w:rPr>
              <w:tab/>
            </w:r>
            <w:r>
              <w:rPr>
                <w:webHidden/>
              </w:rPr>
              <w:fldChar w:fldCharType="begin"/>
            </w:r>
            <w:r>
              <w:rPr>
                <w:webHidden/>
              </w:rPr>
              <w:instrText xml:space="preserve"> PAGEREF _Toc221790869 \h </w:instrText>
            </w:r>
            <w:r>
              <w:rPr>
                <w:webHidden/>
              </w:rPr>
            </w:r>
            <w:r>
              <w:rPr>
                <w:webHidden/>
              </w:rPr>
              <w:fldChar w:fldCharType="separate"/>
            </w:r>
            <w:r>
              <w:rPr>
                <w:webHidden/>
              </w:rPr>
              <w:t>6</w:t>
            </w:r>
            <w:r>
              <w:rPr>
                <w:webHidden/>
              </w:rPr>
              <w:fldChar w:fldCharType="end"/>
            </w:r>
          </w:hyperlink>
        </w:p>
        <w:p w14:paraId="4DE17DF8" w14:textId="40271CEA" w:rsidR="00BA6994" w:rsidRDefault="00BA699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1790870" w:history="1">
            <w:r w:rsidRPr="00DB1652">
              <w:rPr>
                <w:rStyle w:val="Hyperlink"/>
              </w:rPr>
              <w:t>4.</w:t>
            </w:r>
            <w:r>
              <w:rPr>
                <w:rFonts w:asciiTheme="minorHAnsi" w:eastAsiaTheme="minorEastAsia" w:hAnsiTheme="minorHAnsi" w:cstheme="minorBidi"/>
                <w:b w:val="0"/>
                <w:kern w:val="2"/>
                <w:sz w:val="24"/>
                <w:szCs w:val="24"/>
                <w:lang w:eastAsia="en-AU"/>
                <w14:ligatures w14:val="standardContextual"/>
              </w:rPr>
              <w:tab/>
            </w:r>
            <w:r w:rsidRPr="00DB1652">
              <w:rPr>
                <w:rStyle w:val="Hyperlink"/>
              </w:rPr>
              <w:t>Framework structure</w:t>
            </w:r>
            <w:r>
              <w:rPr>
                <w:webHidden/>
              </w:rPr>
              <w:tab/>
            </w:r>
            <w:r>
              <w:rPr>
                <w:webHidden/>
              </w:rPr>
              <w:fldChar w:fldCharType="begin"/>
            </w:r>
            <w:r>
              <w:rPr>
                <w:webHidden/>
              </w:rPr>
              <w:instrText xml:space="preserve"> PAGEREF _Toc221790870 \h </w:instrText>
            </w:r>
            <w:r>
              <w:rPr>
                <w:webHidden/>
              </w:rPr>
            </w:r>
            <w:r>
              <w:rPr>
                <w:webHidden/>
              </w:rPr>
              <w:fldChar w:fldCharType="separate"/>
            </w:r>
            <w:r>
              <w:rPr>
                <w:webHidden/>
              </w:rPr>
              <w:t>8</w:t>
            </w:r>
            <w:r>
              <w:rPr>
                <w:webHidden/>
              </w:rPr>
              <w:fldChar w:fldCharType="end"/>
            </w:r>
          </w:hyperlink>
        </w:p>
        <w:p w14:paraId="5EAA6EBB" w14:textId="3AF75167"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71" w:history="1">
            <w:r w:rsidRPr="00DB1652">
              <w:rPr>
                <w:rStyle w:val="Hyperlink"/>
              </w:rPr>
              <w:t>Learning design principles</w:t>
            </w:r>
            <w:r>
              <w:rPr>
                <w:webHidden/>
              </w:rPr>
              <w:tab/>
            </w:r>
            <w:r>
              <w:rPr>
                <w:webHidden/>
              </w:rPr>
              <w:fldChar w:fldCharType="begin"/>
            </w:r>
            <w:r>
              <w:rPr>
                <w:webHidden/>
              </w:rPr>
              <w:instrText xml:space="preserve"> PAGEREF _Toc221790871 \h </w:instrText>
            </w:r>
            <w:r>
              <w:rPr>
                <w:webHidden/>
              </w:rPr>
            </w:r>
            <w:r>
              <w:rPr>
                <w:webHidden/>
              </w:rPr>
              <w:fldChar w:fldCharType="separate"/>
            </w:r>
            <w:r>
              <w:rPr>
                <w:webHidden/>
              </w:rPr>
              <w:t>8</w:t>
            </w:r>
            <w:r>
              <w:rPr>
                <w:webHidden/>
              </w:rPr>
              <w:fldChar w:fldCharType="end"/>
            </w:r>
          </w:hyperlink>
        </w:p>
        <w:p w14:paraId="4B66DB64" w14:textId="75CABAB4"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72" w:history="1">
            <w:r w:rsidRPr="00DB1652">
              <w:rPr>
                <w:rStyle w:val="Hyperlink"/>
              </w:rPr>
              <w:t>Learning domains</w:t>
            </w:r>
            <w:r>
              <w:rPr>
                <w:webHidden/>
              </w:rPr>
              <w:tab/>
            </w:r>
            <w:r>
              <w:rPr>
                <w:webHidden/>
              </w:rPr>
              <w:fldChar w:fldCharType="begin"/>
            </w:r>
            <w:r>
              <w:rPr>
                <w:webHidden/>
              </w:rPr>
              <w:instrText xml:space="preserve"> PAGEREF _Toc221790872 \h </w:instrText>
            </w:r>
            <w:r>
              <w:rPr>
                <w:webHidden/>
              </w:rPr>
            </w:r>
            <w:r>
              <w:rPr>
                <w:webHidden/>
              </w:rPr>
              <w:fldChar w:fldCharType="separate"/>
            </w:r>
            <w:r>
              <w:rPr>
                <w:webHidden/>
              </w:rPr>
              <w:t>9</w:t>
            </w:r>
            <w:r>
              <w:rPr>
                <w:webHidden/>
              </w:rPr>
              <w:fldChar w:fldCharType="end"/>
            </w:r>
          </w:hyperlink>
        </w:p>
        <w:p w14:paraId="43FB74E7" w14:textId="51D5BDBA"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73" w:history="1">
            <w:r w:rsidRPr="00DB1652">
              <w:rPr>
                <w:rStyle w:val="Hyperlink"/>
              </w:rPr>
              <w:t>Learning areas</w:t>
            </w:r>
            <w:r>
              <w:rPr>
                <w:webHidden/>
              </w:rPr>
              <w:tab/>
            </w:r>
            <w:r>
              <w:rPr>
                <w:webHidden/>
              </w:rPr>
              <w:fldChar w:fldCharType="begin"/>
            </w:r>
            <w:r>
              <w:rPr>
                <w:webHidden/>
              </w:rPr>
              <w:instrText xml:space="preserve"> PAGEREF _Toc221790873 \h </w:instrText>
            </w:r>
            <w:r>
              <w:rPr>
                <w:webHidden/>
              </w:rPr>
            </w:r>
            <w:r>
              <w:rPr>
                <w:webHidden/>
              </w:rPr>
              <w:fldChar w:fldCharType="separate"/>
            </w:r>
            <w:r>
              <w:rPr>
                <w:webHidden/>
              </w:rPr>
              <w:t>10</w:t>
            </w:r>
            <w:r>
              <w:rPr>
                <w:webHidden/>
              </w:rPr>
              <w:fldChar w:fldCharType="end"/>
            </w:r>
          </w:hyperlink>
        </w:p>
        <w:p w14:paraId="20C09923" w14:textId="17D18420"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74" w:history="1">
            <w:r w:rsidRPr="00DB1652">
              <w:rPr>
                <w:rStyle w:val="Hyperlink"/>
              </w:rPr>
              <w:t>Learning outcome dimensions</w:t>
            </w:r>
            <w:r>
              <w:rPr>
                <w:webHidden/>
              </w:rPr>
              <w:tab/>
            </w:r>
            <w:r>
              <w:rPr>
                <w:webHidden/>
              </w:rPr>
              <w:fldChar w:fldCharType="begin"/>
            </w:r>
            <w:r>
              <w:rPr>
                <w:webHidden/>
              </w:rPr>
              <w:instrText xml:space="preserve"> PAGEREF _Toc221790874 \h </w:instrText>
            </w:r>
            <w:r>
              <w:rPr>
                <w:webHidden/>
              </w:rPr>
            </w:r>
            <w:r>
              <w:rPr>
                <w:webHidden/>
              </w:rPr>
              <w:fldChar w:fldCharType="separate"/>
            </w:r>
            <w:r>
              <w:rPr>
                <w:webHidden/>
              </w:rPr>
              <w:t>11</w:t>
            </w:r>
            <w:r>
              <w:rPr>
                <w:webHidden/>
              </w:rPr>
              <w:fldChar w:fldCharType="end"/>
            </w:r>
          </w:hyperlink>
        </w:p>
        <w:p w14:paraId="17BF97AD" w14:textId="692EA79D"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75" w:history="1">
            <w:r w:rsidRPr="00DB1652">
              <w:rPr>
                <w:rStyle w:val="Hyperlink"/>
              </w:rPr>
              <w:t>Specialist capabilities and learning outcomes</w:t>
            </w:r>
            <w:r>
              <w:rPr>
                <w:webHidden/>
              </w:rPr>
              <w:tab/>
            </w:r>
            <w:r>
              <w:rPr>
                <w:webHidden/>
              </w:rPr>
              <w:fldChar w:fldCharType="begin"/>
            </w:r>
            <w:r>
              <w:rPr>
                <w:webHidden/>
              </w:rPr>
              <w:instrText xml:space="preserve"> PAGEREF _Toc221790875 \h </w:instrText>
            </w:r>
            <w:r>
              <w:rPr>
                <w:webHidden/>
              </w:rPr>
            </w:r>
            <w:r>
              <w:rPr>
                <w:webHidden/>
              </w:rPr>
              <w:fldChar w:fldCharType="separate"/>
            </w:r>
            <w:r>
              <w:rPr>
                <w:webHidden/>
              </w:rPr>
              <w:t>11</w:t>
            </w:r>
            <w:r>
              <w:rPr>
                <w:webHidden/>
              </w:rPr>
              <w:fldChar w:fldCharType="end"/>
            </w:r>
          </w:hyperlink>
        </w:p>
        <w:p w14:paraId="2C2A9806" w14:textId="7F464E63" w:rsidR="00BA6994" w:rsidRDefault="00BA699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21790876" w:history="1">
            <w:r w:rsidRPr="00DB1652">
              <w:rPr>
                <w:rStyle w:val="Hyperlink"/>
              </w:rPr>
              <w:t>5.</w:t>
            </w:r>
            <w:r>
              <w:rPr>
                <w:rFonts w:asciiTheme="minorHAnsi" w:eastAsiaTheme="minorEastAsia" w:hAnsiTheme="minorHAnsi" w:cstheme="minorBidi"/>
                <w:b w:val="0"/>
                <w:kern w:val="2"/>
                <w:sz w:val="24"/>
                <w:szCs w:val="24"/>
                <w:lang w:eastAsia="en-AU"/>
                <w14:ligatures w14:val="standardContextual"/>
              </w:rPr>
              <w:tab/>
            </w:r>
            <w:r w:rsidRPr="00DB1652">
              <w:rPr>
                <w:rStyle w:val="Hyperlink"/>
              </w:rPr>
              <w:t>Cross-Sector foundational learning outcomes</w:t>
            </w:r>
            <w:r>
              <w:rPr>
                <w:webHidden/>
              </w:rPr>
              <w:tab/>
            </w:r>
            <w:r>
              <w:rPr>
                <w:webHidden/>
              </w:rPr>
              <w:fldChar w:fldCharType="begin"/>
            </w:r>
            <w:r>
              <w:rPr>
                <w:webHidden/>
              </w:rPr>
              <w:instrText xml:space="preserve"> PAGEREF _Toc221790876 \h </w:instrText>
            </w:r>
            <w:r>
              <w:rPr>
                <w:webHidden/>
              </w:rPr>
            </w:r>
            <w:r>
              <w:rPr>
                <w:webHidden/>
              </w:rPr>
              <w:fldChar w:fldCharType="separate"/>
            </w:r>
            <w:r>
              <w:rPr>
                <w:webHidden/>
              </w:rPr>
              <w:t>13</w:t>
            </w:r>
            <w:r>
              <w:rPr>
                <w:webHidden/>
              </w:rPr>
              <w:fldChar w:fldCharType="end"/>
            </w:r>
          </w:hyperlink>
        </w:p>
        <w:p w14:paraId="7916DF4A" w14:textId="1BC915E0"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77" w:history="1">
            <w:r w:rsidRPr="00DB1652">
              <w:rPr>
                <w:rStyle w:val="Hyperlink"/>
              </w:rPr>
              <w:t>Learning Domain 1: Sector and organisational contexts of practice</w:t>
            </w:r>
            <w:r>
              <w:rPr>
                <w:webHidden/>
              </w:rPr>
              <w:tab/>
            </w:r>
            <w:r>
              <w:rPr>
                <w:webHidden/>
              </w:rPr>
              <w:fldChar w:fldCharType="begin"/>
            </w:r>
            <w:r>
              <w:rPr>
                <w:webHidden/>
              </w:rPr>
              <w:instrText xml:space="preserve"> PAGEREF _Toc221790877 \h </w:instrText>
            </w:r>
            <w:r>
              <w:rPr>
                <w:webHidden/>
              </w:rPr>
            </w:r>
            <w:r>
              <w:rPr>
                <w:webHidden/>
              </w:rPr>
              <w:fldChar w:fldCharType="separate"/>
            </w:r>
            <w:r>
              <w:rPr>
                <w:webHidden/>
              </w:rPr>
              <w:t>13</w:t>
            </w:r>
            <w:r>
              <w:rPr>
                <w:webHidden/>
              </w:rPr>
              <w:fldChar w:fldCharType="end"/>
            </w:r>
          </w:hyperlink>
        </w:p>
        <w:p w14:paraId="7D81142A" w14:textId="48AA970D"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78" w:history="1">
            <w:r w:rsidRPr="00DB1652">
              <w:rPr>
                <w:rStyle w:val="Hyperlink"/>
              </w:rPr>
              <w:t>Learning Domain 2: Effective and culturally responsive practice</w:t>
            </w:r>
            <w:r>
              <w:rPr>
                <w:webHidden/>
              </w:rPr>
              <w:tab/>
            </w:r>
            <w:r>
              <w:rPr>
                <w:webHidden/>
              </w:rPr>
              <w:fldChar w:fldCharType="begin"/>
            </w:r>
            <w:r>
              <w:rPr>
                <w:webHidden/>
              </w:rPr>
              <w:instrText xml:space="preserve"> PAGEREF _Toc221790878 \h </w:instrText>
            </w:r>
            <w:r>
              <w:rPr>
                <w:webHidden/>
              </w:rPr>
            </w:r>
            <w:r>
              <w:rPr>
                <w:webHidden/>
              </w:rPr>
              <w:fldChar w:fldCharType="separate"/>
            </w:r>
            <w:r>
              <w:rPr>
                <w:webHidden/>
              </w:rPr>
              <w:t>14</w:t>
            </w:r>
            <w:r>
              <w:rPr>
                <w:webHidden/>
              </w:rPr>
              <w:fldChar w:fldCharType="end"/>
            </w:r>
          </w:hyperlink>
        </w:p>
        <w:p w14:paraId="5BEF79E1" w14:textId="47FFCA76"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79" w:history="1">
            <w:r w:rsidRPr="00DB1652">
              <w:rPr>
                <w:rStyle w:val="Hyperlink"/>
              </w:rPr>
              <w:t>Learning Domain 3: Professional self</w:t>
            </w:r>
            <w:r>
              <w:rPr>
                <w:webHidden/>
              </w:rPr>
              <w:tab/>
            </w:r>
            <w:r>
              <w:rPr>
                <w:webHidden/>
              </w:rPr>
              <w:fldChar w:fldCharType="begin"/>
            </w:r>
            <w:r>
              <w:rPr>
                <w:webHidden/>
              </w:rPr>
              <w:instrText xml:space="preserve"> PAGEREF _Toc221790879 \h </w:instrText>
            </w:r>
            <w:r>
              <w:rPr>
                <w:webHidden/>
              </w:rPr>
            </w:r>
            <w:r>
              <w:rPr>
                <w:webHidden/>
              </w:rPr>
              <w:fldChar w:fldCharType="separate"/>
            </w:r>
            <w:r>
              <w:rPr>
                <w:webHidden/>
              </w:rPr>
              <w:t>21</w:t>
            </w:r>
            <w:r>
              <w:rPr>
                <w:webHidden/>
              </w:rPr>
              <w:fldChar w:fldCharType="end"/>
            </w:r>
          </w:hyperlink>
        </w:p>
        <w:p w14:paraId="0D2398DD" w14:textId="14444978" w:rsidR="00BA6994" w:rsidRDefault="00BA6994">
          <w:pPr>
            <w:pStyle w:val="TOC1"/>
            <w:rPr>
              <w:rFonts w:asciiTheme="minorHAnsi" w:eastAsiaTheme="minorEastAsia" w:hAnsiTheme="minorHAnsi" w:cstheme="minorBidi"/>
              <w:b w:val="0"/>
              <w:kern w:val="2"/>
              <w:sz w:val="24"/>
              <w:szCs w:val="24"/>
              <w:lang w:eastAsia="en-AU"/>
              <w14:ligatures w14:val="standardContextual"/>
            </w:rPr>
          </w:pPr>
          <w:hyperlink w:anchor="_Toc221790880" w:history="1">
            <w:r w:rsidRPr="00DB1652">
              <w:rPr>
                <w:rStyle w:val="Hyperlink"/>
              </w:rPr>
              <w:t>Appendix 1. Graduate individual learning and development plan</w:t>
            </w:r>
            <w:r>
              <w:rPr>
                <w:webHidden/>
              </w:rPr>
              <w:tab/>
            </w:r>
            <w:r>
              <w:rPr>
                <w:webHidden/>
              </w:rPr>
              <w:fldChar w:fldCharType="begin"/>
            </w:r>
            <w:r>
              <w:rPr>
                <w:webHidden/>
              </w:rPr>
              <w:instrText xml:space="preserve"> PAGEREF _Toc221790880 \h </w:instrText>
            </w:r>
            <w:r>
              <w:rPr>
                <w:webHidden/>
              </w:rPr>
            </w:r>
            <w:r>
              <w:rPr>
                <w:webHidden/>
              </w:rPr>
              <w:fldChar w:fldCharType="separate"/>
            </w:r>
            <w:r>
              <w:rPr>
                <w:webHidden/>
              </w:rPr>
              <w:t>22</w:t>
            </w:r>
            <w:r>
              <w:rPr>
                <w:webHidden/>
              </w:rPr>
              <w:fldChar w:fldCharType="end"/>
            </w:r>
          </w:hyperlink>
        </w:p>
        <w:p w14:paraId="29AC0DE2" w14:textId="51D058BF"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81" w:history="1">
            <w:r w:rsidRPr="00DB1652">
              <w:rPr>
                <w:rStyle w:val="Hyperlink"/>
              </w:rPr>
              <w:t>Learning and development plan - [graduate name]</w:t>
            </w:r>
            <w:r>
              <w:rPr>
                <w:webHidden/>
              </w:rPr>
              <w:tab/>
            </w:r>
            <w:r>
              <w:rPr>
                <w:webHidden/>
              </w:rPr>
              <w:fldChar w:fldCharType="begin"/>
            </w:r>
            <w:r>
              <w:rPr>
                <w:webHidden/>
              </w:rPr>
              <w:instrText xml:space="preserve"> PAGEREF _Toc221790881 \h </w:instrText>
            </w:r>
            <w:r>
              <w:rPr>
                <w:webHidden/>
              </w:rPr>
            </w:r>
            <w:r>
              <w:rPr>
                <w:webHidden/>
              </w:rPr>
              <w:fldChar w:fldCharType="separate"/>
            </w:r>
            <w:r>
              <w:rPr>
                <w:webHidden/>
              </w:rPr>
              <w:t>23</w:t>
            </w:r>
            <w:r>
              <w:rPr>
                <w:webHidden/>
              </w:rPr>
              <w:fldChar w:fldCharType="end"/>
            </w:r>
          </w:hyperlink>
        </w:p>
        <w:p w14:paraId="489D6866" w14:textId="59E84A5E" w:rsidR="00BA6994" w:rsidRDefault="00BA6994">
          <w:pPr>
            <w:pStyle w:val="TOC1"/>
            <w:rPr>
              <w:rFonts w:asciiTheme="minorHAnsi" w:eastAsiaTheme="minorEastAsia" w:hAnsiTheme="minorHAnsi" w:cstheme="minorBidi"/>
              <w:b w:val="0"/>
              <w:kern w:val="2"/>
              <w:sz w:val="24"/>
              <w:szCs w:val="24"/>
              <w:lang w:eastAsia="en-AU"/>
              <w14:ligatures w14:val="standardContextual"/>
            </w:rPr>
          </w:pPr>
          <w:hyperlink w:anchor="_Toc221790882" w:history="1">
            <w:r w:rsidRPr="00DB1652">
              <w:rPr>
                <w:rStyle w:val="Hyperlink"/>
              </w:rPr>
              <w:t>Appendix 2. Specialist subsector/role - learning outcomes template</w:t>
            </w:r>
            <w:r>
              <w:rPr>
                <w:webHidden/>
              </w:rPr>
              <w:tab/>
            </w:r>
            <w:r>
              <w:rPr>
                <w:webHidden/>
              </w:rPr>
              <w:fldChar w:fldCharType="begin"/>
            </w:r>
            <w:r>
              <w:rPr>
                <w:webHidden/>
              </w:rPr>
              <w:instrText xml:space="preserve"> PAGEREF _Toc221790882 \h </w:instrText>
            </w:r>
            <w:r>
              <w:rPr>
                <w:webHidden/>
              </w:rPr>
            </w:r>
            <w:r>
              <w:rPr>
                <w:webHidden/>
              </w:rPr>
              <w:fldChar w:fldCharType="separate"/>
            </w:r>
            <w:r>
              <w:rPr>
                <w:webHidden/>
              </w:rPr>
              <w:t>27</w:t>
            </w:r>
            <w:r>
              <w:rPr>
                <w:webHidden/>
              </w:rPr>
              <w:fldChar w:fldCharType="end"/>
            </w:r>
          </w:hyperlink>
        </w:p>
        <w:p w14:paraId="59BAEDF7" w14:textId="3F264C55"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83" w:history="1">
            <w:r w:rsidRPr="00DB1652">
              <w:rPr>
                <w:rStyle w:val="Hyperlink"/>
              </w:rPr>
              <w:t>Learning Domain: Sector and organisational contexts of practice</w:t>
            </w:r>
            <w:r>
              <w:rPr>
                <w:webHidden/>
              </w:rPr>
              <w:tab/>
            </w:r>
            <w:r>
              <w:rPr>
                <w:webHidden/>
              </w:rPr>
              <w:fldChar w:fldCharType="begin"/>
            </w:r>
            <w:r>
              <w:rPr>
                <w:webHidden/>
              </w:rPr>
              <w:instrText xml:space="preserve"> PAGEREF _Toc221790883 \h </w:instrText>
            </w:r>
            <w:r>
              <w:rPr>
                <w:webHidden/>
              </w:rPr>
            </w:r>
            <w:r>
              <w:rPr>
                <w:webHidden/>
              </w:rPr>
              <w:fldChar w:fldCharType="separate"/>
            </w:r>
            <w:r>
              <w:rPr>
                <w:webHidden/>
              </w:rPr>
              <w:t>27</w:t>
            </w:r>
            <w:r>
              <w:rPr>
                <w:webHidden/>
              </w:rPr>
              <w:fldChar w:fldCharType="end"/>
            </w:r>
          </w:hyperlink>
        </w:p>
        <w:p w14:paraId="7347FF8F" w14:textId="4F7DE7A9"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84" w:history="1">
            <w:r w:rsidRPr="00DB1652">
              <w:rPr>
                <w:rStyle w:val="Hyperlink"/>
              </w:rPr>
              <w:t xml:space="preserve">Learning Domain: </w:t>
            </w:r>
            <w:r w:rsidRPr="00DB1652">
              <w:rPr>
                <w:rStyle w:val="Hyperlink"/>
                <w:rFonts w:cs="Arial"/>
              </w:rPr>
              <w:t>Professional communication and engagement</w:t>
            </w:r>
            <w:r>
              <w:rPr>
                <w:webHidden/>
              </w:rPr>
              <w:tab/>
            </w:r>
            <w:r>
              <w:rPr>
                <w:webHidden/>
              </w:rPr>
              <w:fldChar w:fldCharType="begin"/>
            </w:r>
            <w:r>
              <w:rPr>
                <w:webHidden/>
              </w:rPr>
              <w:instrText xml:space="preserve"> PAGEREF _Toc221790884 \h </w:instrText>
            </w:r>
            <w:r>
              <w:rPr>
                <w:webHidden/>
              </w:rPr>
            </w:r>
            <w:r>
              <w:rPr>
                <w:webHidden/>
              </w:rPr>
              <w:fldChar w:fldCharType="separate"/>
            </w:r>
            <w:r>
              <w:rPr>
                <w:webHidden/>
              </w:rPr>
              <w:t>27</w:t>
            </w:r>
            <w:r>
              <w:rPr>
                <w:webHidden/>
              </w:rPr>
              <w:fldChar w:fldCharType="end"/>
            </w:r>
          </w:hyperlink>
        </w:p>
        <w:p w14:paraId="2C240131" w14:textId="5AB993F0"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85" w:history="1">
            <w:r w:rsidRPr="00DB1652">
              <w:rPr>
                <w:rStyle w:val="Hyperlink"/>
              </w:rPr>
              <w:t xml:space="preserve">Learning Domain: </w:t>
            </w:r>
            <w:r w:rsidRPr="00DB1652">
              <w:rPr>
                <w:rStyle w:val="Hyperlink"/>
                <w:rFonts w:cs="Arial"/>
              </w:rPr>
              <w:t>Evidence and expertise informed practice</w:t>
            </w:r>
            <w:r>
              <w:rPr>
                <w:webHidden/>
              </w:rPr>
              <w:tab/>
            </w:r>
            <w:r>
              <w:rPr>
                <w:webHidden/>
              </w:rPr>
              <w:fldChar w:fldCharType="begin"/>
            </w:r>
            <w:r>
              <w:rPr>
                <w:webHidden/>
              </w:rPr>
              <w:instrText xml:space="preserve"> PAGEREF _Toc221790885 \h </w:instrText>
            </w:r>
            <w:r>
              <w:rPr>
                <w:webHidden/>
              </w:rPr>
            </w:r>
            <w:r>
              <w:rPr>
                <w:webHidden/>
              </w:rPr>
              <w:fldChar w:fldCharType="separate"/>
            </w:r>
            <w:r>
              <w:rPr>
                <w:webHidden/>
              </w:rPr>
              <w:t>28</w:t>
            </w:r>
            <w:r>
              <w:rPr>
                <w:webHidden/>
              </w:rPr>
              <w:fldChar w:fldCharType="end"/>
            </w:r>
          </w:hyperlink>
        </w:p>
        <w:p w14:paraId="7C4E9288" w14:textId="2974E364"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86" w:history="1">
            <w:r w:rsidRPr="00DB1652">
              <w:rPr>
                <w:rStyle w:val="Hyperlink"/>
              </w:rPr>
              <w:t xml:space="preserve">Learning Domain: </w:t>
            </w:r>
            <w:r w:rsidRPr="00DB1652">
              <w:rPr>
                <w:rStyle w:val="Hyperlink"/>
                <w:rFonts w:cs="Arial"/>
              </w:rPr>
              <w:t>Cultural capability</w:t>
            </w:r>
            <w:r>
              <w:rPr>
                <w:webHidden/>
              </w:rPr>
              <w:tab/>
            </w:r>
            <w:r>
              <w:rPr>
                <w:webHidden/>
              </w:rPr>
              <w:fldChar w:fldCharType="begin"/>
            </w:r>
            <w:r>
              <w:rPr>
                <w:webHidden/>
              </w:rPr>
              <w:instrText xml:space="preserve"> PAGEREF _Toc221790886 \h </w:instrText>
            </w:r>
            <w:r>
              <w:rPr>
                <w:webHidden/>
              </w:rPr>
            </w:r>
            <w:r>
              <w:rPr>
                <w:webHidden/>
              </w:rPr>
              <w:fldChar w:fldCharType="separate"/>
            </w:r>
            <w:r>
              <w:rPr>
                <w:webHidden/>
              </w:rPr>
              <w:t>28</w:t>
            </w:r>
            <w:r>
              <w:rPr>
                <w:webHidden/>
              </w:rPr>
              <w:fldChar w:fldCharType="end"/>
            </w:r>
          </w:hyperlink>
        </w:p>
        <w:p w14:paraId="6D587486" w14:textId="4A00EB6C"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87" w:history="1">
            <w:r w:rsidRPr="00DB1652">
              <w:rPr>
                <w:rStyle w:val="Hyperlink"/>
              </w:rPr>
              <w:t xml:space="preserve">Learning Domain: </w:t>
            </w:r>
            <w:r w:rsidRPr="00DB1652">
              <w:rPr>
                <w:rStyle w:val="Hyperlink"/>
                <w:rFonts w:cs="Arial"/>
              </w:rPr>
              <w:t>Holistic and ethically responsible practice</w:t>
            </w:r>
            <w:r>
              <w:rPr>
                <w:webHidden/>
              </w:rPr>
              <w:tab/>
            </w:r>
            <w:r>
              <w:rPr>
                <w:webHidden/>
              </w:rPr>
              <w:fldChar w:fldCharType="begin"/>
            </w:r>
            <w:r>
              <w:rPr>
                <w:webHidden/>
              </w:rPr>
              <w:instrText xml:space="preserve"> PAGEREF _Toc221790887 \h </w:instrText>
            </w:r>
            <w:r>
              <w:rPr>
                <w:webHidden/>
              </w:rPr>
            </w:r>
            <w:r>
              <w:rPr>
                <w:webHidden/>
              </w:rPr>
              <w:fldChar w:fldCharType="separate"/>
            </w:r>
            <w:r>
              <w:rPr>
                <w:webHidden/>
              </w:rPr>
              <w:t>28</w:t>
            </w:r>
            <w:r>
              <w:rPr>
                <w:webHidden/>
              </w:rPr>
              <w:fldChar w:fldCharType="end"/>
            </w:r>
          </w:hyperlink>
        </w:p>
        <w:p w14:paraId="757B221A" w14:textId="645CADB7"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88" w:history="1">
            <w:r w:rsidRPr="00DB1652">
              <w:rPr>
                <w:rStyle w:val="Hyperlink"/>
              </w:rPr>
              <w:t xml:space="preserve">Learning Domain: </w:t>
            </w:r>
            <w:r w:rsidRPr="00DB1652">
              <w:rPr>
                <w:rStyle w:val="Hyperlink"/>
                <w:rFonts w:cs="Arial"/>
              </w:rPr>
              <w:t>Collaborative practice</w:t>
            </w:r>
            <w:r>
              <w:rPr>
                <w:webHidden/>
              </w:rPr>
              <w:tab/>
            </w:r>
            <w:r>
              <w:rPr>
                <w:webHidden/>
              </w:rPr>
              <w:fldChar w:fldCharType="begin"/>
            </w:r>
            <w:r>
              <w:rPr>
                <w:webHidden/>
              </w:rPr>
              <w:instrText xml:space="preserve"> PAGEREF _Toc221790888 \h </w:instrText>
            </w:r>
            <w:r>
              <w:rPr>
                <w:webHidden/>
              </w:rPr>
            </w:r>
            <w:r>
              <w:rPr>
                <w:webHidden/>
              </w:rPr>
              <w:fldChar w:fldCharType="separate"/>
            </w:r>
            <w:r>
              <w:rPr>
                <w:webHidden/>
              </w:rPr>
              <w:t>29</w:t>
            </w:r>
            <w:r>
              <w:rPr>
                <w:webHidden/>
              </w:rPr>
              <w:fldChar w:fldCharType="end"/>
            </w:r>
          </w:hyperlink>
        </w:p>
        <w:p w14:paraId="0FD82F2B" w14:textId="40C065C3"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89" w:history="1">
            <w:r w:rsidRPr="00DB1652">
              <w:rPr>
                <w:rStyle w:val="Hyperlink"/>
              </w:rPr>
              <w:t>Learning Domain: Professional self</w:t>
            </w:r>
            <w:r>
              <w:rPr>
                <w:webHidden/>
              </w:rPr>
              <w:tab/>
            </w:r>
            <w:r>
              <w:rPr>
                <w:webHidden/>
              </w:rPr>
              <w:fldChar w:fldCharType="begin"/>
            </w:r>
            <w:r>
              <w:rPr>
                <w:webHidden/>
              </w:rPr>
              <w:instrText xml:space="preserve"> PAGEREF _Toc221790889 \h </w:instrText>
            </w:r>
            <w:r>
              <w:rPr>
                <w:webHidden/>
              </w:rPr>
            </w:r>
            <w:r>
              <w:rPr>
                <w:webHidden/>
              </w:rPr>
              <w:fldChar w:fldCharType="separate"/>
            </w:r>
            <w:r>
              <w:rPr>
                <w:webHidden/>
              </w:rPr>
              <w:t>30</w:t>
            </w:r>
            <w:r>
              <w:rPr>
                <w:webHidden/>
              </w:rPr>
              <w:fldChar w:fldCharType="end"/>
            </w:r>
          </w:hyperlink>
        </w:p>
        <w:p w14:paraId="73963180" w14:textId="71B0BEED" w:rsidR="00BA6994" w:rsidRDefault="00BA6994">
          <w:pPr>
            <w:pStyle w:val="TOC1"/>
            <w:rPr>
              <w:rFonts w:asciiTheme="minorHAnsi" w:eastAsiaTheme="minorEastAsia" w:hAnsiTheme="minorHAnsi" w:cstheme="minorBidi"/>
              <w:b w:val="0"/>
              <w:kern w:val="2"/>
              <w:sz w:val="24"/>
              <w:szCs w:val="24"/>
              <w:lang w:eastAsia="en-AU"/>
              <w14:ligatures w14:val="standardContextual"/>
            </w:rPr>
          </w:pPr>
          <w:hyperlink w:anchor="_Toc221790890" w:history="1">
            <w:r w:rsidRPr="00DB1652">
              <w:rPr>
                <w:rStyle w:val="Hyperlink"/>
              </w:rPr>
              <w:t>Appendix 3. Working examples of specialist learning outcomes</w:t>
            </w:r>
            <w:r>
              <w:rPr>
                <w:webHidden/>
              </w:rPr>
              <w:tab/>
            </w:r>
            <w:r>
              <w:rPr>
                <w:webHidden/>
              </w:rPr>
              <w:fldChar w:fldCharType="begin"/>
            </w:r>
            <w:r>
              <w:rPr>
                <w:webHidden/>
              </w:rPr>
              <w:instrText xml:space="preserve"> PAGEREF _Toc221790890 \h </w:instrText>
            </w:r>
            <w:r>
              <w:rPr>
                <w:webHidden/>
              </w:rPr>
            </w:r>
            <w:r>
              <w:rPr>
                <w:webHidden/>
              </w:rPr>
              <w:fldChar w:fldCharType="separate"/>
            </w:r>
            <w:r>
              <w:rPr>
                <w:webHidden/>
              </w:rPr>
              <w:t>31</w:t>
            </w:r>
            <w:r>
              <w:rPr>
                <w:webHidden/>
              </w:rPr>
              <w:fldChar w:fldCharType="end"/>
            </w:r>
          </w:hyperlink>
        </w:p>
        <w:p w14:paraId="63F5F422" w14:textId="31EE1733"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91" w:history="1">
            <w:r w:rsidRPr="00DB1652">
              <w:rPr>
                <w:rStyle w:val="Hyperlink"/>
              </w:rPr>
              <w:t>A3.1 Graduate in child protection</w:t>
            </w:r>
            <w:r>
              <w:rPr>
                <w:webHidden/>
              </w:rPr>
              <w:tab/>
            </w:r>
            <w:r>
              <w:rPr>
                <w:webHidden/>
              </w:rPr>
              <w:fldChar w:fldCharType="begin"/>
            </w:r>
            <w:r>
              <w:rPr>
                <w:webHidden/>
              </w:rPr>
              <w:instrText xml:space="preserve"> PAGEREF _Toc221790891 \h </w:instrText>
            </w:r>
            <w:r>
              <w:rPr>
                <w:webHidden/>
              </w:rPr>
            </w:r>
            <w:r>
              <w:rPr>
                <w:webHidden/>
              </w:rPr>
              <w:fldChar w:fldCharType="separate"/>
            </w:r>
            <w:r>
              <w:rPr>
                <w:webHidden/>
              </w:rPr>
              <w:t>31</w:t>
            </w:r>
            <w:r>
              <w:rPr>
                <w:webHidden/>
              </w:rPr>
              <w:fldChar w:fldCharType="end"/>
            </w:r>
          </w:hyperlink>
        </w:p>
        <w:p w14:paraId="6DA3A746" w14:textId="1F70E53B"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92" w:history="1">
            <w:r w:rsidRPr="00DB1652">
              <w:rPr>
                <w:rStyle w:val="Hyperlink"/>
              </w:rPr>
              <w:t>A3.2 Graduate in family services</w:t>
            </w:r>
            <w:r>
              <w:rPr>
                <w:webHidden/>
              </w:rPr>
              <w:tab/>
            </w:r>
            <w:r>
              <w:rPr>
                <w:webHidden/>
              </w:rPr>
              <w:fldChar w:fldCharType="begin"/>
            </w:r>
            <w:r>
              <w:rPr>
                <w:webHidden/>
              </w:rPr>
              <w:instrText xml:space="preserve"> PAGEREF _Toc221790892 \h </w:instrText>
            </w:r>
            <w:r>
              <w:rPr>
                <w:webHidden/>
              </w:rPr>
            </w:r>
            <w:r>
              <w:rPr>
                <w:webHidden/>
              </w:rPr>
              <w:fldChar w:fldCharType="separate"/>
            </w:r>
            <w:r>
              <w:rPr>
                <w:webHidden/>
              </w:rPr>
              <w:t>32</w:t>
            </w:r>
            <w:r>
              <w:rPr>
                <w:webHidden/>
              </w:rPr>
              <w:fldChar w:fldCharType="end"/>
            </w:r>
          </w:hyperlink>
        </w:p>
        <w:p w14:paraId="3A5509FD" w14:textId="08088D43"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93" w:history="1">
            <w:r w:rsidRPr="00DB1652">
              <w:rPr>
                <w:rStyle w:val="Hyperlink"/>
              </w:rPr>
              <w:t>A3.3 Graduate in family violence services</w:t>
            </w:r>
            <w:r>
              <w:rPr>
                <w:webHidden/>
              </w:rPr>
              <w:tab/>
            </w:r>
            <w:r>
              <w:rPr>
                <w:webHidden/>
              </w:rPr>
              <w:fldChar w:fldCharType="begin"/>
            </w:r>
            <w:r>
              <w:rPr>
                <w:webHidden/>
              </w:rPr>
              <w:instrText xml:space="preserve"> PAGEREF _Toc221790893 \h </w:instrText>
            </w:r>
            <w:r>
              <w:rPr>
                <w:webHidden/>
              </w:rPr>
            </w:r>
            <w:r>
              <w:rPr>
                <w:webHidden/>
              </w:rPr>
              <w:fldChar w:fldCharType="separate"/>
            </w:r>
            <w:r>
              <w:rPr>
                <w:webHidden/>
              </w:rPr>
              <w:t>33</w:t>
            </w:r>
            <w:r>
              <w:rPr>
                <w:webHidden/>
              </w:rPr>
              <w:fldChar w:fldCharType="end"/>
            </w:r>
          </w:hyperlink>
        </w:p>
        <w:p w14:paraId="6B6CF591" w14:textId="21FF3C1D"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94" w:history="1">
            <w:r w:rsidRPr="00DB1652">
              <w:rPr>
                <w:rStyle w:val="Hyperlink"/>
              </w:rPr>
              <w:t>A3.4 Graduate in sexual assault services</w:t>
            </w:r>
            <w:r>
              <w:rPr>
                <w:webHidden/>
              </w:rPr>
              <w:tab/>
            </w:r>
            <w:r>
              <w:rPr>
                <w:webHidden/>
              </w:rPr>
              <w:fldChar w:fldCharType="begin"/>
            </w:r>
            <w:r>
              <w:rPr>
                <w:webHidden/>
              </w:rPr>
              <w:instrText xml:space="preserve"> PAGEREF _Toc221790894 \h </w:instrText>
            </w:r>
            <w:r>
              <w:rPr>
                <w:webHidden/>
              </w:rPr>
            </w:r>
            <w:r>
              <w:rPr>
                <w:webHidden/>
              </w:rPr>
              <w:fldChar w:fldCharType="separate"/>
            </w:r>
            <w:r>
              <w:rPr>
                <w:webHidden/>
              </w:rPr>
              <w:t>34</w:t>
            </w:r>
            <w:r>
              <w:rPr>
                <w:webHidden/>
              </w:rPr>
              <w:fldChar w:fldCharType="end"/>
            </w:r>
          </w:hyperlink>
        </w:p>
        <w:p w14:paraId="4E15A087" w14:textId="5CC71C1D"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95" w:history="1">
            <w:r w:rsidRPr="00DB1652">
              <w:rPr>
                <w:rStyle w:val="Hyperlink"/>
              </w:rPr>
              <w:t>A3.5 Graduate in specialist homelessness services</w:t>
            </w:r>
            <w:r>
              <w:rPr>
                <w:webHidden/>
              </w:rPr>
              <w:tab/>
            </w:r>
            <w:r>
              <w:rPr>
                <w:webHidden/>
              </w:rPr>
              <w:fldChar w:fldCharType="begin"/>
            </w:r>
            <w:r>
              <w:rPr>
                <w:webHidden/>
              </w:rPr>
              <w:instrText xml:space="preserve"> PAGEREF _Toc221790895 \h </w:instrText>
            </w:r>
            <w:r>
              <w:rPr>
                <w:webHidden/>
              </w:rPr>
            </w:r>
            <w:r>
              <w:rPr>
                <w:webHidden/>
              </w:rPr>
              <w:fldChar w:fldCharType="separate"/>
            </w:r>
            <w:r>
              <w:rPr>
                <w:webHidden/>
              </w:rPr>
              <w:t>35</w:t>
            </w:r>
            <w:r>
              <w:rPr>
                <w:webHidden/>
              </w:rPr>
              <w:fldChar w:fldCharType="end"/>
            </w:r>
          </w:hyperlink>
        </w:p>
        <w:p w14:paraId="2EBC47C4" w14:textId="3C5F5CAC"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96" w:history="1">
            <w:r w:rsidRPr="00DB1652">
              <w:rPr>
                <w:rStyle w:val="Hyperlink"/>
              </w:rPr>
              <w:t>A3.6 Graduate in community housing</w:t>
            </w:r>
            <w:r>
              <w:rPr>
                <w:webHidden/>
              </w:rPr>
              <w:tab/>
            </w:r>
            <w:r>
              <w:rPr>
                <w:webHidden/>
              </w:rPr>
              <w:fldChar w:fldCharType="begin"/>
            </w:r>
            <w:r>
              <w:rPr>
                <w:webHidden/>
              </w:rPr>
              <w:instrText xml:space="preserve"> PAGEREF _Toc221790896 \h </w:instrText>
            </w:r>
            <w:r>
              <w:rPr>
                <w:webHidden/>
              </w:rPr>
            </w:r>
            <w:r>
              <w:rPr>
                <w:webHidden/>
              </w:rPr>
              <w:fldChar w:fldCharType="separate"/>
            </w:r>
            <w:r>
              <w:rPr>
                <w:webHidden/>
              </w:rPr>
              <w:t>36</w:t>
            </w:r>
            <w:r>
              <w:rPr>
                <w:webHidden/>
              </w:rPr>
              <w:fldChar w:fldCharType="end"/>
            </w:r>
          </w:hyperlink>
        </w:p>
        <w:p w14:paraId="0819F330" w14:textId="26AC7251"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97" w:history="1">
            <w:r w:rsidRPr="00DB1652">
              <w:rPr>
                <w:rStyle w:val="Hyperlink"/>
              </w:rPr>
              <w:t>A3.7 Graduate in disability services</w:t>
            </w:r>
            <w:r>
              <w:rPr>
                <w:webHidden/>
              </w:rPr>
              <w:tab/>
            </w:r>
            <w:r>
              <w:rPr>
                <w:webHidden/>
              </w:rPr>
              <w:fldChar w:fldCharType="begin"/>
            </w:r>
            <w:r>
              <w:rPr>
                <w:webHidden/>
              </w:rPr>
              <w:instrText xml:space="preserve"> PAGEREF _Toc221790897 \h </w:instrText>
            </w:r>
            <w:r>
              <w:rPr>
                <w:webHidden/>
              </w:rPr>
            </w:r>
            <w:r>
              <w:rPr>
                <w:webHidden/>
              </w:rPr>
              <w:fldChar w:fldCharType="separate"/>
            </w:r>
            <w:r>
              <w:rPr>
                <w:webHidden/>
              </w:rPr>
              <w:t>37</w:t>
            </w:r>
            <w:r>
              <w:rPr>
                <w:webHidden/>
              </w:rPr>
              <w:fldChar w:fldCharType="end"/>
            </w:r>
          </w:hyperlink>
        </w:p>
        <w:p w14:paraId="669328C4" w14:textId="60FE3344"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898" w:history="1">
            <w:r w:rsidRPr="00DB1652">
              <w:rPr>
                <w:rStyle w:val="Hyperlink"/>
              </w:rPr>
              <w:t>A3.8 Graduate in an Aboriginal controlled community organisation</w:t>
            </w:r>
            <w:r>
              <w:rPr>
                <w:webHidden/>
              </w:rPr>
              <w:tab/>
            </w:r>
            <w:r>
              <w:rPr>
                <w:webHidden/>
              </w:rPr>
              <w:fldChar w:fldCharType="begin"/>
            </w:r>
            <w:r>
              <w:rPr>
                <w:webHidden/>
              </w:rPr>
              <w:instrText xml:space="preserve"> PAGEREF _Toc221790898 \h </w:instrText>
            </w:r>
            <w:r>
              <w:rPr>
                <w:webHidden/>
              </w:rPr>
            </w:r>
            <w:r>
              <w:rPr>
                <w:webHidden/>
              </w:rPr>
              <w:fldChar w:fldCharType="separate"/>
            </w:r>
            <w:r>
              <w:rPr>
                <w:webHidden/>
              </w:rPr>
              <w:t>38</w:t>
            </w:r>
            <w:r>
              <w:rPr>
                <w:webHidden/>
              </w:rPr>
              <w:fldChar w:fldCharType="end"/>
            </w:r>
          </w:hyperlink>
        </w:p>
        <w:p w14:paraId="368FC71D" w14:textId="40E29485" w:rsidR="00BA6994" w:rsidRDefault="00BA6994">
          <w:pPr>
            <w:pStyle w:val="TOC1"/>
            <w:rPr>
              <w:rFonts w:asciiTheme="minorHAnsi" w:eastAsiaTheme="minorEastAsia" w:hAnsiTheme="minorHAnsi" w:cstheme="minorBidi"/>
              <w:b w:val="0"/>
              <w:kern w:val="2"/>
              <w:sz w:val="24"/>
              <w:szCs w:val="24"/>
              <w:lang w:eastAsia="en-AU"/>
              <w14:ligatures w14:val="standardContextual"/>
            </w:rPr>
          </w:pPr>
          <w:hyperlink w:anchor="_Toc221790899" w:history="1">
            <w:r w:rsidRPr="00DB1652">
              <w:rPr>
                <w:rStyle w:val="Hyperlink"/>
              </w:rPr>
              <w:t>Appendix 4: Figure descriptions</w:t>
            </w:r>
            <w:r>
              <w:rPr>
                <w:webHidden/>
              </w:rPr>
              <w:tab/>
            </w:r>
            <w:r>
              <w:rPr>
                <w:webHidden/>
              </w:rPr>
              <w:fldChar w:fldCharType="begin"/>
            </w:r>
            <w:r>
              <w:rPr>
                <w:webHidden/>
              </w:rPr>
              <w:instrText xml:space="preserve"> PAGEREF _Toc221790899 \h </w:instrText>
            </w:r>
            <w:r>
              <w:rPr>
                <w:webHidden/>
              </w:rPr>
            </w:r>
            <w:r>
              <w:rPr>
                <w:webHidden/>
              </w:rPr>
              <w:fldChar w:fldCharType="separate"/>
            </w:r>
            <w:r>
              <w:rPr>
                <w:webHidden/>
              </w:rPr>
              <w:t>39</w:t>
            </w:r>
            <w:r>
              <w:rPr>
                <w:webHidden/>
              </w:rPr>
              <w:fldChar w:fldCharType="end"/>
            </w:r>
          </w:hyperlink>
        </w:p>
        <w:p w14:paraId="44D66A31" w14:textId="7620EB5E" w:rsidR="00BA6994" w:rsidRDefault="00BA6994">
          <w:pPr>
            <w:pStyle w:val="TOC2"/>
            <w:rPr>
              <w:rFonts w:asciiTheme="minorHAnsi" w:eastAsiaTheme="minorEastAsia" w:hAnsiTheme="minorHAnsi" w:cstheme="minorBidi"/>
              <w:kern w:val="2"/>
              <w:sz w:val="24"/>
              <w:szCs w:val="24"/>
              <w:lang w:eastAsia="en-AU"/>
              <w14:ligatures w14:val="standardContextual"/>
            </w:rPr>
          </w:pPr>
          <w:hyperlink w:anchor="_Toc221790900" w:history="1">
            <w:r w:rsidRPr="00DB1652">
              <w:rPr>
                <w:rStyle w:val="Hyperlink"/>
              </w:rPr>
              <w:t>Text description of ‘Figure 4: The Professional Learning Framework of the Graduate Program'</w:t>
            </w:r>
            <w:r>
              <w:rPr>
                <w:webHidden/>
              </w:rPr>
              <w:tab/>
            </w:r>
            <w:r>
              <w:rPr>
                <w:webHidden/>
              </w:rPr>
              <w:fldChar w:fldCharType="begin"/>
            </w:r>
            <w:r>
              <w:rPr>
                <w:webHidden/>
              </w:rPr>
              <w:instrText xml:space="preserve"> PAGEREF _Toc221790900 \h </w:instrText>
            </w:r>
            <w:r>
              <w:rPr>
                <w:webHidden/>
              </w:rPr>
            </w:r>
            <w:r>
              <w:rPr>
                <w:webHidden/>
              </w:rPr>
              <w:fldChar w:fldCharType="separate"/>
            </w:r>
            <w:r>
              <w:rPr>
                <w:webHidden/>
              </w:rPr>
              <w:t>39</w:t>
            </w:r>
            <w:r>
              <w:rPr>
                <w:webHidden/>
              </w:rPr>
              <w:fldChar w:fldCharType="end"/>
            </w:r>
          </w:hyperlink>
        </w:p>
        <w:p w14:paraId="49D72655" w14:textId="70B4BEA7" w:rsidR="00945C45" w:rsidRDefault="00C21F02" w:rsidP="0017306F">
          <w:pPr>
            <w:pStyle w:val="Body"/>
          </w:pPr>
          <w:r>
            <w:fldChar w:fldCharType="end"/>
          </w:r>
        </w:p>
      </w:sdtContent>
    </w:sdt>
    <w:p w14:paraId="777466C5" w14:textId="13DFE042" w:rsidR="00945C45" w:rsidRPr="004E0EE6" w:rsidRDefault="00945C45" w:rsidP="001E55E8">
      <w:pPr>
        <w:pStyle w:val="Heading1"/>
        <w:numPr>
          <w:ilvl w:val="0"/>
          <w:numId w:val="9"/>
        </w:numPr>
        <w:spacing w:before="360"/>
        <w:ind w:left="709" w:hanging="709"/>
        <w:rPr>
          <w:sz w:val="40"/>
          <w:szCs w:val="40"/>
        </w:rPr>
      </w:pPr>
      <w:r>
        <w:br w:type="page"/>
      </w:r>
      <w:bookmarkStart w:id="0" w:name="_Toc176177709"/>
      <w:bookmarkStart w:id="1" w:name="_Toc221790867"/>
      <w:r w:rsidRPr="008B4F5F">
        <w:rPr>
          <w:sz w:val="40"/>
          <w:szCs w:val="40"/>
        </w:rPr>
        <w:lastRenderedPageBreak/>
        <w:t>Introduction</w:t>
      </w:r>
      <w:bookmarkEnd w:id="0"/>
      <w:bookmarkEnd w:id="1"/>
    </w:p>
    <w:p w14:paraId="44FB37A0" w14:textId="7BA46662" w:rsidR="00AD01F6" w:rsidRDefault="00945C45" w:rsidP="009D0E8B">
      <w:pPr>
        <w:pStyle w:val="Body"/>
      </w:pPr>
      <w:r w:rsidRPr="00D816F9">
        <w:t xml:space="preserve">Victoria’s community and social services sector </w:t>
      </w:r>
      <w:proofErr w:type="gramStart"/>
      <w:r w:rsidRPr="00D816F9">
        <w:t>delivers</w:t>
      </w:r>
      <w:proofErr w:type="gramEnd"/>
      <w:r w:rsidRPr="00D816F9">
        <w:t xml:space="preserve"> a wide range of services</w:t>
      </w:r>
      <w:r w:rsidR="00AD01F6">
        <w:t>. These services are</w:t>
      </w:r>
      <w:r w:rsidRPr="00D816F9">
        <w:t xml:space="preserve"> designed to protect and promote the rights, wellbeing, and quality of life of Victorians</w:t>
      </w:r>
      <w:r w:rsidR="00AD01F6">
        <w:t>.</w:t>
      </w:r>
      <w:r w:rsidRPr="00D816F9">
        <w:t xml:space="preserve"> </w:t>
      </w:r>
      <w:r w:rsidR="00AD01F6">
        <w:t>P</w:t>
      </w:r>
      <w:r w:rsidRPr="00D816F9">
        <w:t>articularly those in need and/or at risk of harm. The sector encompasses subsectors</w:t>
      </w:r>
      <w:r w:rsidR="00AD01F6">
        <w:t xml:space="preserve"> that focus</w:t>
      </w:r>
      <w:r w:rsidRPr="00D816F9">
        <w:t xml:space="preserve"> on distinct</w:t>
      </w:r>
      <w:r w:rsidR="00AD01F6">
        <w:t xml:space="preserve"> but </w:t>
      </w:r>
      <w:r w:rsidRPr="00D816F9">
        <w:t>interrelated areas of social need. Subsectors include</w:t>
      </w:r>
      <w:r w:rsidR="00AD01F6">
        <w:t>:</w:t>
      </w:r>
      <w:r w:rsidRPr="00D816F9">
        <w:t xml:space="preserve"> </w:t>
      </w:r>
    </w:p>
    <w:p w14:paraId="2628231A" w14:textId="77777777" w:rsidR="00AD01F6" w:rsidRDefault="00945C45" w:rsidP="00AD01F6">
      <w:pPr>
        <w:pStyle w:val="Bullet1"/>
      </w:pPr>
      <w:r w:rsidRPr="00D816F9">
        <w:t>children and families</w:t>
      </w:r>
    </w:p>
    <w:p w14:paraId="1F7FBF48" w14:textId="59C9E896" w:rsidR="00AD01F6" w:rsidRDefault="00945C45" w:rsidP="00AD01F6">
      <w:pPr>
        <w:pStyle w:val="Bullet1"/>
      </w:pPr>
      <w:r w:rsidRPr="00D816F9">
        <w:t xml:space="preserve">child protection </w:t>
      </w:r>
    </w:p>
    <w:p w14:paraId="4ADDF9E5" w14:textId="31ECA33A" w:rsidR="00AD01F6" w:rsidRDefault="00945C45" w:rsidP="00AD01F6">
      <w:pPr>
        <w:pStyle w:val="Bullet1"/>
      </w:pPr>
      <w:r w:rsidRPr="00D816F9">
        <w:t xml:space="preserve">family violence </w:t>
      </w:r>
    </w:p>
    <w:p w14:paraId="4D5FF138" w14:textId="5E3EAEA7" w:rsidR="00AD01F6" w:rsidRDefault="00945C45" w:rsidP="00AD01F6">
      <w:pPr>
        <w:pStyle w:val="Bullet1"/>
      </w:pPr>
      <w:r w:rsidRPr="00D816F9">
        <w:t xml:space="preserve">sexual assault </w:t>
      </w:r>
    </w:p>
    <w:p w14:paraId="3F7F73F4" w14:textId="25BF1A8E" w:rsidR="00AD01F6" w:rsidRDefault="00945C45" w:rsidP="00AD01F6">
      <w:pPr>
        <w:pStyle w:val="Bullet1"/>
      </w:pPr>
      <w:r w:rsidRPr="00D816F9">
        <w:t xml:space="preserve">community and social housing </w:t>
      </w:r>
    </w:p>
    <w:p w14:paraId="08EB45DB" w14:textId="2F6A83EB" w:rsidR="00AD01F6" w:rsidRDefault="00945C45" w:rsidP="00AD01F6">
      <w:pPr>
        <w:pStyle w:val="Bullet1"/>
      </w:pPr>
      <w:r w:rsidRPr="00D816F9">
        <w:t xml:space="preserve">homelessness </w:t>
      </w:r>
    </w:p>
    <w:p w14:paraId="35F5D4BD" w14:textId="2453890B" w:rsidR="00AD01F6" w:rsidRDefault="00945C45" w:rsidP="00AD01F6">
      <w:pPr>
        <w:pStyle w:val="Bullet1"/>
      </w:pPr>
      <w:r w:rsidRPr="00D816F9">
        <w:t xml:space="preserve">disability support </w:t>
      </w:r>
    </w:p>
    <w:p w14:paraId="1AD46ACA" w14:textId="77777777" w:rsidR="00AD01F6" w:rsidRDefault="00945C45" w:rsidP="00AD01F6">
      <w:pPr>
        <w:pStyle w:val="Bullet1"/>
      </w:pPr>
      <w:r w:rsidRPr="00D816F9">
        <w:t>Aboriginal</w:t>
      </w:r>
      <w:r w:rsidR="00202D6C">
        <w:t xml:space="preserve"> </w:t>
      </w:r>
      <w:r w:rsidRPr="00D816F9">
        <w:t>community services</w:t>
      </w:r>
      <w:r w:rsidR="00AD01F6">
        <w:t>.</w:t>
      </w:r>
    </w:p>
    <w:p w14:paraId="1BCDAC99" w14:textId="1B8BA1D9" w:rsidR="00945C45" w:rsidRPr="00D816F9" w:rsidRDefault="00AD01F6" w:rsidP="008D66F6">
      <w:pPr>
        <w:pStyle w:val="Bodyafterbullets"/>
      </w:pPr>
      <w:r>
        <w:t xml:space="preserve">These subsectors </w:t>
      </w:r>
      <w:r w:rsidR="00202D6C">
        <w:t>deliver a range of critical community services</w:t>
      </w:r>
      <w:r w:rsidR="00945C45" w:rsidRPr="00D816F9">
        <w:t>. The sector is highly diverse and multi-faceted</w:t>
      </w:r>
      <w:r>
        <w:t>. It</w:t>
      </w:r>
      <w:r w:rsidR="00945C45" w:rsidRPr="00D816F9">
        <w:t xml:space="preserve"> </w:t>
      </w:r>
      <w:r>
        <w:t>relies</w:t>
      </w:r>
      <w:r w:rsidR="00945C45" w:rsidRPr="00D816F9">
        <w:t xml:space="preserve"> heavily on cross-sector collaboration. This collaboration enables holistic and integrated service delivery across intersecting social needs. As such, the various workforces that make up the community and social services sector require a unique mix of cross-sector</w:t>
      </w:r>
      <w:r w:rsidR="001A65F6" w:rsidRPr="00D816F9">
        <w:t xml:space="preserve"> and subsector-specific</w:t>
      </w:r>
      <w:r w:rsidR="00945C45" w:rsidRPr="00D816F9">
        <w:t xml:space="preserve"> capabilities to practice effectively. </w:t>
      </w:r>
    </w:p>
    <w:p w14:paraId="40DD3FF1" w14:textId="2875EB64" w:rsidR="00945C45" w:rsidRPr="00D816F9" w:rsidRDefault="00945C45" w:rsidP="00D816F9">
      <w:pPr>
        <w:pStyle w:val="Body"/>
        <w:spacing w:after="60"/>
      </w:pPr>
      <w:r w:rsidRPr="00D816F9">
        <w:t>The Community and Social Services Graduate Program (the Graduate Program) is</w:t>
      </w:r>
      <w:r w:rsidR="00AD01F6">
        <w:t xml:space="preserve"> for </w:t>
      </w:r>
      <w:r w:rsidRPr="00D816F9">
        <w:t>graduates in their first year of employment</w:t>
      </w:r>
      <w:r w:rsidR="00AD01F6">
        <w:t xml:space="preserve"> </w:t>
      </w:r>
      <w:r w:rsidR="007559E4">
        <w:t>in</w:t>
      </w:r>
      <w:r w:rsidR="00AD01F6">
        <w:t xml:space="preserve"> Victoria’s community and social services sector. It is designed to give graduates</w:t>
      </w:r>
      <w:r w:rsidRPr="00D816F9">
        <w:t xml:space="preserve"> </w:t>
      </w:r>
      <w:r w:rsidR="00AD01F6">
        <w:t>professional learning opportunities</w:t>
      </w:r>
      <w:r w:rsidR="007559E4">
        <w:t xml:space="preserve">. These opportunities </w:t>
      </w:r>
      <w:r w:rsidRPr="00D816F9">
        <w:t xml:space="preserve">enable </w:t>
      </w:r>
      <w:r w:rsidR="007559E4">
        <w:t>graduates</w:t>
      </w:r>
      <w:r w:rsidRPr="00D816F9">
        <w:t xml:space="preserve"> to build their cross-sector</w:t>
      </w:r>
      <w:r w:rsidR="00AD01F6">
        <w:t xml:space="preserve"> and </w:t>
      </w:r>
      <w:r w:rsidRPr="00D816F9">
        <w:t>subsector-specific capabilities. The core aim of the Graduate Program is to deliver targeted, high quality learning experiences that empower graduates to:</w:t>
      </w:r>
    </w:p>
    <w:p w14:paraId="02EAD393" w14:textId="4E90AC5A" w:rsidR="00945C45" w:rsidRPr="00D816F9" w:rsidRDefault="00272BCF" w:rsidP="008D66F6">
      <w:pPr>
        <w:pStyle w:val="Bullet1"/>
      </w:pPr>
      <w:r w:rsidRPr="00D816F9">
        <w:t>p</w:t>
      </w:r>
      <w:r w:rsidR="00945C45" w:rsidRPr="00D816F9">
        <w:t>ractice effectively and confidently with diverse service users in need and/or at risk</w:t>
      </w:r>
    </w:p>
    <w:p w14:paraId="05C36BC6" w14:textId="3239FEB7" w:rsidR="00945C45" w:rsidRPr="00D816F9" w:rsidRDefault="00272BCF" w:rsidP="008D66F6">
      <w:pPr>
        <w:pStyle w:val="Bullet1"/>
      </w:pPr>
      <w:r w:rsidRPr="00D816F9">
        <w:t>c</w:t>
      </w:r>
      <w:r w:rsidR="00945C45" w:rsidRPr="00D816F9">
        <w:t>ontribute positively to the work and culture of their employing organisations</w:t>
      </w:r>
    </w:p>
    <w:p w14:paraId="350A3558" w14:textId="323059DD" w:rsidR="00945C45" w:rsidRPr="00D816F9" w:rsidRDefault="008F2801" w:rsidP="008D66F6">
      <w:pPr>
        <w:pStyle w:val="Bullet1"/>
      </w:pPr>
      <w:r>
        <w:t>b</w:t>
      </w:r>
      <w:r w:rsidR="00945C45" w:rsidRPr="00D816F9">
        <w:t>uild a sense of belonging and professional networks with their graduate peers across communities and sectors</w:t>
      </w:r>
    </w:p>
    <w:p w14:paraId="63AD3418" w14:textId="4E72B0ED" w:rsidR="00945C45" w:rsidRPr="00D816F9" w:rsidRDefault="00272BCF" w:rsidP="008D66F6">
      <w:pPr>
        <w:pStyle w:val="Bullet1"/>
      </w:pPr>
      <w:r w:rsidRPr="00D816F9">
        <w:t>d</w:t>
      </w:r>
      <w:r w:rsidR="00945C45" w:rsidRPr="00D816F9">
        <w:t>evelop shared knowledge and skills to promote</w:t>
      </w:r>
      <w:r w:rsidR="007A7D3E">
        <w:t xml:space="preserve"> collaboration and</w:t>
      </w:r>
      <w:r w:rsidR="00945C45" w:rsidRPr="00D816F9">
        <w:t xml:space="preserve"> integrated </w:t>
      </w:r>
      <w:r w:rsidR="007A7D3E">
        <w:t xml:space="preserve">and culturally </w:t>
      </w:r>
      <w:r w:rsidR="00873488">
        <w:t>responsive</w:t>
      </w:r>
      <w:r w:rsidR="007A7D3E">
        <w:t xml:space="preserve"> </w:t>
      </w:r>
      <w:r w:rsidR="00945C45" w:rsidRPr="00D816F9">
        <w:t>practice</w:t>
      </w:r>
      <w:r w:rsidR="007A7D3E">
        <w:t xml:space="preserve"> </w:t>
      </w:r>
      <w:r w:rsidR="00945C45" w:rsidRPr="00D816F9">
        <w:t>across subsectors</w:t>
      </w:r>
    </w:p>
    <w:p w14:paraId="06B46416" w14:textId="7AD9137D" w:rsidR="00945C45" w:rsidRPr="00D816F9" w:rsidRDefault="00272BCF" w:rsidP="008D66F6">
      <w:pPr>
        <w:pStyle w:val="Bullet1"/>
      </w:pPr>
      <w:r w:rsidRPr="00D816F9">
        <w:t>e</w:t>
      </w:r>
      <w:r w:rsidR="00945C45" w:rsidRPr="00D816F9">
        <w:t>stablish a long-term career in Victorian community and social services.</w:t>
      </w:r>
    </w:p>
    <w:p w14:paraId="5DA94F7B" w14:textId="77777777" w:rsidR="00945C45" w:rsidRPr="008B4F5F" w:rsidRDefault="00945C45" w:rsidP="001E55E8">
      <w:pPr>
        <w:pStyle w:val="Heading1"/>
        <w:numPr>
          <w:ilvl w:val="0"/>
          <w:numId w:val="9"/>
        </w:numPr>
        <w:spacing w:before="360"/>
        <w:ind w:left="709" w:hanging="709"/>
        <w:rPr>
          <w:sz w:val="40"/>
          <w:szCs w:val="40"/>
        </w:rPr>
      </w:pPr>
      <w:bookmarkStart w:id="2" w:name="_Toc1752230156"/>
      <w:bookmarkStart w:id="3" w:name="_Toc176177710"/>
      <w:bookmarkStart w:id="4" w:name="_Toc221790868"/>
      <w:r w:rsidRPr="008B4F5F">
        <w:rPr>
          <w:sz w:val="40"/>
          <w:szCs w:val="40"/>
        </w:rPr>
        <w:t>The Professional Learning Framework</w:t>
      </w:r>
      <w:bookmarkEnd w:id="2"/>
      <w:bookmarkEnd w:id="3"/>
      <w:bookmarkEnd w:id="4"/>
    </w:p>
    <w:p w14:paraId="35CBFF66" w14:textId="77777777" w:rsidR="00581DA1" w:rsidRDefault="00945C45" w:rsidP="00581DA1">
      <w:pPr>
        <w:pStyle w:val="Body"/>
      </w:pPr>
      <w:r w:rsidRPr="00623AB5">
        <w:t xml:space="preserve">The Professional Learning Framework for the Graduate Program (the Framework) </w:t>
      </w:r>
      <w:r w:rsidR="00581DA1">
        <w:t xml:space="preserve">is for: </w:t>
      </w:r>
    </w:p>
    <w:p w14:paraId="21671B4C" w14:textId="77777777" w:rsidR="00581DA1" w:rsidRDefault="00581DA1" w:rsidP="00581DA1">
      <w:pPr>
        <w:pStyle w:val="Bullet1"/>
      </w:pPr>
      <w:r>
        <w:t>participating graduates</w:t>
      </w:r>
    </w:p>
    <w:p w14:paraId="45B354FC" w14:textId="77777777" w:rsidR="00581DA1" w:rsidRDefault="00581DA1" w:rsidP="00581DA1">
      <w:pPr>
        <w:pStyle w:val="Bullet1"/>
      </w:pPr>
      <w:r>
        <w:t xml:space="preserve">their supervisors </w:t>
      </w:r>
    </w:p>
    <w:p w14:paraId="371C2D52" w14:textId="0750E6CF" w:rsidR="00581DA1" w:rsidRDefault="00581DA1" w:rsidP="008D66F6">
      <w:pPr>
        <w:pStyle w:val="Bullet1"/>
      </w:pPr>
      <w:r>
        <w:t>employing organisations.</w:t>
      </w:r>
    </w:p>
    <w:p w14:paraId="59D18E2E" w14:textId="77777777" w:rsidR="00581DA1" w:rsidRDefault="00581DA1" w:rsidP="008D66F6">
      <w:pPr>
        <w:pStyle w:val="Bodyafterbullets"/>
      </w:pPr>
      <w:r>
        <w:t xml:space="preserve">The Framework: </w:t>
      </w:r>
    </w:p>
    <w:p w14:paraId="398E8F0C" w14:textId="2C698A19" w:rsidR="00581DA1" w:rsidRDefault="00581DA1" w:rsidP="00581DA1">
      <w:pPr>
        <w:pStyle w:val="Bullet1"/>
      </w:pPr>
      <w:r>
        <w:t>offers</w:t>
      </w:r>
      <w:r w:rsidR="00945C45" w:rsidRPr="00623AB5">
        <w:t xml:space="preserve"> a road map for graduates’ professional learning</w:t>
      </w:r>
      <w:r>
        <w:t xml:space="preserve"> </w:t>
      </w:r>
    </w:p>
    <w:p w14:paraId="3E32AC04" w14:textId="0DDFAB5B" w:rsidR="00581DA1" w:rsidRDefault="00945C45" w:rsidP="00581DA1">
      <w:pPr>
        <w:pStyle w:val="Bullet1"/>
      </w:pPr>
      <w:r w:rsidRPr="00623AB5">
        <w:t xml:space="preserve">aims to guide the learning of </w:t>
      </w:r>
      <w:r w:rsidR="00600ADE">
        <w:t>recently</w:t>
      </w:r>
      <w:r w:rsidRPr="00623AB5">
        <w:t xml:space="preserve"> qualified, frontline practitioners </w:t>
      </w:r>
      <w:r w:rsidR="00581DA1">
        <w:t>establishing their careers</w:t>
      </w:r>
      <w:r w:rsidR="007559E4">
        <w:t xml:space="preserve"> </w:t>
      </w:r>
    </w:p>
    <w:p w14:paraId="2EDCDC52" w14:textId="05D4D1E8" w:rsidR="00945C45" w:rsidRPr="00623AB5" w:rsidRDefault="007559E4" w:rsidP="008D66F6">
      <w:pPr>
        <w:pStyle w:val="Bullet1"/>
      </w:pPr>
      <w:r>
        <w:t xml:space="preserve">aims to support </w:t>
      </w:r>
      <w:r w:rsidR="00945C45" w:rsidRPr="00623AB5">
        <w:t>them to thrive in the dynamic, complex environments of community and social service delivery.</w:t>
      </w:r>
    </w:p>
    <w:p w14:paraId="69FD06A2" w14:textId="20C9C317" w:rsidR="00945C45" w:rsidRPr="00623AB5" w:rsidRDefault="00945C45" w:rsidP="008D66F6">
      <w:pPr>
        <w:pStyle w:val="Bodyafterbullets"/>
      </w:pPr>
      <w:r w:rsidRPr="00623AB5">
        <w:lastRenderedPageBreak/>
        <w:t>The Framework is specifically designed to apply to newly qualified practitioners who have completed a university or TAFE qualification</w:t>
      </w:r>
      <w:r w:rsidR="00581DA1">
        <w:t>.</w:t>
      </w:r>
      <w:r w:rsidRPr="00623AB5">
        <w:t xml:space="preserve"> </w:t>
      </w:r>
      <w:r w:rsidR="00581DA1">
        <w:t>A</w:t>
      </w:r>
      <w:r w:rsidRPr="00623AB5">
        <w:t>nd are currently employed in the following services within Victoria:</w:t>
      </w:r>
    </w:p>
    <w:p w14:paraId="7F2D0C67" w14:textId="774DFC14" w:rsidR="00945C45" w:rsidRPr="00101FF8" w:rsidRDefault="00581DA1" w:rsidP="008D66F6">
      <w:pPr>
        <w:pStyle w:val="Bullet1"/>
      </w:pPr>
      <w:r>
        <w:t>f</w:t>
      </w:r>
      <w:r w:rsidR="00945C45" w:rsidRPr="00101FF8">
        <w:t xml:space="preserve">amily </w:t>
      </w:r>
      <w:r w:rsidR="0030622E" w:rsidRPr="00101FF8">
        <w:t>v</w:t>
      </w:r>
      <w:r w:rsidR="00945C45" w:rsidRPr="00101FF8">
        <w:t>iolence</w:t>
      </w:r>
    </w:p>
    <w:p w14:paraId="7E41B969" w14:textId="05CC8A59" w:rsidR="00945C45" w:rsidRPr="00101FF8" w:rsidRDefault="00581DA1" w:rsidP="008D66F6">
      <w:pPr>
        <w:pStyle w:val="Bullet1"/>
      </w:pPr>
      <w:r>
        <w:t>s</w:t>
      </w:r>
      <w:r w:rsidR="00945C45" w:rsidRPr="00101FF8">
        <w:t xml:space="preserve">exual </w:t>
      </w:r>
      <w:r w:rsidR="00B65998" w:rsidRPr="00101FF8">
        <w:t>a</w:t>
      </w:r>
      <w:r w:rsidR="00945C45" w:rsidRPr="00101FF8">
        <w:t>ssault</w:t>
      </w:r>
    </w:p>
    <w:p w14:paraId="3A72E3DC" w14:textId="12E42E35" w:rsidR="00945C45" w:rsidRPr="00101FF8" w:rsidRDefault="00581DA1" w:rsidP="008D66F6">
      <w:pPr>
        <w:pStyle w:val="Bullet1"/>
      </w:pPr>
      <w:r>
        <w:t>c</w:t>
      </w:r>
      <w:r w:rsidR="00945C45" w:rsidRPr="00101FF8">
        <w:t xml:space="preserve">hild and </w:t>
      </w:r>
      <w:r w:rsidR="00B65998" w:rsidRPr="00101FF8">
        <w:t>f</w:t>
      </w:r>
      <w:r w:rsidR="00945C45" w:rsidRPr="00101FF8">
        <w:t>amily</w:t>
      </w:r>
    </w:p>
    <w:p w14:paraId="649C4C5B" w14:textId="7C0BEF63" w:rsidR="00945C45" w:rsidRPr="00101FF8" w:rsidRDefault="00945C45" w:rsidP="008D66F6">
      <w:pPr>
        <w:pStyle w:val="Bullet1"/>
      </w:pPr>
      <w:r w:rsidRPr="00101FF8">
        <w:t>Child Protection</w:t>
      </w:r>
    </w:p>
    <w:p w14:paraId="5B2A2C4D" w14:textId="1EA8FB66" w:rsidR="00945C45" w:rsidRPr="00101FF8" w:rsidRDefault="00B65998" w:rsidP="008D66F6">
      <w:pPr>
        <w:pStyle w:val="Bullet1"/>
      </w:pPr>
      <w:r w:rsidRPr="00101FF8">
        <w:t>o</w:t>
      </w:r>
      <w:r w:rsidR="00945C45" w:rsidRPr="00101FF8">
        <w:t>ut-of-</w:t>
      </w:r>
      <w:r w:rsidRPr="00101FF8">
        <w:t>h</w:t>
      </w:r>
      <w:r w:rsidR="00945C45" w:rsidRPr="00101FF8">
        <w:t xml:space="preserve">ome </w:t>
      </w:r>
      <w:r w:rsidRPr="00101FF8">
        <w:t>c</w:t>
      </w:r>
      <w:r w:rsidR="00945C45" w:rsidRPr="00101FF8">
        <w:t>are</w:t>
      </w:r>
    </w:p>
    <w:p w14:paraId="7BF27FBA" w14:textId="56CD71BB" w:rsidR="00945C45" w:rsidRPr="00101FF8" w:rsidRDefault="00581DA1" w:rsidP="008D66F6">
      <w:pPr>
        <w:pStyle w:val="Bullet1"/>
      </w:pPr>
      <w:r>
        <w:t>d</w:t>
      </w:r>
      <w:r w:rsidR="00945C45" w:rsidRPr="00101FF8">
        <w:t xml:space="preserve">isability </w:t>
      </w:r>
      <w:r w:rsidR="00B65998" w:rsidRPr="00101FF8">
        <w:t>and forensic disability</w:t>
      </w:r>
    </w:p>
    <w:p w14:paraId="211B0925" w14:textId="229101E8" w:rsidR="00945C45" w:rsidRPr="00101FF8" w:rsidRDefault="00581DA1" w:rsidP="008D66F6">
      <w:pPr>
        <w:pStyle w:val="Bullet1"/>
      </w:pPr>
      <w:r>
        <w:t>s</w:t>
      </w:r>
      <w:r w:rsidR="00945C45" w:rsidRPr="00101FF8">
        <w:t xml:space="preserve">ocial </w:t>
      </w:r>
      <w:r w:rsidR="00D737A8" w:rsidRPr="00101FF8">
        <w:t xml:space="preserve">and </w:t>
      </w:r>
      <w:r w:rsidR="00B65998" w:rsidRPr="00101FF8">
        <w:t>c</w:t>
      </w:r>
      <w:r w:rsidR="00945C45" w:rsidRPr="00101FF8">
        <w:t xml:space="preserve">ommunity </w:t>
      </w:r>
      <w:r w:rsidR="00D737A8" w:rsidRPr="00101FF8">
        <w:t>h</w:t>
      </w:r>
      <w:r w:rsidR="00945C45" w:rsidRPr="00101FF8">
        <w:t>ousing</w:t>
      </w:r>
    </w:p>
    <w:p w14:paraId="253A8C9C" w14:textId="3002D522" w:rsidR="00945C45" w:rsidRPr="00101FF8" w:rsidRDefault="00581DA1" w:rsidP="008D66F6">
      <w:pPr>
        <w:pStyle w:val="Bullet1"/>
      </w:pPr>
      <w:r>
        <w:t>h</w:t>
      </w:r>
      <w:r w:rsidR="00945C45" w:rsidRPr="00101FF8">
        <w:t>omelessness</w:t>
      </w:r>
    </w:p>
    <w:p w14:paraId="5231110A" w14:textId="0B3A05D3" w:rsidR="00945C45" w:rsidRPr="00101FF8" w:rsidRDefault="00904961" w:rsidP="008D66F6">
      <w:pPr>
        <w:pStyle w:val="Bullet1"/>
      </w:pPr>
      <w:r>
        <w:t>community services</w:t>
      </w:r>
      <w:r w:rsidR="00945C45" w:rsidRPr="00101FF8">
        <w:t xml:space="preserve"> provided by an Aboriginal Community Controlled Organisation</w:t>
      </w:r>
    </w:p>
    <w:p w14:paraId="3F679AB4" w14:textId="77777777" w:rsidR="00945C45" w:rsidRPr="00767740" w:rsidRDefault="00945C45" w:rsidP="008D66F6">
      <w:pPr>
        <w:pStyle w:val="Bullet1"/>
      </w:pPr>
      <w:r w:rsidRPr="005C4BDB">
        <w:t xml:space="preserve">other community services funded through service agreements with the </w:t>
      </w:r>
      <w:r w:rsidRPr="00767740">
        <w:t>Department of Families, Fairness and Housing (DFFH).</w:t>
      </w:r>
    </w:p>
    <w:p w14:paraId="1799546F" w14:textId="00D6848F" w:rsidR="00581DA1" w:rsidRDefault="00A5123A" w:rsidP="00B539FD">
      <w:pPr>
        <w:pStyle w:val="Bodyafterbullets"/>
      </w:pPr>
      <w:r w:rsidRPr="00623AB5">
        <w:t xml:space="preserve">To inform the Framework development, Deakin University undertook </w:t>
      </w:r>
      <w:r w:rsidR="00945C45" w:rsidRPr="00623AB5">
        <w:t>a scoping review of international literature on graduate professional learning</w:t>
      </w:r>
      <w:r w:rsidR="00E467EA" w:rsidRPr="00162760">
        <w:rPr>
          <w:vertAlign w:val="superscript"/>
        </w:rPr>
        <w:footnoteReference w:id="4"/>
      </w:r>
      <w:r w:rsidR="00581DA1">
        <w:t>.</w:t>
      </w:r>
      <w:r w:rsidR="00945C45" w:rsidRPr="00623AB5">
        <w:t xml:space="preserve"> </w:t>
      </w:r>
      <w:r w:rsidR="00581DA1">
        <w:t>A</w:t>
      </w:r>
      <w:r w:rsidR="00945C45" w:rsidRPr="00623AB5">
        <w:t xml:space="preserve">nd </w:t>
      </w:r>
      <w:r w:rsidR="00581DA1">
        <w:t xml:space="preserve">did </w:t>
      </w:r>
      <w:r w:rsidR="00945C45" w:rsidRPr="00623AB5">
        <w:t>a scan of Australian-based workforce capability frameworks</w:t>
      </w:r>
      <w:r w:rsidRPr="00623AB5">
        <w:t xml:space="preserve">. </w:t>
      </w:r>
      <w:r w:rsidR="007559E4">
        <w:t xml:space="preserve">Deakin University consulted </w:t>
      </w:r>
      <w:r w:rsidR="001163EA" w:rsidRPr="00623AB5">
        <w:t>with</w:t>
      </w:r>
      <w:r w:rsidR="00581DA1">
        <w:t>:</w:t>
      </w:r>
      <w:r w:rsidR="00945C45" w:rsidRPr="00623AB5">
        <w:t xml:space="preserve"> </w:t>
      </w:r>
    </w:p>
    <w:p w14:paraId="12768852" w14:textId="40A803AB" w:rsidR="00581DA1" w:rsidRDefault="003F55C6" w:rsidP="00581DA1">
      <w:pPr>
        <w:pStyle w:val="Bullet1"/>
      </w:pPr>
      <w:r w:rsidRPr="00623AB5">
        <w:t xml:space="preserve">sector </w:t>
      </w:r>
      <w:r w:rsidR="00945C45" w:rsidRPr="00623AB5">
        <w:t>peak bod</w:t>
      </w:r>
      <w:r w:rsidRPr="00623AB5">
        <w:t xml:space="preserve">ies </w:t>
      </w:r>
    </w:p>
    <w:p w14:paraId="4409DCD5" w14:textId="08A186ED" w:rsidR="00581DA1" w:rsidRDefault="00DE4584" w:rsidP="00581DA1">
      <w:pPr>
        <w:pStyle w:val="Bullet1"/>
      </w:pPr>
      <w:r w:rsidRPr="00623AB5">
        <w:t xml:space="preserve">DFFH staff </w:t>
      </w:r>
      <w:r w:rsidR="004A643F" w:rsidRPr="00623AB5">
        <w:t xml:space="preserve">and supervisors </w:t>
      </w:r>
    </w:p>
    <w:p w14:paraId="0BEF255C" w14:textId="23AD224E" w:rsidR="004A643F" w:rsidRPr="00623AB5" w:rsidRDefault="004A643F" w:rsidP="008D66F6">
      <w:pPr>
        <w:pStyle w:val="Bullet1"/>
      </w:pPr>
      <w:r w:rsidRPr="00623AB5">
        <w:t xml:space="preserve">managers and early career practitioners working across Victoria’s government and community-based social services. </w:t>
      </w:r>
    </w:p>
    <w:p w14:paraId="7078FAB5" w14:textId="3E261DF7" w:rsidR="004A643F" w:rsidRPr="008B4F5F" w:rsidRDefault="004A643F" w:rsidP="001E55E8">
      <w:pPr>
        <w:pStyle w:val="Heading1"/>
        <w:numPr>
          <w:ilvl w:val="0"/>
          <w:numId w:val="9"/>
        </w:numPr>
        <w:spacing w:before="360"/>
        <w:ind w:left="709" w:hanging="709"/>
        <w:rPr>
          <w:sz w:val="40"/>
          <w:szCs w:val="40"/>
        </w:rPr>
      </w:pPr>
      <w:bookmarkStart w:id="5" w:name="_Toc142721739"/>
      <w:bookmarkStart w:id="6" w:name="_Toc176177711"/>
      <w:bookmarkStart w:id="7" w:name="_Toc221790869"/>
      <w:r w:rsidRPr="008B4F5F">
        <w:rPr>
          <w:sz w:val="40"/>
          <w:szCs w:val="40"/>
        </w:rPr>
        <w:t xml:space="preserve">Using this </w:t>
      </w:r>
      <w:r w:rsidR="00F57695">
        <w:rPr>
          <w:sz w:val="40"/>
          <w:szCs w:val="40"/>
        </w:rPr>
        <w:t>f</w:t>
      </w:r>
      <w:r w:rsidRPr="008B4F5F">
        <w:rPr>
          <w:sz w:val="40"/>
          <w:szCs w:val="40"/>
        </w:rPr>
        <w:t>ramework</w:t>
      </w:r>
      <w:bookmarkEnd w:id="5"/>
      <w:bookmarkEnd w:id="6"/>
      <w:bookmarkEnd w:id="7"/>
    </w:p>
    <w:p w14:paraId="198927A4" w14:textId="57B9D51C" w:rsidR="004A643F" w:rsidRDefault="004A643F" w:rsidP="005C4BDB">
      <w:pPr>
        <w:pStyle w:val="Body"/>
        <w:spacing w:after="60"/>
      </w:pPr>
      <w:r w:rsidRPr="00623AB5">
        <w:t>The Framework is intended as a tool for identifying and planning for each graduate’s professional learning needs</w:t>
      </w:r>
      <w:r w:rsidR="005368BC">
        <w:t>. These are</w:t>
      </w:r>
      <w:r w:rsidRPr="00623AB5">
        <w:t xml:space="preserve"> defined by the graduate and their workplace supervisor. </w:t>
      </w:r>
      <w:r w:rsidR="005368BC">
        <w:t>I</w:t>
      </w:r>
      <w:r w:rsidRPr="00623AB5">
        <w:t>t is recommended that the Framework is used as part of professional supervision to:</w:t>
      </w:r>
    </w:p>
    <w:p w14:paraId="0CCCC44C" w14:textId="4FB7127A" w:rsidR="004A643F" w:rsidRPr="006C743D" w:rsidRDefault="004A643F" w:rsidP="008D66F6">
      <w:pPr>
        <w:pStyle w:val="Bullet1"/>
      </w:pPr>
      <w:r w:rsidRPr="006C743D">
        <w:t>develop a shared understanding of a graduate’s existing knowledge and capabilities and their individual learning needs</w:t>
      </w:r>
    </w:p>
    <w:p w14:paraId="095C9B0F" w14:textId="7988E92F" w:rsidR="004A643F" w:rsidRPr="00101FF8" w:rsidRDefault="004A643F" w:rsidP="008D66F6">
      <w:pPr>
        <w:pStyle w:val="Bullet1"/>
      </w:pPr>
      <w:r>
        <w:t>inform</w:t>
      </w:r>
      <w:r w:rsidRPr="00101FF8">
        <w:t xml:space="preserve"> a graduate</w:t>
      </w:r>
      <w:r>
        <w:t>’s</w:t>
      </w:r>
      <w:r w:rsidRPr="00101FF8">
        <w:t xml:space="preserve"> </w:t>
      </w:r>
      <w:r w:rsidR="003B4DFF">
        <w:t>i</w:t>
      </w:r>
      <w:r w:rsidRPr="00101FF8">
        <w:t xml:space="preserve">ndividual Learning </w:t>
      </w:r>
      <w:r w:rsidR="003B4DFF">
        <w:t xml:space="preserve">and Development </w:t>
      </w:r>
      <w:r w:rsidRPr="00101FF8">
        <w:t>Plan</w:t>
      </w:r>
      <w:r w:rsidR="00086F0B">
        <w:t xml:space="preserve"> (refer Appendix 1)</w:t>
      </w:r>
      <w:r w:rsidRPr="00101FF8">
        <w:t xml:space="preserve"> </w:t>
      </w:r>
    </w:p>
    <w:p w14:paraId="6695E0A7" w14:textId="1F187A60" w:rsidR="004A643F" w:rsidRPr="00101FF8" w:rsidRDefault="004A643F" w:rsidP="008D66F6">
      <w:pPr>
        <w:pStyle w:val="Bullet1"/>
      </w:pPr>
      <w:r w:rsidRPr="00101FF8">
        <w:t>identify the training and professional development opportunities that will support the graduate to meet their learning needs</w:t>
      </w:r>
      <w:r w:rsidR="005368BC">
        <w:t>. This includes</w:t>
      </w:r>
      <w:r w:rsidRPr="00101FF8">
        <w:t xml:space="preserve"> Graduate Program provided </w:t>
      </w:r>
      <w:r>
        <w:t xml:space="preserve">cross-sector </w:t>
      </w:r>
      <w:r w:rsidRPr="00101FF8">
        <w:t>learning</w:t>
      </w:r>
      <w:r w:rsidR="000903D6">
        <w:t xml:space="preserve"> and development </w:t>
      </w:r>
      <w:r w:rsidR="00560CDE">
        <w:t>opportunities</w:t>
      </w:r>
    </w:p>
    <w:p w14:paraId="1ED861ED" w14:textId="16425638" w:rsidR="004A643F" w:rsidRPr="00101FF8" w:rsidRDefault="004A643F" w:rsidP="008D66F6">
      <w:pPr>
        <w:pStyle w:val="Bullet1"/>
      </w:pPr>
      <w:r w:rsidRPr="00101FF8">
        <w:lastRenderedPageBreak/>
        <w:t>provide a structure for continuous learning that builds on the graduate’s pre-service education and any previous work</w:t>
      </w:r>
      <w:r w:rsidR="00560CDE">
        <w:t xml:space="preserve"> and lived </w:t>
      </w:r>
      <w:r w:rsidRPr="00101FF8">
        <w:t>experiences and sets the stage for future career development.</w:t>
      </w:r>
    </w:p>
    <w:p w14:paraId="1E021E87" w14:textId="2905BC4B" w:rsidR="005368BC" w:rsidRDefault="004A643F" w:rsidP="00B539FD">
      <w:pPr>
        <w:pStyle w:val="Bodyafterbullets"/>
      </w:pPr>
      <w:r w:rsidRPr="00623AB5">
        <w:t xml:space="preserve">The Framework is not intended as the blueprint for a 12-month formal training program in the graduate year. </w:t>
      </w:r>
      <w:r w:rsidR="005368BC">
        <w:t>T</w:t>
      </w:r>
      <w:r w:rsidRPr="00623AB5">
        <w:t xml:space="preserve">here will be cross-sector </w:t>
      </w:r>
      <w:r w:rsidR="000D5498">
        <w:t>opportunities</w:t>
      </w:r>
      <w:r w:rsidRPr="00623AB5">
        <w:t xml:space="preserve"> as part of the Graduate Program</w:t>
      </w:r>
      <w:r w:rsidR="005368BC">
        <w:t>. But</w:t>
      </w:r>
      <w:r w:rsidRPr="00623AB5">
        <w:t xml:space="preserve"> the range of learning and development activities ‘on the job’ will serve as the main avenues for graduate professional learning</w:t>
      </w:r>
      <w:r w:rsidRPr="003D750B">
        <w:rPr>
          <w:vertAlign w:val="superscript"/>
        </w:rPr>
        <w:footnoteReference w:id="5"/>
      </w:r>
      <w:r w:rsidRPr="00623AB5">
        <w:t>. As outlined in Figure 1, these activities include</w:t>
      </w:r>
      <w:r w:rsidR="005368BC">
        <w:t>:</w:t>
      </w:r>
      <w:r w:rsidRPr="00623AB5">
        <w:t xml:space="preserve"> </w:t>
      </w:r>
    </w:p>
    <w:p w14:paraId="7AD27626" w14:textId="77777777" w:rsidR="005368BC" w:rsidRDefault="004A643F" w:rsidP="005368BC">
      <w:pPr>
        <w:pStyle w:val="Bullet1"/>
      </w:pPr>
      <w:r w:rsidRPr="00623AB5">
        <w:t>professional supervision and support for day-to-day practice</w:t>
      </w:r>
    </w:p>
    <w:p w14:paraId="0FAF24ED" w14:textId="3B3BD463" w:rsidR="005368BC" w:rsidRDefault="004A643F" w:rsidP="005368BC">
      <w:pPr>
        <w:pStyle w:val="Bullet1"/>
      </w:pPr>
      <w:r w:rsidRPr="00623AB5">
        <w:t>guidance by experienced practitioners</w:t>
      </w:r>
    </w:p>
    <w:p w14:paraId="76F0D4A8" w14:textId="6649E60A" w:rsidR="005368BC" w:rsidRDefault="004A643F" w:rsidP="005368BC">
      <w:pPr>
        <w:pStyle w:val="Bullet1"/>
      </w:pPr>
      <w:r w:rsidRPr="00623AB5">
        <w:t xml:space="preserve">shadowing experienced practitioners </w:t>
      </w:r>
    </w:p>
    <w:p w14:paraId="7BA49A57" w14:textId="77777777" w:rsidR="005368BC" w:rsidRDefault="004A643F" w:rsidP="005368BC">
      <w:pPr>
        <w:pStyle w:val="Bullet1"/>
      </w:pPr>
      <w:r w:rsidRPr="00623AB5">
        <w:t xml:space="preserve">reflective practice. </w:t>
      </w:r>
    </w:p>
    <w:p w14:paraId="1D9B6E2D" w14:textId="675F57B6" w:rsidR="004F4625" w:rsidRDefault="004A643F" w:rsidP="008D66F6">
      <w:pPr>
        <w:pStyle w:val="Bodyafterbullets"/>
      </w:pPr>
      <w:r w:rsidRPr="00623AB5">
        <w:t xml:space="preserve">It also includes training and other professional development opportunities facilitated by </w:t>
      </w:r>
      <w:r w:rsidR="005907FB">
        <w:t xml:space="preserve">employing </w:t>
      </w:r>
      <w:r w:rsidRPr="00623AB5">
        <w:t xml:space="preserve">organisation and/or subsector peaks. </w:t>
      </w:r>
    </w:p>
    <w:p w14:paraId="087B1DD6" w14:textId="77777777" w:rsidR="0020132A" w:rsidRPr="00740DE2" w:rsidRDefault="0020132A" w:rsidP="00EF1504">
      <w:pPr>
        <w:pStyle w:val="Figurecaption"/>
      </w:pPr>
      <w:r w:rsidRPr="00740DE2">
        <w:t>Figure 1: Graduate learning and development</w:t>
      </w:r>
      <w:r>
        <w:t xml:space="preserve"> activities</w:t>
      </w:r>
    </w:p>
    <w:p w14:paraId="3D1C2783" w14:textId="068E721A" w:rsidR="004F4625" w:rsidRDefault="004F4625" w:rsidP="008D66F6">
      <w:pPr>
        <w:pStyle w:val="Bodyafterbullets"/>
      </w:pPr>
      <w:r>
        <w:rPr>
          <w:rFonts w:cs="Arial"/>
          <w:noProof/>
        </w:rPr>
        <w:drawing>
          <wp:inline distT="0" distB="0" distL="0" distR="0" wp14:anchorId="2C4702E5" wp14:editId="62B84982">
            <wp:extent cx="5882999" cy="2456054"/>
            <wp:effectExtent l="0" t="0" r="3810" b="1905"/>
            <wp:docPr id="536066846" name="Picture 1" descr="Graduate learning and development activities are split into cross-sector activities and on-the-job activities.&#10;&#10;Cross-sector activities:&#10;-Cross-sector orientation&#10;-Learning Series&#10;-Peer learning Networks &#10;&#10;On-the-job activities:&#10;-Organisation-specific induction and orientation&#10;-Professional supervision &#10;-Reflective practice &#10;-Professional learning and development&#10;-Guidance by experienced practitioners   &#10;&#10;Eight graduate learning and development activities split into cross-sector and on-the-job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66846" name="Picture 1" descr="Graduate learning and development activities are split into cross-sector activities and on-the-job activities.&#10;&#10;Cross-sector activities:&#10;-Cross-sector orientation&#10;-Learning Series&#10;-Peer learning Networks &#10;&#10;On-the-job activities:&#10;-Organisation-specific induction and orientation&#10;-Professional supervision &#10;-Reflective practice &#10;-Professional learning and development&#10;-Guidance by experienced practitioners   &#10;&#10;Eight graduate learning and development activities split into cross-sector and on-the-job activities."/>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82999" cy="2456054"/>
                    </a:xfrm>
                    <a:prstGeom prst="rect">
                      <a:avLst/>
                    </a:prstGeom>
                  </pic:spPr>
                </pic:pic>
              </a:graphicData>
            </a:graphic>
          </wp:inline>
        </w:drawing>
      </w:r>
    </w:p>
    <w:p w14:paraId="671DFA79" w14:textId="77777777" w:rsidR="00EF1504" w:rsidRDefault="00EF1504">
      <w:pPr>
        <w:spacing w:after="0" w:line="240" w:lineRule="auto"/>
        <w:rPr>
          <w:rFonts w:eastAsia="MS Gothic" w:cs="Arial"/>
          <w:bCs/>
          <w:color w:val="201547"/>
          <w:kern w:val="32"/>
          <w:sz w:val="40"/>
          <w:szCs w:val="40"/>
        </w:rPr>
      </w:pPr>
      <w:bookmarkStart w:id="8" w:name="_Toc176337406"/>
      <w:bookmarkStart w:id="9" w:name="_Toc176338795"/>
      <w:bookmarkStart w:id="10" w:name="_Toc176337407"/>
      <w:bookmarkStart w:id="11" w:name="_Toc176338796"/>
      <w:bookmarkStart w:id="12" w:name="_Toc176337412"/>
      <w:bookmarkStart w:id="13" w:name="_Toc176338801"/>
      <w:bookmarkStart w:id="14" w:name="_Toc2054626654"/>
      <w:bookmarkStart w:id="15" w:name="_Toc176177712"/>
      <w:bookmarkEnd w:id="8"/>
      <w:bookmarkEnd w:id="9"/>
      <w:bookmarkEnd w:id="10"/>
      <w:bookmarkEnd w:id="11"/>
      <w:bookmarkEnd w:id="12"/>
      <w:bookmarkEnd w:id="13"/>
      <w:r>
        <w:rPr>
          <w:sz w:val="40"/>
          <w:szCs w:val="40"/>
        </w:rPr>
        <w:br w:type="page"/>
      </w:r>
    </w:p>
    <w:p w14:paraId="64BC749C" w14:textId="76C550CD" w:rsidR="004A643F" w:rsidRPr="008B4F5F" w:rsidRDefault="004A643F" w:rsidP="001E55E8">
      <w:pPr>
        <w:pStyle w:val="Heading1"/>
        <w:numPr>
          <w:ilvl w:val="0"/>
          <w:numId w:val="9"/>
        </w:numPr>
        <w:spacing w:before="360"/>
        <w:ind w:left="709" w:hanging="709"/>
        <w:rPr>
          <w:sz w:val="40"/>
          <w:szCs w:val="40"/>
        </w:rPr>
      </w:pPr>
      <w:bookmarkStart w:id="16" w:name="_Toc221790870"/>
      <w:r w:rsidRPr="008B4F5F">
        <w:rPr>
          <w:sz w:val="40"/>
          <w:szCs w:val="40"/>
        </w:rPr>
        <w:lastRenderedPageBreak/>
        <w:t xml:space="preserve">Framework </w:t>
      </w:r>
      <w:r w:rsidR="00F57695">
        <w:rPr>
          <w:sz w:val="40"/>
          <w:szCs w:val="40"/>
        </w:rPr>
        <w:t>s</w:t>
      </w:r>
      <w:r w:rsidRPr="008B4F5F">
        <w:rPr>
          <w:sz w:val="40"/>
          <w:szCs w:val="40"/>
        </w:rPr>
        <w:t>tructure</w:t>
      </w:r>
      <w:bookmarkEnd w:id="14"/>
      <w:bookmarkEnd w:id="15"/>
      <w:bookmarkEnd w:id="16"/>
    </w:p>
    <w:p w14:paraId="22BEFCDE" w14:textId="0535CCEC" w:rsidR="004A643F" w:rsidRDefault="004A643F" w:rsidP="00623AB5">
      <w:pPr>
        <w:pStyle w:val="Body"/>
      </w:pPr>
      <w:r w:rsidRPr="00623AB5">
        <w:t>The Framework has four components as outlined in Figure 2</w:t>
      </w:r>
      <w:r>
        <w:t>.</w:t>
      </w:r>
    </w:p>
    <w:p w14:paraId="3E8D726F" w14:textId="77777777" w:rsidR="00E345B1" w:rsidRPr="005437B1" w:rsidRDefault="00E345B1" w:rsidP="00E345B1">
      <w:pPr>
        <w:pStyle w:val="Figurecaption"/>
      </w:pPr>
      <w:bookmarkStart w:id="17" w:name="_Toc173223134"/>
      <w:r w:rsidRPr="002D4059">
        <w:t xml:space="preserve">Figure </w:t>
      </w:r>
      <w:r w:rsidRPr="002D4059">
        <w:fldChar w:fldCharType="begin"/>
      </w:r>
      <w:r w:rsidRPr="002D4059">
        <w:instrText xml:space="preserve"> SEQ Figure \* ARABIC </w:instrText>
      </w:r>
      <w:r w:rsidRPr="002D4059">
        <w:fldChar w:fldCharType="separate"/>
      </w:r>
      <w:r>
        <w:t>2</w:t>
      </w:r>
      <w:r w:rsidRPr="002D4059">
        <w:fldChar w:fldCharType="end"/>
      </w:r>
      <w:r>
        <w:t>:</w:t>
      </w:r>
      <w:r w:rsidRPr="002D4059">
        <w:t xml:space="preserve"> Professional Learning Framework Structure</w:t>
      </w:r>
      <w:bookmarkEnd w:id="17"/>
    </w:p>
    <w:p w14:paraId="696A9845" w14:textId="29B22227" w:rsidR="008E729E" w:rsidRDefault="00C624A5" w:rsidP="00623AB5">
      <w:pPr>
        <w:pStyle w:val="Body"/>
      </w:pPr>
      <w:r w:rsidRPr="00C624A5">
        <w:rPr>
          <w:noProof/>
        </w:rPr>
        <w:drawing>
          <wp:inline distT="0" distB="0" distL="0" distR="0" wp14:anchorId="5A50CB64" wp14:editId="7A6FB5B9">
            <wp:extent cx="3524250" cy="2990850"/>
            <wp:effectExtent l="0" t="0" r="0" b="0"/>
            <wp:docPr id="1969563808" name="Picture 3" descr="List of the four components of the Learning Framework:&#10;1. Learning Outcomes&#10;2. Learning Areas&#10;3. Learning Domains&#10;4. Learning Princi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63808" name="Picture 3" descr="List of the four components of the Learning Framework:&#10;1. Learning Outcomes&#10;2. Learning Areas&#10;3. Learning Domains&#10;4. Learning Principl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4250" cy="2990850"/>
                    </a:xfrm>
                    <a:prstGeom prst="rect">
                      <a:avLst/>
                    </a:prstGeom>
                    <a:noFill/>
                    <a:ln>
                      <a:noFill/>
                    </a:ln>
                  </pic:spPr>
                </pic:pic>
              </a:graphicData>
            </a:graphic>
          </wp:inline>
        </w:drawing>
      </w:r>
    </w:p>
    <w:p w14:paraId="3C3FDCBF" w14:textId="77777777" w:rsidR="004A643F" w:rsidRPr="002272CB" w:rsidRDefault="004A643F" w:rsidP="008D66F6">
      <w:pPr>
        <w:pStyle w:val="Heading2"/>
      </w:pPr>
      <w:bookmarkStart w:id="18" w:name="_Toc221790871"/>
      <w:r w:rsidRPr="002272CB">
        <w:t>Learning design principles</w:t>
      </w:r>
      <w:bookmarkEnd w:id="18"/>
    </w:p>
    <w:p w14:paraId="4818F079" w14:textId="09B93EEC" w:rsidR="004A643F" w:rsidRPr="00623AB5" w:rsidRDefault="005368BC" w:rsidP="008D66F6">
      <w:pPr>
        <w:pStyle w:val="Body"/>
      </w:pPr>
      <w:r>
        <w:t>The following learning principles underpin t</w:t>
      </w:r>
      <w:r w:rsidR="004A643F" w:rsidRPr="00623AB5">
        <w:t>he Framework</w:t>
      </w:r>
      <w:r w:rsidR="004A643F" w:rsidRPr="00603FE2">
        <w:rPr>
          <w:vertAlign w:val="superscript"/>
        </w:rPr>
        <w:footnoteReference w:id="6"/>
      </w:r>
      <w:r w:rsidR="004A643F" w:rsidRPr="00623AB5">
        <w:t>:</w:t>
      </w:r>
    </w:p>
    <w:p w14:paraId="7FCE2486" w14:textId="69CE930B" w:rsidR="004A643F" w:rsidRPr="00101FF8" w:rsidRDefault="004A643F" w:rsidP="008D66F6">
      <w:pPr>
        <w:pStyle w:val="Bullet1"/>
      </w:pPr>
      <w:r w:rsidRPr="00140B1D">
        <w:rPr>
          <w:b/>
          <w:bCs/>
        </w:rPr>
        <w:t>Person-centred</w:t>
      </w:r>
      <w:r w:rsidRPr="00101FF8">
        <w:t xml:space="preserve"> – Personalised </w:t>
      </w:r>
      <w:r w:rsidR="00451A67">
        <w:t>l</w:t>
      </w:r>
      <w:r w:rsidRPr="00101FF8">
        <w:t xml:space="preserve">earning informed by an </w:t>
      </w:r>
      <w:r w:rsidR="003B4DFF">
        <w:t>i</w:t>
      </w:r>
      <w:r w:rsidRPr="00101FF8">
        <w:t xml:space="preserve">ndividual </w:t>
      </w:r>
      <w:r w:rsidR="00FA0804">
        <w:t xml:space="preserve">graduate </w:t>
      </w:r>
      <w:r w:rsidRPr="00101FF8">
        <w:t>Learning</w:t>
      </w:r>
      <w:r w:rsidR="003B4DFF">
        <w:t xml:space="preserve"> and Development</w:t>
      </w:r>
      <w:r w:rsidRPr="00101FF8">
        <w:t xml:space="preserve"> Plan. </w:t>
      </w:r>
    </w:p>
    <w:p w14:paraId="225C2F54" w14:textId="1274E2CB" w:rsidR="004A643F" w:rsidRPr="00101FF8" w:rsidRDefault="004A643F" w:rsidP="008D66F6">
      <w:pPr>
        <w:pStyle w:val="Bullet1"/>
      </w:pPr>
      <w:r w:rsidRPr="00140B1D">
        <w:rPr>
          <w:b/>
          <w:bCs/>
        </w:rPr>
        <w:t>Practical</w:t>
      </w:r>
      <w:r w:rsidRPr="00101FF8">
        <w:t xml:space="preserve"> – Appropriate to the capacity of the graduate’s work role and drawing on a range of learning modalities.</w:t>
      </w:r>
    </w:p>
    <w:p w14:paraId="329E1E43" w14:textId="17D4E58C" w:rsidR="009971F8" w:rsidRDefault="004A643F" w:rsidP="008D66F6">
      <w:pPr>
        <w:pStyle w:val="Bullet1"/>
      </w:pPr>
      <w:r w:rsidRPr="00140B1D">
        <w:rPr>
          <w:b/>
          <w:bCs/>
        </w:rPr>
        <w:t>Aligned</w:t>
      </w:r>
      <w:r w:rsidRPr="00101FF8">
        <w:t xml:space="preserve"> – Consistent with existing practice frameworks and establishing a platform for </w:t>
      </w:r>
      <w:bookmarkStart w:id="19" w:name="_Int_9ddnCdrL"/>
      <w:r w:rsidRPr="00101FF8">
        <w:t>specialised</w:t>
      </w:r>
      <w:bookmarkEnd w:id="19"/>
      <w:r w:rsidRPr="00101FF8">
        <w:t xml:space="preserve"> practice.</w:t>
      </w:r>
    </w:p>
    <w:p w14:paraId="50DA82E2" w14:textId="212603A0" w:rsidR="00637391" w:rsidRPr="00661606" w:rsidRDefault="00596E2C" w:rsidP="008D66F6">
      <w:pPr>
        <w:pStyle w:val="Bullet1"/>
      </w:pPr>
      <w:r w:rsidRPr="0669BDE3">
        <w:rPr>
          <w:b/>
          <w:bCs/>
        </w:rPr>
        <w:t>Upholds cultural integrity</w:t>
      </w:r>
      <w:r w:rsidR="009971F8">
        <w:t xml:space="preserve"> </w:t>
      </w:r>
      <w:r w:rsidR="00EF13B1">
        <w:t>–</w:t>
      </w:r>
      <w:r w:rsidR="009971F8">
        <w:t xml:space="preserve"> </w:t>
      </w:r>
      <w:r w:rsidR="00B941CF">
        <w:t>Respect</w:t>
      </w:r>
      <w:r w:rsidR="007F3B64">
        <w:t xml:space="preserve">s and </w:t>
      </w:r>
      <w:r w:rsidR="00364B0D">
        <w:t>promot</w:t>
      </w:r>
      <w:r w:rsidR="007F3B64">
        <w:t>es</w:t>
      </w:r>
      <w:r w:rsidR="00364B0D">
        <w:t xml:space="preserve"> culture</w:t>
      </w:r>
      <w:r w:rsidR="005368BC">
        <w:t>.</w:t>
      </w:r>
      <w:r w:rsidR="009E2A0C">
        <w:t xml:space="preserve"> </w:t>
      </w:r>
      <w:r w:rsidR="2E68A9BF">
        <w:t>u</w:t>
      </w:r>
      <w:r w:rsidR="005368BC">
        <w:t xml:space="preserve">nderstands and </w:t>
      </w:r>
      <w:proofErr w:type="gramStart"/>
      <w:r w:rsidR="005368BC">
        <w:t>values</w:t>
      </w:r>
      <w:proofErr w:type="gramEnd"/>
      <w:r w:rsidR="00213512">
        <w:t xml:space="preserve"> cultural identity </w:t>
      </w:r>
      <w:r w:rsidR="00D43ECC">
        <w:t xml:space="preserve">and ways of </w:t>
      </w:r>
      <w:r w:rsidR="007F3B64">
        <w:t xml:space="preserve">knowing, </w:t>
      </w:r>
      <w:r w:rsidR="004F06E5">
        <w:t xml:space="preserve">being, </w:t>
      </w:r>
      <w:r w:rsidR="00D43ECC">
        <w:t>learning</w:t>
      </w:r>
      <w:r w:rsidR="004F06E5">
        <w:t xml:space="preserve"> and doing</w:t>
      </w:r>
      <w:r w:rsidR="005368BC">
        <w:t>.</w:t>
      </w:r>
    </w:p>
    <w:p w14:paraId="50A7F2C9" w14:textId="7726FB2F" w:rsidR="004A643F" w:rsidRPr="00101FF8" w:rsidRDefault="004A643F" w:rsidP="008D66F6">
      <w:pPr>
        <w:pStyle w:val="Bullet1"/>
      </w:pPr>
      <w:r w:rsidRPr="00140B1D">
        <w:rPr>
          <w:b/>
          <w:bCs/>
        </w:rPr>
        <w:t>Inclusive and accessible</w:t>
      </w:r>
      <w:r w:rsidRPr="00101FF8">
        <w:t xml:space="preserve"> – Recog</w:t>
      </w:r>
      <w:r w:rsidR="008B0B45">
        <w:t xml:space="preserve">nises </w:t>
      </w:r>
      <w:r w:rsidRPr="00101FF8">
        <w:t>diversity</w:t>
      </w:r>
      <w:r w:rsidR="00274187">
        <w:t xml:space="preserve"> and diverse learning needs</w:t>
      </w:r>
      <w:r w:rsidR="005368BC">
        <w:t>.</w:t>
      </w:r>
      <w:r w:rsidRPr="00101FF8">
        <w:t xml:space="preserve"> </w:t>
      </w:r>
      <w:r w:rsidR="005368BC">
        <w:t>C</w:t>
      </w:r>
      <w:r w:rsidRPr="00101FF8">
        <w:t>reat</w:t>
      </w:r>
      <w:r w:rsidR="005368BC">
        <w:t>es</w:t>
      </w:r>
      <w:r w:rsidRPr="00101FF8">
        <w:t xml:space="preserve"> the conditions for </w:t>
      </w:r>
      <w:r w:rsidR="009971F8">
        <w:t>inclusive</w:t>
      </w:r>
      <w:r w:rsidRPr="00101FF8">
        <w:t xml:space="preserve"> and accessible learning opportunities.</w:t>
      </w:r>
    </w:p>
    <w:p w14:paraId="5619F357" w14:textId="381F423B" w:rsidR="004A643F" w:rsidRPr="00101FF8" w:rsidRDefault="004A643F" w:rsidP="008D66F6">
      <w:pPr>
        <w:pStyle w:val="Bullet1"/>
      </w:pPr>
      <w:r w:rsidRPr="00140B1D">
        <w:rPr>
          <w:b/>
          <w:bCs/>
        </w:rPr>
        <w:t>Experiential and authentic</w:t>
      </w:r>
      <w:r w:rsidRPr="00101FF8">
        <w:t xml:space="preserve"> – Active </w:t>
      </w:r>
      <w:r w:rsidR="00637391">
        <w:t>l</w:t>
      </w:r>
      <w:r w:rsidRPr="00101FF8">
        <w:t xml:space="preserve">earning that has a real-world practice focus. </w:t>
      </w:r>
    </w:p>
    <w:p w14:paraId="3C994724" w14:textId="0BD80E77" w:rsidR="004A643F" w:rsidRPr="00101FF8" w:rsidRDefault="004A643F" w:rsidP="008D66F6">
      <w:pPr>
        <w:pStyle w:val="Bullet1"/>
      </w:pPr>
      <w:r w:rsidRPr="00140B1D">
        <w:rPr>
          <w:b/>
          <w:bCs/>
        </w:rPr>
        <w:t>Collaborative and integrated</w:t>
      </w:r>
      <w:r w:rsidRPr="00101FF8">
        <w:t xml:space="preserve"> – </w:t>
      </w:r>
      <w:r w:rsidR="008B0B45">
        <w:t>Promotes c</w:t>
      </w:r>
      <w:r w:rsidRPr="00101FF8">
        <w:t xml:space="preserve">ross-sector and cross-system collaboration. </w:t>
      </w:r>
    </w:p>
    <w:p w14:paraId="5F4B178D" w14:textId="340EB20C" w:rsidR="004A643F" w:rsidRPr="00101FF8" w:rsidRDefault="004A643F" w:rsidP="008D66F6">
      <w:pPr>
        <w:pStyle w:val="Bullet1"/>
      </w:pPr>
      <w:r w:rsidRPr="00140B1D">
        <w:rPr>
          <w:b/>
          <w:bCs/>
        </w:rPr>
        <w:lastRenderedPageBreak/>
        <w:t>Life-long learning</w:t>
      </w:r>
      <w:r w:rsidRPr="00101FF8">
        <w:t xml:space="preserve"> – Recog</w:t>
      </w:r>
      <w:r w:rsidR="00515AFB">
        <w:t xml:space="preserve">nises </w:t>
      </w:r>
      <w:r w:rsidRPr="00101FF8">
        <w:t>that professional learning is on a continuum</w:t>
      </w:r>
      <w:r w:rsidR="005368BC">
        <w:t xml:space="preserve">. This recognises </w:t>
      </w:r>
      <w:r w:rsidRPr="00101FF8">
        <w:t xml:space="preserve">and </w:t>
      </w:r>
      <w:r w:rsidR="005368BC">
        <w:t>builds</w:t>
      </w:r>
      <w:r w:rsidR="005368BC" w:rsidRPr="00101FF8">
        <w:t xml:space="preserve"> </w:t>
      </w:r>
      <w:r w:rsidRPr="00101FF8">
        <w:t>on formal pre-service learning</w:t>
      </w:r>
      <w:r w:rsidR="005368BC">
        <w:t xml:space="preserve">. It provides </w:t>
      </w:r>
      <w:r w:rsidRPr="00101FF8">
        <w:t>a platform for future specialisation.</w:t>
      </w:r>
    </w:p>
    <w:p w14:paraId="4CFD2429" w14:textId="77777777" w:rsidR="004A643F" w:rsidRPr="002272CB" w:rsidRDefault="004A643F" w:rsidP="008D66F6">
      <w:pPr>
        <w:pStyle w:val="Heading2"/>
      </w:pPr>
      <w:bookmarkStart w:id="20" w:name="_Toc221790872"/>
      <w:r w:rsidRPr="002272CB">
        <w:t>Learning domains</w:t>
      </w:r>
      <w:bookmarkEnd w:id="20"/>
    </w:p>
    <w:p w14:paraId="3DDF5703" w14:textId="7E265B83" w:rsidR="004A643F" w:rsidRDefault="004A643F" w:rsidP="008D66F6">
      <w:pPr>
        <w:pStyle w:val="Body"/>
      </w:pPr>
      <w:r w:rsidRPr="002272CB">
        <w:t>In line with the learning design principles, the Framework identifies three interconnected and mutually impacting learning domains</w:t>
      </w:r>
      <w:r w:rsidR="005368BC">
        <w:t>. They are</w:t>
      </w:r>
      <w:r w:rsidRPr="002272CB">
        <w:t xml:space="preserve"> reflected in Figure 3</w:t>
      </w:r>
      <w:r>
        <w:t>.</w:t>
      </w:r>
    </w:p>
    <w:p w14:paraId="47608D95" w14:textId="77777777" w:rsidR="00E345B1" w:rsidRPr="00AB3FDE" w:rsidRDefault="00E345B1" w:rsidP="00E345B1">
      <w:pPr>
        <w:pStyle w:val="Figurecaption"/>
      </w:pPr>
      <w:bookmarkStart w:id="21" w:name="_Toc173223135"/>
      <w:r w:rsidRPr="002272CB">
        <w:t xml:space="preserve">Figure </w:t>
      </w:r>
      <w:r w:rsidRPr="002272CB">
        <w:fldChar w:fldCharType="begin"/>
      </w:r>
      <w:r w:rsidRPr="002272CB">
        <w:instrText xml:space="preserve"> SEQ Figure \* ARABIC </w:instrText>
      </w:r>
      <w:r w:rsidRPr="002272CB">
        <w:fldChar w:fldCharType="separate"/>
      </w:r>
      <w:r>
        <w:t>3</w:t>
      </w:r>
      <w:r w:rsidRPr="002272CB">
        <w:fldChar w:fldCharType="end"/>
      </w:r>
      <w:r>
        <w:t xml:space="preserve">: The three interrelated Graduate Program Learning Domains </w:t>
      </w:r>
      <w:bookmarkEnd w:id="21"/>
    </w:p>
    <w:p w14:paraId="001882DA" w14:textId="77777777" w:rsidR="00E345B1" w:rsidRDefault="00E345B1" w:rsidP="008D66F6">
      <w:pPr>
        <w:pStyle w:val="Body"/>
      </w:pPr>
    </w:p>
    <w:p w14:paraId="12900848" w14:textId="517E1DDE" w:rsidR="004A643F" w:rsidRPr="00C624A5" w:rsidRDefault="00C624A5" w:rsidP="00C624A5">
      <w:pPr>
        <w:pStyle w:val="Body"/>
        <w:jc w:val="center"/>
      </w:pPr>
      <w:r w:rsidRPr="00C624A5">
        <w:rPr>
          <w:noProof/>
        </w:rPr>
        <w:drawing>
          <wp:inline distT="0" distB="0" distL="0" distR="0" wp14:anchorId="51216AC1" wp14:editId="75583C27">
            <wp:extent cx="4425696" cy="3312647"/>
            <wp:effectExtent l="0" t="0" r="0" b="2540"/>
            <wp:docPr id="1789623291" name="Picture 4" descr="There are three learning domains in the Graduate Program:&#10;-Institutional and Community Context&#10;-Effective Practice&#10;-Professional Self&#10;These domains are interconnected feed into one ano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23291" name="Picture 4" descr="There are three learning domains in the Graduate Program:&#10;-Institutional and Community Context&#10;-Effective Practice&#10;-Professional Self&#10;These domains are interconnected feed into one anothe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37418" cy="3321421"/>
                    </a:xfrm>
                    <a:prstGeom prst="rect">
                      <a:avLst/>
                    </a:prstGeom>
                    <a:noFill/>
                    <a:ln>
                      <a:noFill/>
                    </a:ln>
                  </pic:spPr>
                </pic:pic>
              </a:graphicData>
            </a:graphic>
          </wp:inline>
        </w:drawing>
      </w:r>
    </w:p>
    <w:p w14:paraId="5AA8D9D2" w14:textId="63992CDE" w:rsidR="004A643F" w:rsidRDefault="004A643F" w:rsidP="008D66F6">
      <w:pPr>
        <w:pStyle w:val="Body"/>
        <w:rPr>
          <w:rFonts w:ascii="Aptos" w:eastAsia="Aptos" w:hAnsi="Aptos" w:cs="Aptos"/>
          <w:sz w:val="24"/>
          <w:szCs w:val="24"/>
        </w:rPr>
      </w:pPr>
      <w:r>
        <w:rPr>
          <w:rFonts w:ascii="Aptos" w:eastAsia="Aptos" w:hAnsi="Aptos" w:cs="Aptos"/>
          <w:sz w:val="24"/>
          <w:szCs w:val="24"/>
        </w:rPr>
        <w:br w:type="page"/>
      </w:r>
    </w:p>
    <w:p w14:paraId="065B3DA2" w14:textId="77777777" w:rsidR="00AB3FDE" w:rsidRPr="002272CB" w:rsidRDefault="00AB3FDE" w:rsidP="00AB3FDE">
      <w:pPr>
        <w:pStyle w:val="Heading2"/>
      </w:pPr>
      <w:bookmarkStart w:id="22" w:name="_Toc221790873"/>
      <w:r w:rsidRPr="002272CB">
        <w:lastRenderedPageBreak/>
        <w:t>Learning areas</w:t>
      </w:r>
      <w:bookmarkEnd w:id="22"/>
    </w:p>
    <w:p w14:paraId="25EAB9C0" w14:textId="7558226D" w:rsidR="00AB3FDE" w:rsidRDefault="00AB3FDE" w:rsidP="00AB3FDE">
      <w:pPr>
        <w:spacing w:before="120"/>
      </w:pPr>
      <w:r w:rsidRPr="002272CB">
        <w:t>Each of the learning domains comprises a set of related learning areas, as reflected in Figure 4.</w:t>
      </w:r>
    </w:p>
    <w:p w14:paraId="0D51EA4E" w14:textId="77777777" w:rsidR="00E34FB8" w:rsidRPr="00467474" w:rsidRDefault="00E34FB8" w:rsidP="00E34FB8">
      <w:pPr>
        <w:pStyle w:val="Figurecaption"/>
        <w:rPr>
          <w:lang w:val="en-GB"/>
        </w:rPr>
      </w:pPr>
      <w:r w:rsidRPr="00740DE2">
        <w:rPr>
          <w:lang w:val="en-GB"/>
        </w:rPr>
        <w:t xml:space="preserve">Figure </w:t>
      </w:r>
      <w:r>
        <w:rPr>
          <w:lang w:val="en-GB"/>
        </w:rPr>
        <w:t>4</w:t>
      </w:r>
      <w:r w:rsidRPr="00740DE2">
        <w:rPr>
          <w:lang w:val="en-GB"/>
        </w:rPr>
        <w:t xml:space="preserve">: </w:t>
      </w:r>
      <w:r>
        <w:rPr>
          <w:lang w:val="en-GB"/>
        </w:rPr>
        <w:t xml:space="preserve">The </w:t>
      </w:r>
      <w:r w:rsidRPr="00740DE2">
        <w:rPr>
          <w:lang w:val="en-GB"/>
        </w:rPr>
        <w:t xml:space="preserve">Professional </w:t>
      </w:r>
      <w:r>
        <w:rPr>
          <w:lang w:val="en-GB"/>
        </w:rPr>
        <w:t>L</w:t>
      </w:r>
      <w:r w:rsidRPr="00740DE2">
        <w:rPr>
          <w:lang w:val="en-GB"/>
        </w:rPr>
        <w:t xml:space="preserve">earning </w:t>
      </w:r>
      <w:r>
        <w:rPr>
          <w:lang w:val="en-GB"/>
        </w:rPr>
        <w:t>F</w:t>
      </w:r>
      <w:r w:rsidRPr="00740DE2">
        <w:rPr>
          <w:lang w:val="en-GB"/>
        </w:rPr>
        <w:t>ramework</w:t>
      </w:r>
      <w:r>
        <w:rPr>
          <w:lang w:val="en-GB"/>
        </w:rPr>
        <w:t xml:space="preserve"> of the Graduate Program </w:t>
      </w:r>
    </w:p>
    <w:p w14:paraId="22CED121" w14:textId="77777777" w:rsidR="004A643F" w:rsidRDefault="00467474" w:rsidP="00E04CA9">
      <w:pPr>
        <w:pStyle w:val="Body"/>
      </w:pPr>
      <w:r>
        <w:rPr>
          <w:noProof/>
        </w:rPr>
        <w:drawing>
          <wp:inline distT="0" distB="0" distL="0" distR="0" wp14:anchorId="292A1088" wp14:editId="7304D1B0">
            <wp:extent cx="6400800" cy="6338047"/>
            <wp:effectExtent l="0" t="0" r="0" b="5715"/>
            <wp:docPr id="1003974429" name="Picture 5" descr="The different Learning Areas that make up each Learning Domain in the Graduate Program. For a text description of this figure see 'Appendix 4: Figure descriptions: The Professional Learning Framework of the Graduate Program'&#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74429" name="Picture 5" descr="The different Learning Areas that make up each Learning Domain in the Graduate Program. For a text description of this figure see 'Appendix 4: Figure descriptions: The Professional Learning Framework of the Graduate Program'&#10;&#1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400800" cy="6338047"/>
                    </a:xfrm>
                    <a:prstGeom prst="rect">
                      <a:avLst/>
                    </a:prstGeom>
                  </pic:spPr>
                </pic:pic>
              </a:graphicData>
            </a:graphic>
          </wp:inline>
        </w:drawing>
      </w:r>
    </w:p>
    <w:p w14:paraId="5ABEC1F3" w14:textId="77777777" w:rsidR="00231818" w:rsidRDefault="00231818" w:rsidP="00E04CA9">
      <w:pPr>
        <w:pStyle w:val="Body"/>
      </w:pPr>
    </w:p>
    <w:p w14:paraId="05893FCD" w14:textId="77777777" w:rsidR="004118FD" w:rsidRDefault="004118FD">
      <w:pPr>
        <w:spacing w:after="0" w:line="240" w:lineRule="auto"/>
        <w:rPr>
          <w:b/>
          <w:color w:val="201547"/>
          <w:sz w:val="32"/>
          <w:szCs w:val="28"/>
        </w:rPr>
      </w:pPr>
      <w:r>
        <w:br w:type="page"/>
      </w:r>
    </w:p>
    <w:p w14:paraId="56DA8831" w14:textId="751C4F8C" w:rsidR="004A643F" w:rsidRPr="002272CB" w:rsidRDefault="004A643F" w:rsidP="008D66F6">
      <w:pPr>
        <w:pStyle w:val="Heading2"/>
        <w:spacing w:before="0"/>
      </w:pPr>
      <w:bookmarkStart w:id="23" w:name="_Toc221790874"/>
      <w:r w:rsidRPr="002272CB">
        <w:lastRenderedPageBreak/>
        <w:t>Learning outcome dimensions</w:t>
      </w:r>
      <w:bookmarkEnd w:id="23"/>
    </w:p>
    <w:p w14:paraId="739A5728" w14:textId="71DEF29A" w:rsidR="004A643F" w:rsidRPr="00623AB5" w:rsidRDefault="004A643F" w:rsidP="00623AB5">
      <w:pPr>
        <w:pStyle w:val="Body"/>
      </w:pPr>
      <w:r w:rsidRPr="00623AB5">
        <w:t>Cross-sector foundational learning outcomes are identified for each learning area. Foundational learning outcomes outline the baseline cross-sector knowledge, skills, professional judgement, and self-management required for community services practice</w:t>
      </w:r>
      <w:r w:rsidR="005368BC">
        <w:t>. This is</w:t>
      </w:r>
      <w:r w:rsidRPr="00623AB5">
        <w:t xml:space="preserve"> irrespective of which subsector graduates are employed. Each learning outcome identifies four distinct</w:t>
      </w:r>
      <w:r w:rsidR="005368BC">
        <w:t xml:space="preserve"> but </w:t>
      </w:r>
      <w:r w:rsidRPr="00623AB5">
        <w:t>interrelated dimensions of learning</w:t>
      </w:r>
      <w:r w:rsidR="005368BC">
        <w:t>. These are</w:t>
      </w:r>
      <w:r w:rsidRPr="00623AB5">
        <w:t xml:space="preserve"> reflected in Table 1 below:</w:t>
      </w:r>
    </w:p>
    <w:p w14:paraId="0531F46D" w14:textId="3D5B7B17" w:rsidR="004A643F" w:rsidRPr="00334A75" w:rsidRDefault="004A643F" w:rsidP="000A4512">
      <w:pPr>
        <w:pStyle w:val="Tablecaption"/>
      </w:pPr>
      <w:r w:rsidRPr="002272CB">
        <w:t>Table 1: Learning Outcome Dimensions</w:t>
      </w:r>
      <w:r w:rsidRPr="00C66674">
        <w:rPr>
          <w:vertAlign w:val="superscript"/>
        </w:rPr>
        <w:footnoteReference w:id="7"/>
      </w:r>
    </w:p>
    <w:tbl>
      <w:tblPr>
        <w:tblStyle w:val="CASSGP"/>
        <w:tblW w:w="0" w:type="auto"/>
        <w:tblLook w:val="04A0" w:firstRow="1" w:lastRow="0" w:firstColumn="1" w:lastColumn="0" w:noHBand="0" w:noVBand="1"/>
      </w:tblPr>
      <w:tblGrid>
        <w:gridCol w:w="2098"/>
        <w:gridCol w:w="6918"/>
      </w:tblGrid>
      <w:tr w:rsidR="004A643F" w14:paraId="4917BDA9" w14:textId="77777777" w:rsidTr="001A345C">
        <w:trPr>
          <w:cnfStyle w:val="100000000000" w:firstRow="1" w:lastRow="0" w:firstColumn="0" w:lastColumn="0" w:oddVBand="0" w:evenVBand="0" w:oddHBand="0" w:evenHBand="0" w:firstRowFirstColumn="0" w:firstRowLastColumn="0" w:lastRowFirstColumn="0" w:lastRowLastColumn="0"/>
        </w:trPr>
        <w:tc>
          <w:tcPr>
            <w:tcW w:w="2689" w:type="dxa"/>
          </w:tcPr>
          <w:p w14:paraId="687A9E16" w14:textId="77777777" w:rsidR="004A643F" w:rsidRPr="00BC056C" w:rsidRDefault="004A643F" w:rsidP="000D1640">
            <w:pPr>
              <w:pStyle w:val="Tablecolheadwhite"/>
              <w:rPr>
                <w:rFonts w:eastAsia="Aptos"/>
                <w:b/>
                <w:bCs/>
              </w:rPr>
            </w:pPr>
            <w:r w:rsidRPr="00BC056C">
              <w:rPr>
                <w:rFonts w:eastAsia="Aptos"/>
                <w:b/>
                <w:bCs/>
              </w:rPr>
              <w:t>Dimension</w:t>
            </w:r>
          </w:p>
        </w:tc>
        <w:tc>
          <w:tcPr>
            <w:tcW w:w="11879" w:type="dxa"/>
          </w:tcPr>
          <w:p w14:paraId="430F9D71" w14:textId="77777777" w:rsidR="004A643F" w:rsidRPr="00BC056C" w:rsidRDefault="004A643F" w:rsidP="000D1640">
            <w:pPr>
              <w:pStyle w:val="Tablecolheadwhite"/>
              <w:rPr>
                <w:rFonts w:eastAsia="Aptos"/>
                <w:b/>
                <w:bCs/>
              </w:rPr>
            </w:pPr>
            <w:r w:rsidRPr="00BC056C">
              <w:rPr>
                <w:rFonts w:eastAsia="Aptos"/>
                <w:b/>
                <w:bCs/>
              </w:rPr>
              <w:t>Definition</w:t>
            </w:r>
          </w:p>
        </w:tc>
      </w:tr>
      <w:tr w:rsidR="004A643F" w14:paraId="140DDE4F" w14:textId="77777777" w:rsidTr="001A345C">
        <w:trPr>
          <w:cnfStyle w:val="000000100000" w:firstRow="0" w:lastRow="0" w:firstColumn="0" w:lastColumn="0" w:oddVBand="0" w:evenVBand="0" w:oddHBand="1" w:evenHBand="0" w:firstRowFirstColumn="0" w:firstRowLastColumn="0" w:lastRowFirstColumn="0" w:lastRowLastColumn="0"/>
        </w:trPr>
        <w:tc>
          <w:tcPr>
            <w:tcW w:w="2689" w:type="dxa"/>
          </w:tcPr>
          <w:p w14:paraId="2ED3CC6B" w14:textId="77777777" w:rsidR="004A643F" w:rsidRPr="0057009E" w:rsidRDefault="004A643F" w:rsidP="008D66F6">
            <w:pPr>
              <w:pStyle w:val="Tabletext"/>
              <w:rPr>
                <w:rFonts w:eastAsia="Aptos"/>
                <w:b/>
                <w:bCs/>
              </w:rPr>
            </w:pPr>
            <w:r w:rsidRPr="0057009E">
              <w:rPr>
                <w:rFonts w:eastAsia="Aptos"/>
                <w:b/>
                <w:bCs/>
              </w:rPr>
              <w:t>Knowledge</w:t>
            </w:r>
          </w:p>
        </w:tc>
        <w:tc>
          <w:tcPr>
            <w:tcW w:w="11879" w:type="dxa"/>
          </w:tcPr>
          <w:p w14:paraId="0E55FE6A" w14:textId="5C4A518C" w:rsidR="004A643F" w:rsidRPr="00227C46" w:rsidRDefault="004A643F" w:rsidP="008D66F6">
            <w:pPr>
              <w:pStyle w:val="Tabletext"/>
              <w:rPr>
                <w:rFonts w:eastAsia="Aptos"/>
              </w:rPr>
            </w:pPr>
            <w:r>
              <w:rPr>
                <w:rFonts w:eastAsia="Aptos"/>
              </w:rPr>
              <w:t>T</w:t>
            </w:r>
            <w:r w:rsidRPr="262A6A97">
              <w:rPr>
                <w:rFonts w:eastAsia="Aptos"/>
              </w:rPr>
              <w:t xml:space="preserve">heoretical and practical understanding of community and social services </w:t>
            </w:r>
            <w:r>
              <w:rPr>
                <w:rFonts w:eastAsia="Aptos"/>
              </w:rPr>
              <w:t>work</w:t>
            </w:r>
            <w:r w:rsidR="00367E5F">
              <w:rPr>
                <w:rFonts w:eastAsia="Aptos"/>
              </w:rPr>
              <w:t>.</w:t>
            </w:r>
          </w:p>
        </w:tc>
      </w:tr>
      <w:tr w:rsidR="004A643F" w14:paraId="15411DD0" w14:textId="77777777" w:rsidTr="001A345C">
        <w:tc>
          <w:tcPr>
            <w:tcW w:w="2689" w:type="dxa"/>
          </w:tcPr>
          <w:p w14:paraId="73164035" w14:textId="77777777" w:rsidR="004A643F" w:rsidRPr="0057009E" w:rsidRDefault="004A643F" w:rsidP="008D66F6">
            <w:pPr>
              <w:pStyle w:val="Tabletext"/>
              <w:rPr>
                <w:rFonts w:eastAsia="Aptos"/>
                <w:b/>
                <w:bCs/>
              </w:rPr>
            </w:pPr>
            <w:r w:rsidRPr="0057009E">
              <w:rPr>
                <w:rFonts w:eastAsia="Aptos"/>
                <w:b/>
                <w:bCs/>
              </w:rPr>
              <w:t>Skills</w:t>
            </w:r>
          </w:p>
        </w:tc>
        <w:tc>
          <w:tcPr>
            <w:tcW w:w="11879" w:type="dxa"/>
          </w:tcPr>
          <w:p w14:paraId="37AA2458" w14:textId="0E682455" w:rsidR="004A643F" w:rsidRPr="00227C46" w:rsidRDefault="004A643F" w:rsidP="008D66F6">
            <w:pPr>
              <w:pStyle w:val="Tabletext"/>
              <w:rPr>
                <w:rFonts w:eastAsia="Aptos"/>
              </w:rPr>
            </w:pPr>
            <w:r>
              <w:rPr>
                <w:rFonts w:eastAsia="Aptos"/>
              </w:rPr>
              <w:t>Abilities</w:t>
            </w:r>
            <w:r w:rsidRPr="262A6A97">
              <w:rPr>
                <w:rFonts w:eastAsia="Aptos"/>
              </w:rPr>
              <w:t xml:space="preserve"> and competencies to practice effectively in </w:t>
            </w:r>
            <w:r>
              <w:rPr>
                <w:rFonts w:eastAsia="Aptos"/>
              </w:rPr>
              <w:t>the community and social services sector</w:t>
            </w:r>
            <w:r w:rsidR="00281570">
              <w:rPr>
                <w:rFonts w:eastAsia="Aptos"/>
              </w:rPr>
              <w:t>.</w:t>
            </w:r>
          </w:p>
        </w:tc>
      </w:tr>
      <w:tr w:rsidR="004A643F" w14:paraId="655988B7" w14:textId="77777777" w:rsidTr="001A345C">
        <w:trPr>
          <w:cnfStyle w:val="000000100000" w:firstRow="0" w:lastRow="0" w:firstColumn="0" w:lastColumn="0" w:oddVBand="0" w:evenVBand="0" w:oddHBand="1" w:evenHBand="0" w:firstRowFirstColumn="0" w:firstRowLastColumn="0" w:lastRowFirstColumn="0" w:lastRowLastColumn="0"/>
        </w:trPr>
        <w:tc>
          <w:tcPr>
            <w:tcW w:w="2689" w:type="dxa"/>
          </w:tcPr>
          <w:p w14:paraId="7E215FDE" w14:textId="77777777" w:rsidR="004A643F" w:rsidRPr="0057009E" w:rsidRDefault="004A643F" w:rsidP="008D66F6">
            <w:pPr>
              <w:pStyle w:val="Tabletext"/>
              <w:rPr>
                <w:rFonts w:eastAsia="Aptos"/>
                <w:b/>
                <w:bCs/>
              </w:rPr>
            </w:pPr>
            <w:r w:rsidRPr="0057009E">
              <w:rPr>
                <w:rFonts w:eastAsia="Aptos"/>
                <w:b/>
                <w:bCs/>
              </w:rPr>
              <w:t>Professional Judgement</w:t>
            </w:r>
          </w:p>
        </w:tc>
        <w:tc>
          <w:tcPr>
            <w:tcW w:w="11879" w:type="dxa"/>
          </w:tcPr>
          <w:p w14:paraId="6167C766" w14:textId="4C468793" w:rsidR="004A643F" w:rsidRPr="00227C46" w:rsidRDefault="004A643F" w:rsidP="008D66F6">
            <w:pPr>
              <w:pStyle w:val="Tabletext"/>
              <w:rPr>
                <w:rFonts w:eastAsia="Aptos"/>
              </w:rPr>
            </w:pPr>
            <w:r>
              <w:rPr>
                <w:rFonts w:eastAsia="Aptos"/>
              </w:rPr>
              <w:t>Capacity</w:t>
            </w:r>
            <w:r w:rsidRPr="00227C46">
              <w:rPr>
                <w:rFonts w:eastAsia="Aptos"/>
              </w:rPr>
              <w:t xml:space="preserve"> to make informed and ethical decisions, particularly in ambiguous and time-critical situations</w:t>
            </w:r>
            <w:r w:rsidR="00281570">
              <w:rPr>
                <w:rFonts w:eastAsia="Aptos"/>
              </w:rPr>
              <w:t>.</w:t>
            </w:r>
          </w:p>
        </w:tc>
      </w:tr>
      <w:tr w:rsidR="004A643F" w14:paraId="1B3E71AA" w14:textId="77777777" w:rsidTr="001A345C">
        <w:tc>
          <w:tcPr>
            <w:tcW w:w="2689" w:type="dxa"/>
          </w:tcPr>
          <w:p w14:paraId="36DECD91" w14:textId="77777777" w:rsidR="004A643F" w:rsidRPr="0057009E" w:rsidRDefault="004A643F" w:rsidP="008D66F6">
            <w:pPr>
              <w:pStyle w:val="Tabletext"/>
              <w:rPr>
                <w:rFonts w:eastAsia="Aptos"/>
                <w:b/>
                <w:bCs/>
              </w:rPr>
            </w:pPr>
            <w:r w:rsidRPr="0057009E">
              <w:rPr>
                <w:rFonts w:eastAsia="Aptos"/>
                <w:b/>
                <w:bCs/>
              </w:rPr>
              <w:t>Self-management</w:t>
            </w:r>
          </w:p>
        </w:tc>
        <w:tc>
          <w:tcPr>
            <w:tcW w:w="11879" w:type="dxa"/>
          </w:tcPr>
          <w:p w14:paraId="1C80FB89" w14:textId="27109734" w:rsidR="004A643F" w:rsidRPr="00227C46" w:rsidRDefault="004A643F" w:rsidP="008D66F6">
            <w:pPr>
              <w:pStyle w:val="Tabletext"/>
              <w:rPr>
                <w:rFonts w:eastAsia="Aptos"/>
              </w:rPr>
            </w:pPr>
            <w:r>
              <w:rPr>
                <w:rFonts w:eastAsia="Aptos"/>
              </w:rPr>
              <w:t>Capacity</w:t>
            </w:r>
            <w:r w:rsidRPr="262A6A97">
              <w:rPr>
                <w:rFonts w:eastAsia="Aptos"/>
              </w:rPr>
              <w:t xml:space="preserve"> to manage </w:t>
            </w:r>
            <w:r w:rsidR="00281570">
              <w:rPr>
                <w:rFonts w:eastAsia="Aptos"/>
              </w:rPr>
              <w:t>self</w:t>
            </w:r>
            <w:r w:rsidRPr="262A6A97">
              <w:rPr>
                <w:rFonts w:eastAsia="Aptos"/>
              </w:rPr>
              <w:t xml:space="preserve"> in practice</w:t>
            </w:r>
            <w:r w:rsidR="002820B3">
              <w:rPr>
                <w:rFonts w:eastAsia="Aptos"/>
              </w:rPr>
              <w:t>.</w:t>
            </w:r>
            <w:r w:rsidRPr="262A6A97">
              <w:rPr>
                <w:rFonts w:eastAsia="Aptos"/>
              </w:rPr>
              <w:t xml:space="preserve"> </w:t>
            </w:r>
            <w:r w:rsidR="002820B3">
              <w:rPr>
                <w:rFonts w:eastAsia="Aptos"/>
              </w:rPr>
              <w:t>And</w:t>
            </w:r>
            <w:r w:rsidRPr="262A6A97">
              <w:rPr>
                <w:rFonts w:eastAsia="Aptos"/>
              </w:rPr>
              <w:t xml:space="preserve"> to critically reflect on practice with supervisors and colleagues</w:t>
            </w:r>
            <w:r w:rsidR="002820B3">
              <w:rPr>
                <w:rFonts w:eastAsia="Aptos"/>
              </w:rPr>
              <w:t xml:space="preserve">. There is </w:t>
            </w:r>
            <w:r w:rsidRPr="262A6A97">
              <w:rPr>
                <w:rFonts w:eastAsia="Aptos"/>
              </w:rPr>
              <w:t>a focus on continual improvement and development</w:t>
            </w:r>
            <w:r w:rsidR="00281570">
              <w:rPr>
                <w:rFonts w:eastAsia="Aptos"/>
              </w:rPr>
              <w:t>.</w:t>
            </w:r>
          </w:p>
        </w:tc>
      </w:tr>
    </w:tbl>
    <w:p w14:paraId="05EE184F" w14:textId="041F47F3" w:rsidR="004A643F" w:rsidRPr="00FE1A0E" w:rsidRDefault="004A643F" w:rsidP="008D66F6">
      <w:pPr>
        <w:pStyle w:val="Heading2"/>
      </w:pPr>
      <w:bookmarkStart w:id="24" w:name="_Toc221790875"/>
      <w:bookmarkStart w:id="25" w:name="_Hlk178067860"/>
      <w:r w:rsidRPr="00FE1A0E">
        <w:t>Specialist capabilities and learning outcomes</w:t>
      </w:r>
      <w:bookmarkEnd w:id="24"/>
    </w:p>
    <w:bookmarkEnd w:id="25"/>
    <w:p w14:paraId="2D2C2826" w14:textId="3DDFF081" w:rsidR="004A643F" w:rsidRPr="00623AB5" w:rsidRDefault="004A643F" w:rsidP="00623AB5">
      <w:pPr>
        <w:pStyle w:val="Body"/>
      </w:pPr>
      <w:r w:rsidRPr="00623AB5">
        <w:t xml:space="preserve">The Framework </w:t>
      </w:r>
      <w:r w:rsidR="002820B3">
        <w:t>gives</w:t>
      </w:r>
      <w:r w:rsidRPr="00623AB5">
        <w:t xml:space="preserve"> space for organisations and supervisors to articulate specialist learning outcomes </w:t>
      </w:r>
      <w:r w:rsidR="002820B3">
        <w:t>needed</w:t>
      </w:r>
      <w:r w:rsidR="002820B3" w:rsidRPr="00623AB5">
        <w:t xml:space="preserve"> </w:t>
      </w:r>
      <w:r w:rsidRPr="00623AB5">
        <w:t xml:space="preserve">for specialisation within a specific work role and/or practice setting. </w:t>
      </w:r>
    </w:p>
    <w:p w14:paraId="7C96ED9E" w14:textId="50EE8462" w:rsidR="004A643F" w:rsidRPr="00623AB5" w:rsidRDefault="004A643F" w:rsidP="00623AB5">
      <w:pPr>
        <w:pStyle w:val="Body"/>
      </w:pPr>
      <w:r w:rsidRPr="00623AB5">
        <w:t>It is suggested that graduates and their supervisors identify specialist learning outcomes that apply to the specific role in which the graduate is employed</w:t>
      </w:r>
      <w:r w:rsidR="005368BC">
        <w:t>. And</w:t>
      </w:r>
      <w:r w:rsidRPr="00623AB5">
        <w:t xml:space="preserve"> tak</w:t>
      </w:r>
      <w:r w:rsidR="005368BC">
        <w:t>e</w:t>
      </w:r>
      <w:r w:rsidRPr="00623AB5">
        <w:t xml:space="preserve"> account of the workforce capability framework informing their employing organisation’s learning and development activities. </w:t>
      </w:r>
      <w:r w:rsidR="00C32C0A" w:rsidRPr="00623AB5">
        <w:t xml:space="preserve">Refer to Appendix </w:t>
      </w:r>
      <w:r w:rsidR="00C32C0A">
        <w:t>2</w:t>
      </w:r>
      <w:r w:rsidR="00C32C0A" w:rsidRPr="00623AB5">
        <w:t xml:space="preserve"> for a template that </w:t>
      </w:r>
      <w:r w:rsidR="005368BC">
        <w:t>you can use</w:t>
      </w:r>
      <w:r w:rsidR="00C32C0A" w:rsidRPr="00623AB5">
        <w:t xml:space="preserve"> to describe the learning outcomes for roles within specialist subsectors.</w:t>
      </w:r>
    </w:p>
    <w:p w14:paraId="7C35F660" w14:textId="29AC6BCE" w:rsidR="004A643F" w:rsidRPr="00623AB5" w:rsidRDefault="005B2419" w:rsidP="00623AB5">
      <w:pPr>
        <w:pStyle w:val="Body"/>
      </w:pPr>
      <w:r w:rsidRPr="00623AB5">
        <w:t xml:space="preserve">Table 2 </w:t>
      </w:r>
      <w:r>
        <w:t xml:space="preserve">outlines </w:t>
      </w:r>
      <w:r w:rsidRPr="00623AB5">
        <w:t>relevant subsector workforce capability frameworks</w:t>
      </w:r>
      <w:r w:rsidR="005368BC">
        <w:t>.</w:t>
      </w:r>
      <w:r w:rsidRPr="00623AB5">
        <w:t xml:space="preserve"> </w:t>
      </w:r>
      <w:r>
        <w:t>A</w:t>
      </w:r>
      <w:r w:rsidR="004A643F" w:rsidRPr="00623AB5">
        <w:t xml:space="preserve">ppendices </w:t>
      </w:r>
      <w:r w:rsidR="00E86C6E">
        <w:t>3</w:t>
      </w:r>
      <w:r w:rsidR="00C11C60">
        <w:t>.1</w:t>
      </w:r>
      <w:r w:rsidR="004A643F" w:rsidRPr="00623AB5">
        <w:t xml:space="preserve"> to </w:t>
      </w:r>
      <w:r w:rsidR="00C749F0">
        <w:t>3.8</w:t>
      </w:r>
      <w:r w:rsidR="004A643F" w:rsidRPr="00623AB5">
        <w:t xml:space="preserve"> </w:t>
      </w:r>
      <w:r w:rsidR="00AB50A2">
        <w:t>provide</w:t>
      </w:r>
      <w:r w:rsidR="004A643F" w:rsidRPr="00623AB5">
        <w:t xml:space="preserve"> working examples to guide the development of specialist learning outcomes by subsector. </w:t>
      </w:r>
    </w:p>
    <w:p w14:paraId="19FF5970" w14:textId="10FC42DA" w:rsidR="004A643F" w:rsidRPr="00623AB5" w:rsidRDefault="004A643F" w:rsidP="00623AB5">
      <w:pPr>
        <w:pStyle w:val="Body"/>
      </w:pPr>
      <w:r w:rsidRPr="00623AB5">
        <w:t xml:space="preserve">It is recommended that graduates and their supervisors draw on both the foundational and specialist learning outcomes to design an </w:t>
      </w:r>
      <w:r w:rsidR="00B40AF9">
        <w:t>i</w:t>
      </w:r>
      <w:r w:rsidRPr="00623AB5">
        <w:t xml:space="preserve">ndividual Learning </w:t>
      </w:r>
      <w:r w:rsidR="00B40AF9">
        <w:t xml:space="preserve">and Development </w:t>
      </w:r>
      <w:r w:rsidRPr="00623AB5">
        <w:t>Plan</w:t>
      </w:r>
      <w:r w:rsidR="002820B3">
        <w:t>.</w:t>
      </w:r>
      <w:r w:rsidRPr="00623AB5">
        <w:t xml:space="preserve"> </w:t>
      </w:r>
      <w:r w:rsidR="007D68A7">
        <w:t>(</w:t>
      </w:r>
      <w:r w:rsidR="002820B3">
        <w:t>R</w:t>
      </w:r>
      <w:r w:rsidR="007D68A7">
        <w:t>efer Appendix 1</w:t>
      </w:r>
      <w:r w:rsidR="002820B3">
        <w:t>.</w:t>
      </w:r>
      <w:r w:rsidR="007D68A7">
        <w:t>)</w:t>
      </w:r>
      <w:r w:rsidR="002820B3">
        <w:t xml:space="preserve"> The plan should</w:t>
      </w:r>
      <w:r w:rsidRPr="00623AB5">
        <w:t xml:space="preserve"> also </w:t>
      </w:r>
      <w:proofErr w:type="gramStart"/>
      <w:r w:rsidRPr="00623AB5">
        <w:t>takes</w:t>
      </w:r>
      <w:proofErr w:type="gramEnd"/>
      <w:r w:rsidRPr="00623AB5">
        <w:t xml:space="preserve"> account of the graduates’ prior learning</w:t>
      </w:r>
      <w:r w:rsidR="00A4470E">
        <w:t xml:space="preserve">, </w:t>
      </w:r>
      <w:r w:rsidRPr="00623AB5">
        <w:t>work</w:t>
      </w:r>
      <w:r w:rsidR="00A4470E">
        <w:t xml:space="preserve"> and lived</w:t>
      </w:r>
      <w:r w:rsidRPr="00623AB5">
        <w:t xml:space="preserve"> experience, and the requirements of their work role and practice setting. </w:t>
      </w:r>
    </w:p>
    <w:p w14:paraId="07FAEF0F" w14:textId="7D613C23" w:rsidR="00945C45" w:rsidRDefault="00945C45" w:rsidP="00945C45">
      <w:pPr>
        <w:rPr>
          <w:rFonts w:ascii="Aptos" w:eastAsia="Aptos" w:hAnsi="Aptos" w:cs="Aptos"/>
          <w:sz w:val="24"/>
          <w:szCs w:val="24"/>
        </w:rPr>
      </w:pPr>
    </w:p>
    <w:p w14:paraId="40B1C3AD" w14:textId="77777777" w:rsidR="00945C45" w:rsidRDefault="00945C45" w:rsidP="00945C45">
      <w:pPr>
        <w:spacing w:after="0" w:line="240" w:lineRule="auto"/>
        <w:rPr>
          <w:rFonts w:ascii="Aptos" w:eastAsia="Aptos" w:hAnsi="Aptos" w:cs="Aptos"/>
          <w:sz w:val="24"/>
          <w:szCs w:val="24"/>
        </w:rPr>
        <w:sectPr w:rsidR="00945C45" w:rsidSect="0085199C">
          <w:headerReference w:type="first" r:id="rId27"/>
          <w:endnotePr>
            <w:numFmt w:val="decimal"/>
          </w:endnotePr>
          <w:pgSz w:w="11906" w:h="16838"/>
          <w:pgMar w:top="1418" w:right="1440" w:bottom="822" w:left="1440" w:header="720" w:footer="720" w:gutter="0"/>
          <w:cols w:space="720"/>
          <w:titlePg/>
          <w:docGrid w:linePitch="360"/>
        </w:sectPr>
      </w:pPr>
    </w:p>
    <w:p w14:paraId="1D62E2FD" w14:textId="77777777" w:rsidR="00945C45" w:rsidRPr="00A923BB" w:rsidRDefault="00945C45" w:rsidP="000A4512">
      <w:pPr>
        <w:pStyle w:val="Tablecaption"/>
      </w:pPr>
      <w:r w:rsidRPr="00A923BB">
        <w:lastRenderedPageBreak/>
        <w:t xml:space="preserve">Table 2: Community and Social Service Workforce Capability Frameworks </w:t>
      </w:r>
    </w:p>
    <w:tbl>
      <w:tblPr>
        <w:tblStyle w:val="CASSGP"/>
        <w:tblW w:w="15168" w:type="dxa"/>
        <w:tblLayout w:type="fixed"/>
        <w:tblLook w:val="04A0" w:firstRow="1" w:lastRow="0" w:firstColumn="1" w:lastColumn="0" w:noHBand="0" w:noVBand="1"/>
      </w:tblPr>
      <w:tblGrid>
        <w:gridCol w:w="3792"/>
        <w:gridCol w:w="1737"/>
        <w:gridCol w:w="5244"/>
        <w:gridCol w:w="4395"/>
      </w:tblGrid>
      <w:tr w:rsidR="00140B1D" w:rsidRPr="00140B1D" w14:paraId="51B27B4A" w14:textId="77777777" w:rsidTr="00B80D3D">
        <w:trPr>
          <w:cnfStyle w:val="100000000000" w:firstRow="1" w:lastRow="0" w:firstColumn="0" w:lastColumn="0" w:oddVBand="0" w:evenVBand="0" w:oddHBand="0" w:evenHBand="0" w:firstRowFirstColumn="0" w:firstRowLastColumn="0" w:lastRowFirstColumn="0" w:lastRowLastColumn="0"/>
        </w:trPr>
        <w:tc>
          <w:tcPr>
            <w:tcW w:w="3792" w:type="dxa"/>
          </w:tcPr>
          <w:p w14:paraId="75AAD01C" w14:textId="77777777" w:rsidR="00945C45" w:rsidRPr="00967D32" w:rsidRDefault="00945C45" w:rsidP="009607F9">
            <w:pPr>
              <w:pStyle w:val="Tablecolheadwhite"/>
              <w:rPr>
                <w:rFonts w:eastAsia="Aptos"/>
                <w:b/>
                <w:bCs/>
              </w:rPr>
            </w:pPr>
            <w:r w:rsidRPr="00967D32">
              <w:rPr>
                <w:rFonts w:eastAsia="Aptos"/>
                <w:b/>
                <w:bCs/>
              </w:rPr>
              <w:t>Author</w:t>
            </w:r>
          </w:p>
        </w:tc>
        <w:tc>
          <w:tcPr>
            <w:tcW w:w="1737" w:type="dxa"/>
          </w:tcPr>
          <w:p w14:paraId="34FEB7F6" w14:textId="77777777" w:rsidR="00945C45" w:rsidRPr="00967D32" w:rsidRDefault="00945C45" w:rsidP="009607F9">
            <w:pPr>
              <w:pStyle w:val="Tablecolheadwhite"/>
              <w:rPr>
                <w:rFonts w:eastAsia="Aptos"/>
                <w:b/>
                <w:bCs/>
              </w:rPr>
            </w:pPr>
            <w:r w:rsidRPr="00967D32">
              <w:rPr>
                <w:rFonts w:eastAsia="Aptos"/>
                <w:b/>
                <w:bCs/>
              </w:rPr>
              <w:t>Year</w:t>
            </w:r>
          </w:p>
        </w:tc>
        <w:tc>
          <w:tcPr>
            <w:tcW w:w="5244" w:type="dxa"/>
          </w:tcPr>
          <w:p w14:paraId="2AE42086" w14:textId="77777777" w:rsidR="00945C45" w:rsidRPr="00967D32" w:rsidRDefault="00945C45" w:rsidP="009607F9">
            <w:pPr>
              <w:pStyle w:val="Tablecolheadwhite"/>
              <w:rPr>
                <w:rFonts w:eastAsia="Aptos"/>
                <w:b/>
                <w:bCs/>
              </w:rPr>
            </w:pPr>
            <w:r w:rsidRPr="00967D32">
              <w:rPr>
                <w:rFonts w:eastAsia="Aptos"/>
                <w:b/>
                <w:bCs/>
              </w:rPr>
              <w:t>Title</w:t>
            </w:r>
          </w:p>
        </w:tc>
        <w:tc>
          <w:tcPr>
            <w:tcW w:w="4395" w:type="dxa"/>
          </w:tcPr>
          <w:p w14:paraId="0CC08B73" w14:textId="77777777" w:rsidR="00945C45" w:rsidRPr="00967D32" w:rsidRDefault="00945C45" w:rsidP="009607F9">
            <w:pPr>
              <w:pStyle w:val="Tablecolheadwhite"/>
              <w:rPr>
                <w:rFonts w:eastAsia="Aptos"/>
                <w:b/>
                <w:bCs/>
              </w:rPr>
            </w:pPr>
            <w:r w:rsidRPr="00967D32">
              <w:rPr>
                <w:rFonts w:eastAsia="Aptos"/>
                <w:b/>
                <w:bCs/>
              </w:rPr>
              <w:t>Link</w:t>
            </w:r>
          </w:p>
        </w:tc>
      </w:tr>
      <w:tr w:rsidR="00850137" w:rsidRPr="00DD2E37" w14:paraId="2F333CFA" w14:textId="77777777" w:rsidTr="00B80D3D">
        <w:trPr>
          <w:cnfStyle w:val="000000100000" w:firstRow="0" w:lastRow="0" w:firstColumn="0" w:lastColumn="0" w:oddVBand="0" w:evenVBand="0" w:oddHBand="1" w:evenHBand="0" w:firstRowFirstColumn="0" w:firstRowLastColumn="0" w:lastRowFirstColumn="0" w:lastRowLastColumn="0"/>
          <w:trHeight w:val="541"/>
        </w:trPr>
        <w:tc>
          <w:tcPr>
            <w:tcW w:w="3792" w:type="dxa"/>
          </w:tcPr>
          <w:p w14:paraId="4730AEC8" w14:textId="77777777" w:rsidR="00FE1A0E" w:rsidRPr="00DD2E37" w:rsidRDefault="00FE1A0E" w:rsidP="008D66F6">
            <w:pPr>
              <w:pStyle w:val="Tabletext"/>
              <w:rPr>
                <w:rFonts w:eastAsia="Aptos"/>
              </w:rPr>
            </w:pPr>
            <w:r w:rsidRPr="00DD2E37">
              <w:rPr>
                <w:rFonts w:eastAsia="Aptos"/>
              </w:rPr>
              <w:t>Centre For Excellence in Child and Family Welfare</w:t>
            </w:r>
          </w:p>
        </w:tc>
        <w:tc>
          <w:tcPr>
            <w:tcW w:w="1737" w:type="dxa"/>
          </w:tcPr>
          <w:p w14:paraId="31AE13E3" w14:textId="77777777" w:rsidR="00FE1A0E" w:rsidRPr="00DD2E37" w:rsidRDefault="00FE1A0E" w:rsidP="008D66F6">
            <w:pPr>
              <w:pStyle w:val="Tabletext"/>
              <w:rPr>
                <w:rFonts w:eastAsia="Aptos"/>
              </w:rPr>
            </w:pPr>
            <w:r w:rsidRPr="00DD2E37">
              <w:rPr>
                <w:rFonts w:eastAsia="Aptos"/>
              </w:rPr>
              <w:t>2019</w:t>
            </w:r>
          </w:p>
        </w:tc>
        <w:tc>
          <w:tcPr>
            <w:tcW w:w="5244" w:type="dxa"/>
          </w:tcPr>
          <w:p w14:paraId="7E3DAE26" w14:textId="2ECAF835" w:rsidR="00FE1A0E" w:rsidRPr="00DD2E37" w:rsidRDefault="00FE1A0E" w:rsidP="008D66F6">
            <w:pPr>
              <w:pStyle w:val="Tabletext"/>
              <w:rPr>
                <w:rFonts w:eastAsia="Aptos"/>
              </w:rPr>
            </w:pPr>
            <w:hyperlink r:id="rId28" w:history="1">
              <w:r w:rsidRPr="009D5033">
                <w:rPr>
                  <w:rStyle w:val="Hyperlink"/>
                  <w:rFonts w:eastAsia="Aptos"/>
                </w:rPr>
                <w:t>Child and Family Services Workforce Capability Framework</w:t>
              </w:r>
            </w:hyperlink>
          </w:p>
        </w:tc>
        <w:tc>
          <w:tcPr>
            <w:tcW w:w="4395" w:type="dxa"/>
          </w:tcPr>
          <w:p w14:paraId="1F4EDAF9" w14:textId="71949486" w:rsidR="00FE1A0E" w:rsidRPr="00DD2E37" w:rsidRDefault="00FE1A0E" w:rsidP="008D66F6">
            <w:pPr>
              <w:pStyle w:val="Tabletext"/>
              <w:rPr>
                <w:rFonts w:eastAsia="Aptos"/>
              </w:rPr>
            </w:pPr>
            <w:r w:rsidRPr="009D5033">
              <w:rPr>
                <w:rFonts w:eastAsia="Aptos" w:cs="Arial"/>
                <w:szCs w:val="21"/>
              </w:rPr>
              <w:t>https://www.cfecfw.asn.au/sector-capability/</w:t>
            </w:r>
          </w:p>
        </w:tc>
      </w:tr>
      <w:tr w:rsidR="00FE1A0E" w:rsidRPr="00DD2E37" w14:paraId="185EF879" w14:textId="77777777" w:rsidTr="00B80D3D">
        <w:tc>
          <w:tcPr>
            <w:tcW w:w="3792" w:type="dxa"/>
          </w:tcPr>
          <w:p w14:paraId="5BB71757" w14:textId="77777777" w:rsidR="00FE1A0E" w:rsidRPr="00DD2E37" w:rsidRDefault="00FE1A0E" w:rsidP="008D66F6">
            <w:pPr>
              <w:pStyle w:val="Tabletext"/>
              <w:rPr>
                <w:rFonts w:eastAsia="Aptos"/>
              </w:rPr>
            </w:pPr>
            <w:r w:rsidRPr="00DD2E37">
              <w:rPr>
                <w:rFonts w:eastAsia="Aptos"/>
              </w:rPr>
              <w:t>Community Housing Industry Victoria</w:t>
            </w:r>
          </w:p>
        </w:tc>
        <w:tc>
          <w:tcPr>
            <w:tcW w:w="1737" w:type="dxa"/>
          </w:tcPr>
          <w:p w14:paraId="1A073A40" w14:textId="77777777" w:rsidR="00FE1A0E" w:rsidRPr="00DD2E37" w:rsidRDefault="00FE1A0E" w:rsidP="008D66F6">
            <w:pPr>
              <w:pStyle w:val="Tabletext"/>
              <w:rPr>
                <w:rFonts w:eastAsia="Aptos"/>
              </w:rPr>
            </w:pPr>
            <w:r w:rsidRPr="00DD2E37">
              <w:rPr>
                <w:rFonts w:eastAsia="Aptos"/>
              </w:rPr>
              <w:t>2019</w:t>
            </w:r>
          </w:p>
        </w:tc>
        <w:tc>
          <w:tcPr>
            <w:tcW w:w="5244" w:type="dxa"/>
          </w:tcPr>
          <w:p w14:paraId="22527455" w14:textId="4EC3F61B" w:rsidR="00FE1A0E" w:rsidRPr="00DD2E37" w:rsidRDefault="00FE1A0E" w:rsidP="008D66F6">
            <w:pPr>
              <w:pStyle w:val="Tabletext"/>
              <w:rPr>
                <w:rFonts w:eastAsia="Aptos"/>
              </w:rPr>
            </w:pPr>
            <w:hyperlink r:id="rId29" w:history="1">
              <w:r w:rsidRPr="009D5033">
                <w:rPr>
                  <w:rStyle w:val="Hyperlink"/>
                  <w:rFonts w:eastAsia="Aptos"/>
                </w:rPr>
                <w:t>Community Housing Workforce Capability Framework</w:t>
              </w:r>
            </w:hyperlink>
          </w:p>
        </w:tc>
        <w:tc>
          <w:tcPr>
            <w:tcW w:w="4395" w:type="dxa"/>
          </w:tcPr>
          <w:p w14:paraId="50459481" w14:textId="26D2AD69" w:rsidR="00FE1A0E" w:rsidRPr="00DD2E37" w:rsidRDefault="00FE1A0E" w:rsidP="008D66F6">
            <w:pPr>
              <w:pStyle w:val="Tabletext"/>
              <w:rPr>
                <w:rFonts w:eastAsia="Aptos"/>
              </w:rPr>
            </w:pPr>
            <w:r w:rsidRPr="009D5033">
              <w:rPr>
                <w:rFonts w:eastAsia="Aptos" w:cs="Arial"/>
                <w:szCs w:val="21"/>
              </w:rPr>
              <w:t>https://chiavic.com.au/resources/capacity-building/</w:t>
            </w:r>
          </w:p>
        </w:tc>
      </w:tr>
      <w:tr w:rsidR="00324947" w:rsidRPr="00DD2E37" w14:paraId="1898F572" w14:textId="77777777" w:rsidTr="00B80D3D">
        <w:trPr>
          <w:cnfStyle w:val="000000100000" w:firstRow="0" w:lastRow="0" w:firstColumn="0" w:lastColumn="0" w:oddVBand="0" w:evenVBand="0" w:oddHBand="1" w:evenHBand="0" w:firstRowFirstColumn="0" w:firstRowLastColumn="0" w:lastRowFirstColumn="0" w:lastRowLastColumn="0"/>
        </w:trPr>
        <w:tc>
          <w:tcPr>
            <w:tcW w:w="3792" w:type="dxa"/>
          </w:tcPr>
          <w:p w14:paraId="0E6F0B1C" w14:textId="77777777" w:rsidR="00FE1A0E" w:rsidRPr="00DD2E37" w:rsidRDefault="00FE1A0E" w:rsidP="008D66F6">
            <w:pPr>
              <w:pStyle w:val="Tabletext"/>
              <w:rPr>
                <w:rFonts w:eastAsia="Aptos"/>
              </w:rPr>
            </w:pPr>
            <w:r w:rsidRPr="00DD2E37">
              <w:rPr>
                <w:rFonts w:eastAsia="Aptos"/>
              </w:rPr>
              <w:t>Council to Homeless Persons</w:t>
            </w:r>
          </w:p>
        </w:tc>
        <w:tc>
          <w:tcPr>
            <w:tcW w:w="1737" w:type="dxa"/>
          </w:tcPr>
          <w:p w14:paraId="5509D9C8" w14:textId="77777777" w:rsidR="00FE1A0E" w:rsidRPr="00DD2E37" w:rsidRDefault="00FE1A0E" w:rsidP="008D66F6">
            <w:pPr>
              <w:pStyle w:val="Tabletext"/>
              <w:rPr>
                <w:rFonts w:eastAsia="Aptos"/>
              </w:rPr>
            </w:pPr>
            <w:r w:rsidRPr="00DD2E37">
              <w:rPr>
                <w:rFonts w:eastAsia="Aptos"/>
              </w:rPr>
              <w:t>2019</w:t>
            </w:r>
          </w:p>
        </w:tc>
        <w:tc>
          <w:tcPr>
            <w:tcW w:w="5244" w:type="dxa"/>
          </w:tcPr>
          <w:p w14:paraId="75F4B8BA" w14:textId="195682C7" w:rsidR="00FE1A0E" w:rsidRPr="00DD2E37" w:rsidRDefault="00FE1A0E" w:rsidP="008D66F6">
            <w:pPr>
              <w:pStyle w:val="Tabletext"/>
              <w:rPr>
                <w:rFonts w:eastAsia="Aptos"/>
              </w:rPr>
            </w:pPr>
            <w:hyperlink r:id="rId30" w:history="1">
              <w:r w:rsidRPr="009D5033">
                <w:rPr>
                  <w:rStyle w:val="Hyperlink"/>
                  <w:rFonts w:eastAsia="Aptos"/>
                </w:rPr>
                <w:t>Specialist Homelessness Sector Workforce Capability Framework</w:t>
              </w:r>
            </w:hyperlink>
          </w:p>
        </w:tc>
        <w:tc>
          <w:tcPr>
            <w:tcW w:w="4395" w:type="dxa"/>
          </w:tcPr>
          <w:p w14:paraId="485FA710" w14:textId="4685BCE1" w:rsidR="00FE1A0E" w:rsidRPr="00DD2E37" w:rsidRDefault="00FE1A0E" w:rsidP="008D66F6">
            <w:pPr>
              <w:pStyle w:val="Tabletext"/>
              <w:rPr>
                <w:rFonts w:eastAsia="Aptos"/>
              </w:rPr>
            </w:pPr>
            <w:r w:rsidRPr="009D5033">
              <w:rPr>
                <w:rFonts w:eastAsia="Aptos" w:cs="Arial"/>
                <w:szCs w:val="21"/>
              </w:rPr>
              <w:t>https://chp.org.au/publication/specialist-homelessness-sector-workforce-capability-framework/</w:t>
            </w:r>
          </w:p>
        </w:tc>
      </w:tr>
      <w:tr w:rsidR="00FE1A0E" w:rsidRPr="00DD2E37" w14:paraId="09D8B8CD" w14:textId="77777777" w:rsidTr="00B80D3D">
        <w:tc>
          <w:tcPr>
            <w:tcW w:w="3792" w:type="dxa"/>
          </w:tcPr>
          <w:p w14:paraId="3F0CC7B8" w14:textId="77777777" w:rsidR="00FE1A0E" w:rsidRPr="00DD2E37" w:rsidRDefault="00FE1A0E" w:rsidP="008D66F6">
            <w:pPr>
              <w:pStyle w:val="Tabletext"/>
              <w:rPr>
                <w:rFonts w:eastAsia="Aptos"/>
              </w:rPr>
            </w:pPr>
            <w:r w:rsidRPr="00DD2E37">
              <w:rPr>
                <w:rFonts w:eastAsia="Aptos"/>
              </w:rPr>
              <w:t>National Disability Insurance Scheme Commission</w:t>
            </w:r>
          </w:p>
        </w:tc>
        <w:tc>
          <w:tcPr>
            <w:tcW w:w="1737" w:type="dxa"/>
          </w:tcPr>
          <w:p w14:paraId="6856A540" w14:textId="77777777" w:rsidR="00FE1A0E" w:rsidRPr="00DD2E37" w:rsidRDefault="00FE1A0E" w:rsidP="008D66F6">
            <w:pPr>
              <w:pStyle w:val="Tabletext"/>
              <w:rPr>
                <w:rFonts w:eastAsia="Aptos"/>
              </w:rPr>
            </w:pPr>
            <w:r w:rsidRPr="00DD2E37">
              <w:rPr>
                <w:rFonts w:eastAsia="Aptos"/>
              </w:rPr>
              <w:t>n.d.</w:t>
            </w:r>
          </w:p>
          <w:p w14:paraId="5F0E660F" w14:textId="77777777" w:rsidR="00FE1A0E" w:rsidRPr="00DD2E37" w:rsidRDefault="00FE1A0E" w:rsidP="008D66F6">
            <w:pPr>
              <w:pStyle w:val="Tabletext"/>
              <w:rPr>
                <w:rFonts w:eastAsia="Aptos"/>
              </w:rPr>
            </w:pPr>
            <w:r w:rsidRPr="00DD2E37">
              <w:rPr>
                <w:rFonts w:eastAsia="Aptos"/>
              </w:rPr>
              <w:t>(website)</w:t>
            </w:r>
          </w:p>
        </w:tc>
        <w:tc>
          <w:tcPr>
            <w:tcW w:w="5244" w:type="dxa"/>
          </w:tcPr>
          <w:p w14:paraId="466E372C" w14:textId="5D139608" w:rsidR="00FE1A0E" w:rsidRPr="00DD2E37" w:rsidRDefault="00FE1A0E" w:rsidP="008D66F6">
            <w:pPr>
              <w:pStyle w:val="Tabletext"/>
              <w:rPr>
                <w:rFonts w:eastAsia="Aptos"/>
              </w:rPr>
            </w:pPr>
            <w:hyperlink r:id="rId31" w:history="1">
              <w:r w:rsidRPr="009D5033">
                <w:rPr>
                  <w:rStyle w:val="Hyperlink"/>
                  <w:rFonts w:eastAsia="Aptos"/>
                </w:rPr>
                <w:t>National Disability Insurance Scheme Workforce Capability</w:t>
              </w:r>
            </w:hyperlink>
          </w:p>
        </w:tc>
        <w:tc>
          <w:tcPr>
            <w:tcW w:w="4395" w:type="dxa"/>
          </w:tcPr>
          <w:p w14:paraId="0D477824" w14:textId="44C4B867" w:rsidR="00FE1A0E" w:rsidRPr="00DD2E37" w:rsidRDefault="00FE1A0E" w:rsidP="008D66F6">
            <w:pPr>
              <w:pStyle w:val="Tabletext"/>
              <w:rPr>
                <w:rFonts w:eastAsia="Aptos"/>
              </w:rPr>
            </w:pPr>
            <w:r w:rsidRPr="009D5033">
              <w:rPr>
                <w:rFonts w:eastAsia="Aptos" w:cs="Arial"/>
                <w:szCs w:val="21"/>
              </w:rPr>
              <w:t>https://workforcecapability.ndiscommission.gov.au/framework</w:t>
            </w:r>
          </w:p>
        </w:tc>
      </w:tr>
      <w:tr w:rsidR="00324947" w:rsidRPr="00DD2E37" w14:paraId="471A2FEA" w14:textId="77777777" w:rsidTr="00B80D3D">
        <w:trPr>
          <w:cnfStyle w:val="000000100000" w:firstRow="0" w:lastRow="0" w:firstColumn="0" w:lastColumn="0" w:oddVBand="0" w:evenVBand="0" w:oddHBand="1" w:evenHBand="0" w:firstRowFirstColumn="0" w:firstRowLastColumn="0" w:lastRowFirstColumn="0" w:lastRowLastColumn="0"/>
        </w:trPr>
        <w:tc>
          <w:tcPr>
            <w:tcW w:w="3792" w:type="dxa"/>
          </w:tcPr>
          <w:p w14:paraId="5A363B08" w14:textId="77777777" w:rsidR="00FE1A0E" w:rsidRPr="00DD2E37" w:rsidRDefault="00FE1A0E" w:rsidP="008D66F6">
            <w:pPr>
              <w:pStyle w:val="Tabletext"/>
              <w:rPr>
                <w:rFonts w:eastAsia="Aptos"/>
              </w:rPr>
            </w:pPr>
            <w:r w:rsidRPr="00DD2E37">
              <w:rPr>
                <w:rFonts w:eastAsia="Aptos"/>
              </w:rPr>
              <w:t>State of Victoria</w:t>
            </w:r>
          </w:p>
        </w:tc>
        <w:tc>
          <w:tcPr>
            <w:tcW w:w="1737" w:type="dxa"/>
          </w:tcPr>
          <w:p w14:paraId="6D838256" w14:textId="77777777" w:rsidR="00FE1A0E" w:rsidRPr="00DD2E37" w:rsidRDefault="00FE1A0E" w:rsidP="008D66F6">
            <w:pPr>
              <w:pStyle w:val="Tabletext"/>
              <w:rPr>
                <w:rFonts w:eastAsia="Aptos"/>
              </w:rPr>
            </w:pPr>
            <w:r w:rsidRPr="00DD2E37">
              <w:rPr>
                <w:rFonts w:eastAsia="Aptos"/>
              </w:rPr>
              <w:t>2021</w:t>
            </w:r>
          </w:p>
        </w:tc>
        <w:tc>
          <w:tcPr>
            <w:tcW w:w="5244" w:type="dxa"/>
          </w:tcPr>
          <w:p w14:paraId="692C14AD" w14:textId="4A616637" w:rsidR="00FE1A0E" w:rsidRPr="00DD2E37" w:rsidRDefault="00FE1A0E" w:rsidP="008D66F6">
            <w:pPr>
              <w:pStyle w:val="Tabletext"/>
              <w:rPr>
                <w:rFonts w:eastAsia="Aptos"/>
              </w:rPr>
            </w:pPr>
            <w:hyperlink r:id="rId32" w:history="1">
              <w:r w:rsidRPr="009D5033">
                <w:rPr>
                  <w:rStyle w:val="Hyperlink"/>
                  <w:rFonts w:eastAsia="Aptos"/>
                </w:rPr>
                <w:t>Child Protection Capability Framework</w:t>
              </w:r>
            </w:hyperlink>
          </w:p>
        </w:tc>
        <w:tc>
          <w:tcPr>
            <w:tcW w:w="4395" w:type="dxa"/>
          </w:tcPr>
          <w:p w14:paraId="5B221F5E" w14:textId="279708A3" w:rsidR="00FE1A0E" w:rsidRPr="00DD2E37" w:rsidRDefault="00FE1A0E" w:rsidP="008D66F6">
            <w:pPr>
              <w:pStyle w:val="Tabletext"/>
              <w:rPr>
                <w:rFonts w:eastAsia="Aptos"/>
              </w:rPr>
            </w:pPr>
            <w:r w:rsidRPr="009D5033">
              <w:rPr>
                <w:rFonts w:eastAsia="Aptos" w:cs="Arial"/>
                <w:szCs w:val="21"/>
              </w:rPr>
              <w:t>https://www.cpmanual.vic.gov.au/our-workforce/learning-and-development/child-protection-capability-framework</w:t>
            </w:r>
          </w:p>
        </w:tc>
      </w:tr>
      <w:tr w:rsidR="00324947" w:rsidRPr="00DD2E37" w14:paraId="3EC71A5B" w14:textId="77777777" w:rsidTr="00B80D3D">
        <w:tc>
          <w:tcPr>
            <w:tcW w:w="3792" w:type="dxa"/>
          </w:tcPr>
          <w:p w14:paraId="49EDCC9F" w14:textId="77777777" w:rsidR="00FE1A0E" w:rsidRPr="00DD2E37" w:rsidRDefault="00FE1A0E" w:rsidP="008D66F6">
            <w:pPr>
              <w:pStyle w:val="Tabletext"/>
              <w:rPr>
                <w:rFonts w:eastAsia="Aptos"/>
              </w:rPr>
            </w:pPr>
            <w:r w:rsidRPr="00DD2E37">
              <w:rPr>
                <w:rFonts w:eastAsia="Aptos"/>
              </w:rPr>
              <w:t>State of Victoria</w:t>
            </w:r>
          </w:p>
        </w:tc>
        <w:tc>
          <w:tcPr>
            <w:tcW w:w="1737" w:type="dxa"/>
          </w:tcPr>
          <w:p w14:paraId="42CFBD50" w14:textId="77777777" w:rsidR="00FE1A0E" w:rsidRPr="00DD2E37" w:rsidRDefault="00FE1A0E" w:rsidP="008D66F6">
            <w:pPr>
              <w:pStyle w:val="Tabletext"/>
              <w:rPr>
                <w:rFonts w:eastAsia="Aptos"/>
              </w:rPr>
            </w:pPr>
            <w:r w:rsidRPr="00DD2E37">
              <w:rPr>
                <w:rFonts w:eastAsia="Aptos"/>
              </w:rPr>
              <w:t>2017</w:t>
            </w:r>
          </w:p>
        </w:tc>
        <w:tc>
          <w:tcPr>
            <w:tcW w:w="5244" w:type="dxa"/>
          </w:tcPr>
          <w:p w14:paraId="369E7FD4" w14:textId="12144FAC" w:rsidR="00FE1A0E" w:rsidRPr="00DD2E37" w:rsidRDefault="00FE1A0E" w:rsidP="008D66F6">
            <w:pPr>
              <w:pStyle w:val="Tabletext"/>
              <w:rPr>
                <w:rFonts w:eastAsia="Aptos"/>
              </w:rPr>
            </w:pPr>
            <w:hyperlink r:id="rId33" w:history="1">
              <w:r w:rsidRPr="009D5033">
                <w:rPr>
                  <w:rStyle w:val="Hyperlink"/>
                  <w:rFonts w:eastAsia="Aptos"/>
                </w:rPr>
                <w:t>Responding to Family Violence Capability Framework</w:t>
              </w:r>
            </w:hyperlink>
          </w:p>
        </w:tc>
        <w:tc>
          <w:tcPr>
            <w:tcW w:w="4395" w:type="dxa"/>
          </w:tcPr>
          <w:p w14:paraId="799AB2B7" w14:textId="0A512F6C" w:rsidR="00FE1A0E" w:rsidRPr="00DD2E37" w:rsidRDefault="00FE1A0E" w:rsidP="008D66F6">
            <w:pPr>
              <w:pStyle w:val="Tabletext"/>
            </w:pPr>
            <w:r w:rsidRPr="009D5033">
              <w:rPr>
                <w:rFonts w:cs="Arial"/>
                <w:szCs w:val="21"/>
              </w:rPr>
              <w:t>https://www.vic.gov.au/family-violence-capability-frameworks</w:t>
            </w:r>
          </w:p>
        </w:tc>
      </w:tr>
      <w:tr w:rsidR="00FE1A0E" w:rsidRPr="00DD2E37" w14:paraId="3649507E" w14:textId="77777777" w:rsidTr="00B80D3D">
        <w:trPr>
          <w:cnfStyle w:val="000000100000" w:firstRow="0" w:lastRow="0" w:firstColumn="0" w:lastColumn="0" w:oddVBand="0" w:evenVBand="0" w:oddHBand="1" w:evenHBand="0" w:firstRowFirstColumn="0" w:firstRowLastColumn="0" w:lastRowFirstColumn="0" w:lastRowLastColumn="0"/>
        </w:trPr>
        <w:tc>
          <w:tcPr>
            <w:tcW w:w="3792" w:type="dxa"/>
          </w:tcPr>
          <w:p w14:paraId="21480310" w14:textId="691FA572" w:rsidR="00FE1A0E" w:rsidRPr="00DD2E37" w:rsidRDefault="00FE1A0E" w:rsidP="008D66F6">
            <w:pPr>
              <w:pStyle w:val="Tabletext"/>
              <w:rPr>
                <w:rFonts w:eastAsia="Aptos"/>
              </w:rPr>
            </w:pPr>
            <w:r w:rsidRPr="00DD2E37">
              <w:rPr>
                <w:rFonts w:eastAsia="Aptos"/>
              </w:rPr>
              <w:t>State of Victoria</w:t>
            </w:r>
          </w:p>
        </w:tc>
        <w:tc>
          <w:tcPr>
            <w:tcW w:w="1737" w:type="dxa"/>
          </w:tcPr>
          <w:p w14:paraId="62AA318F" w14:textId="7E1B026B" w:rsidR="00FE1A0E" w:rsidRPr="00DD2E37" w:rsidRDefault="00FE1A0E" w:rsidP="008D66F6">
            <w:pPr>
              <w:pStyle w:val="Tabletext"/>
              <w:rPr>
                <w:rFonts w:eastAsia="Aptos"/>
              </w:rPr>
            </w:pPr>
            <w:r w:rsidRPr="00DD2E37">
              <w:rPr>
                <w:rFonts w:eastAsia="Aptos"/>
              </w:rPr>
              <w:t>2017</w:t>
            </w:r>
          </w:p>
        </w:tc>
        <w:tc>
          <w:tcPr>
            <w:tcW w:w="5244" w:type="dxa"/>
          </w:tcPr>
          <w:p w14:paraId="363C365B" w14:textId="2EDCA03E" w:rsidR="00FE1A0E" w:rsidRPr="00DD2E37" w:rsidRDefault="00FE1A0E" w:rsidP="008D66F6">
            <w:pPr>
              <w:pStyle w:val="Tabletext"/>
              <w:rPr>
                <w:rFonts w:eastAsia="Aptos"/>
              </w:rPr>
            </w:pPr>
            <w:hyperlink r:id="rId34" w:history="1">
              <w:r w:rsidRPr="009D5033">
                <w:rPr>
                  <w:rStyle w:val="Hyperlink"/>
                  <w:rFonts w:eastAsia="Aptos"/>
                </w:rPr>
                <w:t>Preventing Family Violence and Violence Against Women Capability Framework</w:t>
              </w:r>
            </w:hyperlink>
          </w:p>
        </w:tc>
        <w:tc>
          <w:tcPr>
            <w:tcW w:w="4395" w:type="dxa"/>
          </w:tcPr>
          <w:p w14:paraId="3EFE211E" w14:textId="5A01C903" w:rsidR="00FE1A0E" w:rsidRPr="00DD2E37" w:rsidRDefault="00FE1A0E" w:rsidP="008D66F6">
            <w:pPr>
              <w:pStyle w:val="Tabletext"/>
            </w:pPr>
            <w:r w:rsidRPr="009D5033">
              <w:rPr>
                <w:rFonts w:cs="Arial"/>
                <w:szCs w:val="21"/>
              </w:rPr>
              <w:t>https://www.vic.gov.au/family-violence-capability-frameworks</w:t>
            </w:r>
          </w:p>
        </w:tc>
      </w:tr>
      <w:tr w:rsidR="00850137" w:rsidRPr="00DD2E37" w14:paraId="42661B37" w14:textId="77777777" w:rsidTr="00B80D3D">
        <w:trPr>
          <w:trHeight w:val="300"/>
        </w:trPr>
        <w:tc>
          <w:tcPr>
            <w:tcW w:w="3792" w:type="dxa"/>
          </w:tcPr>
          <w:p w14:paraId="774AE2E8" w14:textId="77777777" w:rsidR="00FE1A0E" w:rsidRPr="00DD2E37" w:rsidRDefault="00FE1A0E" w:rsidP="008D66F6">
            <w:pPr>
              <w:pStyle w:val="Tabletext"/>
              <w:rPr>
                <w:rFonts w:eastAsia="Aptos"/>
              </w:rPr>
            </w:pPr>
            <w:r w:rsidRPr="00DD2E37">
              <w:rPr>
                <w:rFonts w:eastAsia="Aptos"/>
              </w:rPr>
              <w:t>State of Victoria</w:t>
            </w:r>
          </w:p>
        </w:tc>
        <w:tc>
          <w:tcPr>
            <w:tcW w:w="1737" w:type="dxa"/>
          </w:tcPr>
          <w:p w14:paraId="0EEFD3EC" w14:textId="2D08F909" w:rsidR="00FE1A0E" w:rsidRPr="00DD2E37" w:rsidRDefault="00FE1A0E" w:rsidP="008D66F6">
            <w:pPr>
              <w:pStyle w:val="Tabletext"/>
              <w:rPr>
                <w:rFonts w:eastAsia="Aptos"/>
              </w:rPr>
            </w:pPr>
            <w:r w:rsidRPr="00DD2E37">
              <w:rPr>
                <w:rFonts w:eastAsia="Aptos"/>
              </w:rPr>
              <w:t>TBC</w:t>
            </w:r>
          </w:p>
        </w:tc>
        <w:tc>
          <w:tcPr>
            <w:tcW w:w="5244" w:type="dxa"/>
          </w:tcPr>
          <w:p w14:paraId="21A1BF1B" w14:textId="7A63950C" w:rsidR="00FE1A0E" w:rsidRPr="00DD2E37" w:rsidRDefault="00FE1A0E" w:rsidP="008D66F6">
            <w:pPr>
              <w:pStyle w:val="Tabletext"/>
              <w:rPr>
                <w:rFonts w:eastAsia="Aptos"/>
              </w:rPr>
            </w:pPr>
            <w:r w:rsidRPr="00DD2E37">
              <w:rPr>
                <w:rFonts w:eastAsia="Aptos"/>
              </w:rPr>
              <w:t xml:space="preserve">Sexual Assault Workforce Capability Framework </w:t>
            </w:r>
          </w:p>
        </w:tc>
        <w:tc>
          <w:tcPr>
            <w:tcW w:w="4395" w:type="dxa"/>
          </w:tcPr>
          <w:p w14:paraId="552D3564" w14:textId="77777777" w:rsidR="00FE1A0E" w:rsidRPr="00DD2E37" w:rsidRDefault="00FE1A0E" w:rsidP="008D66F6">
            <w:pPr>
              <w:pStyle w:val="Tabletext"/>
            </w:pPr>
            <w:r w:rsidRPr="00DD2E37">
              <w:t>Currently in development</w:t>
            </w:r>
          </w:p>
        </w:tc>
      </w:tr>
    </w:tbl>
    <w:p w14:paraId="622ED74F" w14:textId="77777777" w:rsidR="00945C45" w:rsidRPr="00605CCA" w:rsidRDefault="00945C45" w:rsidP="00945C45">
      <w:pPr>
        <w:spacing w:after="0" w:line="240" w:lineRule="auto"/>
        <w:rPr>
          <w:rFonts w:ascii="Aptos" w:eastAsia="Aptos" w:hAnsi="Aptos" w:cs="Aptos"/>
          <w:sz w:val="24"/>
          <w:szCs w:val="24"/>
        </w:rPr>
      </w:pPr>
    </w:p>
    <w:p w14:paraId="5E55C3C9" w14:textId="07629ACC" w:rsidR="00945C45" w:rsidRPr="00B9072C" w:rsidRDefault="00945C45" w:rsidP="001E55E8">
      <w:pPr>
        <w:pStyle w:val="Heading1"/>
        <w:numPr>
          <w:ilvl w:val="0"/>
          <w:numId w:val="9"/>
        </w:numPr>
        <w:spacing w:before="0" w:after="120"/>
        <w:ind w:left="709" w:hanging="709"/>
        <w:rPr>
          <w:sz w:val="32"/>
          <w:szCs w:val="32"/>
        </w:rPr>
      </w:pPr>
      <w:r>
        <w:rPr>
          <w:rFonts w:ascii="Aptos" w:eastAsia="Aptos" w:hAnsi="Aptos" w:cs="Aptos"/>
          <w:sz w:val="24"/>
          <w:szCs w:val="24"/>
        </w:rPr>
        <w:br w:type="page"/>
      </w:r>
      <w:bookmarkStart w:id="26" w:name="_Toc677707370"/>
      <w:bookmarkStart w:id="27" w:name="_Toc221790876"/>
      <w:r w:rsidR="00385789">
        <w:lastRenderedPageBreak/>
        <w:t xml:space="preserve">Cross-Sector </w:t>
      </w:r>
      <w:bookmarkStart w:id="28" w:name="_Toc176177714"/>
      <w:r w:rsidR="00F57695">
        <w:rPr>
          <w:sz w:val="40"/>
          <w:szCs w:val="40"/>
        </w:rPr>
        <w:t>f</w:t>
      </w:r>
      <w:r w:rsidRPr="00BF3262">
        <w:rPr>
          <w:sz w:val="40"/>
          <w:szCs w:val="40"/>
        </w:rPr>
        <w:t xml:space="preserve">oundational </w:t>
      </w:r>
      <w:r w:rsidR="00F57695">
        <w:rPr>
          <w:sz w:val="40"/>
          <w:szCs w:val="40"/>
        </w:rPr>
        <w:t>l</w:t>
      </w:r>
      <w:r w:rsidRPr="00BF3262">
        <w:rPr>
          <w:sz w:val="40"/>
          <w:szCs w:val="40"/>
        </w:rPr>
        <w:t xml:space="preserve">earning </w:t>
      </w:r>
      <w:r w:rsidR="00F57695">
        <w:rPr>
          <w:sz w:val="40"/>
          <w:szCs w:val="40"/>
        </w:rPr>
        <w:t>o</w:t>
      </w:r>
      <w:r w:rsidRPr="00BF3262">
        <w:rPr>
          <w:sz w:val="40"/>
          <w:szCs w:val="40"/>
        </w:rPr>
        <w:t>utcomes</w:t>
      </w:r>
      <w:bookmarkEnd w:id="26"/>
      <w:bookmarkEnd w:id="27"/>
      <w:bookmarkEnd w:id="28"/>
    </w:p>
    <w:p w14:paraId="1B44D2C9" w14:textId="6DCF0B02" w:rsidR="00945C45" w:rsidRPr="00A6508D" w:rsidRDefault="00945C45" w:rsidP="00A6508D">
      <w:pPr>
        <w:pStyle w:val="Heading2"/>
      </w:pPr>
      <w:bookmarkStart w:id="29" w:name="_Toc176177715"/>
      <w:bookmarkStart w:id="30" w:name="_Toc1736811765"/>
      <w:bookmarkStart w:id="31" w:name="_Toc221790877"/>
      <w:r w:rsidRPr="00A6508D">
        <w:t>Learning Domain</w:t>
      </w:r>
      <w:r w:rsidR="00CC1B74" w:rsidRPr="00A6508D">
        <w:t xml:space="preserve"> 1</w:t>
      </w:r>
      <w:r w:rsidRPr="00A6508D">
        <w:t xml:space="preserve">: </w:t>
      </w:r>
      <w:r w:rsidR="00930C32" w:rsidRPr="00A6508D">
        <w:t>Sector and</w:t>
      </w:r>
      <w:r w:rsidRPr="00A6508D">
        <w:t xml:space="preserve"> </w:t>
      </w:r>
      <w:bookmarkEnd w:id="29"/>
      <w:bookmarkEnd w:id="30"/>
      <w:r w:rsidR="00121E3C" w:rsidRPr="00A6508D">
        <w:t>o</w:t>
      </w:r>
      <w:r w:rsidRPr="00A6508D">
        <w:t xml:space="preserve">rganisational </w:t>
      </w:r>
      <w:r w:rsidR="00121E3C" w:rsidRPr="00A6508D">
        <w:t>c</w:t>
      </w:r>
      <w:r w:rsidRPr="00A6508D">
        <w:t>ontext</w:t>
      </w:r>
      <w:r w:rsidR="00930C32" w:rsidRPr="00A6508D">
        <w:t xml:space="preserve">s of </w:t>
      </w:r>
      <w:r w:rsidR="00121E3C" w:rsidRPr="00A6508D">
        <w:t>p</w:t>
      </w:r>
      <w:r w:rsidR="00930C32" w:rsidRPr="00A6508D">
        <w:t>ractice</w:t>
      </w:r>
      <w:bookmarkEnd w:id="31"/>
    </w:p>
    <w:p w14:paraId="43EF862E" w14:textId="7B236FC5" w:rsidR="009A40A5" w:rsidRDefault="00FC205B" w:rsidP="0020132A">
      <w:pPr>
        <w:pStyle w:val="Body"/>
      </w:pPr>
      <w:r w:rsidRPr="002272CB">
        <w:rPr>
          <w:rFonts w:cs="Arial"/>
          <w:b/>
          <w:szCs w:val="21"/>
        </w:rPr>
        <w:t>Foundational learning outcome</w:t>
      </w:r>
      <w:r w:rsidR="00B92A25" w:rsidRPr="002272CB">
        <w:rPr>
          <w:rFonts w:cs="Arial"/>
          <w:b/>
          <w:szCs w:val="21"/>
        </w:rPr>
        <w:t>:</w:t>
      </w:r>
      <w:r w:rsidR="00B92A25" w:rsidRPr="002272CB">
        <w:rPr>
          <w:rFonts w:cs="Arial"/>
          <w:szCs w:val="21"/>
        </w:rPr>
        <w:t xml:space="preserve"> </w:t>
      </w:r>
      <w:r w:rsidR="00B92A25" w:rsidRPr="002272CB">
        <w:t>Graduates have a broad understanding of the legal, policy and organisational systems in which community and social services operate</w:t>
      </w:r>
      <w:r w:rsidR="002820B3">
        <w:t>. They</w:t>
      </w:r>
      <w:r w:rsidR="00B92A25" w:rsidRPr="002272CB">
        <w:t xml:space="preserve"> can navigate these systems to enhance service delivery across diverse service user groups and communities.</w:t>
      </w:r>
    </w:p>
    <w:tbl>
      <w:tblPr>
        <w:tblStyle w:val="CASSGP"/>
        <w:tblW w:w="15588" w:type="dxa"/>
        <w:tblLayout w:type="fixed"/>
        <w:tblLook w:val="04A0" w:firstRow="1" w:lastRow="0" w:firstColumn="1" w:lastColumn="0" w:noHBand="0" w:noVBand="1"/>
      </w:tblPr>
      <w:tblGrid>
        <w:gridCol w:w="1980"/>
        <w:gridCol w:w="2835"/>
        <w:gridCol w:w="2979"/>
        <w:gridCol w:w="2598"/>
        <w:gridCol w:w="2598"/>
        <w:gridCol w:w="2598"/>
      </w:tblGrid>
      <w:tr w:rsidR="00F56642" w:rsidRPr="002272CB" w14:paraId="1905EB92" w14:textId="77777777" w:rsidTr="009462AB">
        <w:trPr>
          <w:cnfStyle w:val="100000000000" w:firstRow="1" w:lastRow="0" w:firstColumn="0" w:lastColumn="0" w:oddVBand="0" w:evenVBand="0" w:oddHBand="0" w:evenHBand="0" w:firstRowFirstColumn="0" w:firstRowLastColumn="0" w:lastRowFirstColumn="0" w:lastRowLastColumn="0"/>
          <w:tblHeader/>
        </w:trPr>
        <w:tc>
          <w:tcPr>
            <w:tcW w:w="1980" w:type="dxa"/>
          </w:tcPr>
          <w:p w14:paraId="3E79B609" w14:textId="77777777" w:rsidR="00F56642" w:rsidRPr="00967D32" w:rsidRDefault="00F56642" w:rsidP="00676C84">
            <w:pPr>
              <w:pStyle w:val="Tablecolheadwhite"/>
              <w:rPr>
                <w:b/>
                <w:bCs/>
              </w:rPr>
            </w:pPr>
            <w:r w:rsidRPr="00967D32">
              <w:rPr>
                <w:b/>
                <w:bCs/>
              </w:rPr>
              <w:t>Dimensions</w:t>
            </w:r>
          </w:p>
          <w:p w14:paraId="0C5066CD" w14:textId="558AEE6F" w:rsidR="00FA5F67" w:rsidRPr="00967D32" w:rsidRDefault="00FA5F67" w:rsidP="00676C84">
            <w:pPr>
              <w:pStyle w:val="Tabletext"/>
              <w:rPr>
                <w:b w:val="0"/>
              </w:rPr>
            </w:pPr>
            <w:r w:rsidRPr="00967D32">
              <w:rPr>
                <w:b w:val="0"/>
              </w:rPr>
              <w:t>This is evident when graduates can understand the learning areas</w:t>
            </w:r>
            <w:r w:rsidR="00B71D86" w:rsidRPr="00967D32">
              <w:rPr>
                <w:b w:val="0"/>
              </w:rPr>
              <w:t>.</w:t>
            </w:r>
          </w:p>
        </w:tc>
        <w:tc>
          <w:tcPr>
            <w:tcW w:w="2835" w:type="dxa"/>
          </w:tcPr>
          <w:p w14:paraId="6D3AB517" w14:textId="033073A2" w:rsidR="00FA5F67" w:rsidRPr="00967D32" w:rsidRDefault="00FA5F67" w:rsidP="00676C84">
            <w:pPr>
              <w:pStyle w:val="Tablecolheadwhite"/>
              <w:rPr>
                <w:b/>
                <w:bCs/>
              </w:rPr>
            </w:pPr>
            <w:r w:rsidRPr="00967D32">
              <w:rPr>
                <w:b/>
                <w:bCs/>
              </w:rPr>
              <w:t>Learning area:</w:t>
            </w:r>
          </w:p>
          <w:p w14:paraId="038487E4" w14:textId="5C00D0F9" w:rsidR="00F56642" w:rsidRPr="00967D32" w:rsidRDefault="00F56642" w:rsidP="00676C84">
            <w:pPr>
              <w:pStyle w:val="Tablecolheadwhite"/>
              <w:rPr>
                <w:b/>
                <w:bCs/>
              </w:rPr>
            </w:pPr>
            <w:r w:rsidRPr="00967D32">
              <w:rPr>
                <w:b/>
                <w:bCs/>
              </w:rPr>
              <w:t>Whole</w:t>
            </w:r>
            <w:r w:rsidR="00A16ABC" w:rsidRPr="00967D32">
              <w:rPr>
                <w:b/>
                <w:bCs/>
              </w:rPr>
              <w:t>-</w:t>
            </w:r>
            <w:r w:rsidRPr="00967D32">
              <w:rPr>
                <w:b/>
                <w:bCs/>
              </w:rPr>
              <w:t>of</w:t>
            </w:r>
            <w:r w:rsidR="00A16ABC" w:rsidRPr="00967D32">
              <w:rPr>
                <w:b/>
                <w:bCs/>
              </w:rPr>
              <w:t>-</w:t>
            </w:r>
            <w:r w:rsidRPr="00967D32">
              <w:rPr>
                <w:b/>
                <w:bCs/>
              </w:rPr>
              <w:t>system literacy</w:t>
            </w:r>
          </w:p>
        </w:tc>
        <w:tc>
          <w:tcPr>
            <w:tcW w:w="2979" w:type="dxa"/>
          </w:tcPr>
          <w:p w14:paraId="2C09D7B4" w14:textId="77777777" w:rsidR="00FA5F67" w:rsidRPr="00967D32" w:rsidRDefault="00FA5F67" w:rsidP="00676C84">
            <w:pPr>
              <w:pStyle w:val="Tablecolheadwhite"/>
              <w:rPr>
                <w:b/>
                <w:bCs/>
              </w:rPr>
            </w:pPr>
            <w:r w:rsidRPr="00967D32">
              <w:rPr>
                <w:b/>
                <w:bCs/>
              </w:rPr>
              <w:t>Learning area:</w:t>
            </w:r>
          </w:p>
          <w:p w14:paraId="0E5DD8E6" w14:textId="0AE0FE7A" w:rsidR="00F56642" w:rsidRPr="00967D32" w:rsidRDefault="00F56642" w:rsidP="00676C84">
            <w:pPr>
              <w:pStyle w:val="Tablecolheadwhite"/>
              <w:rPr>
                <w:b/>
                <w:bCs/>
              </w:rPr>
            </w:pPr>
            <w:r w:rsidRPr="00967D32">
              <w:rPr>
                <w:b/>
                <w:bCs/>
              </w:rPr>
              <w:t>Roles and functions of different services and programs</w:t>
            </w:r>
          </w:p>
        </w:tc>
        <w:tc>
          <w:tcPr>
            <w:tcW w:w="2598" w:type="dxa"/>
          </w:tcPr>
          <w:p w14:paraId="22769D8E" w14:textId="77777777" w:rsidR="00FA5F67" w:rsidRPr="00967D32" w:rsidRDefault="00FA5F67" w:rsidP="00676C84">
            <w:pPr>
              <w:pStyle w:val="Tablecolheadwhite"/>
              <w:rPr>
                <w:b/>
                <w:bCs/>
              </w:rPr>
            </w:pPr>
            <w:r w:rsidRPr="00967D32">
              <w:rPr>
                <w:b/>
                <w:bCs/>
              </w:rPr>
              <w:t>Learning area:</w:t>
            </w:r>
          </w:p>
          <w:p w14:paraId="4156A355" w14:textId="61B6965D" w:rsidR="00F56642" w:rsidRPr="00967D32" w:rsidRDefault="00F56642" w:rsidP="00676C84">
            <w:pPr>
              <w:pStyle w:val="Tablecolheadwhite"/>
              <w:rPr>
                <w:b/>
                <w:bCs/>
              </w:rPr>
            </w:pPr>
            <w:r w:rsidRPr="00967D32">
              <w:rPr>
                <w:b/>
                <w:bCs/>
              </w:rPr>
              <w:t>Legal frameworks and obligations</w:t>
            </w:r>
          </w:p>
        </w:tc>
        <w:tc>
          <w:tcPr>
            <w:tcW w:w="2598" w:type="dxa"/>
          </w:tcPr>
          <w:p w14:paraId="49B8BD2F" w14:textId="77777777" w:rsidR="00FA5F67" w:rsidRPr="00967D32" w:rsidRDefault="00FA5F67" w:rsidP="00676C84">
            <w:pPr>
              <w:pStyle w:val="Tablecolheadwhite"/>
              <w:rPr>
                <w:b/>
                <w:bCs/>
              </w:rPr>
            </w:pPr>
            <w:r w:rsidRPr="00967D32">
              <w:rPr>
                <w:b/>
                <w:bCs/>
              </w:rPr>
              <w:t>Learning area:</w:t>
            </w:r>
          </w:p>
          <w:p w14:paraId="33C4BB10" w14:textId="2352EF6C" w:rsidR="00F56642" w:rsidRPr="00967D32" w:rsidRDefault="00F56642" w:rsidP="00676C84">
            <w:pPr>
              <w:pStyle w:val="Tablecolheadwhite"/>
              <w:rPr>
                <w:b/>
                <w:bCs/>
              </w:rPr>
            </w:pPr>
            <w:r w:rsidRPr="00967D32">
              <w:rPr>
                <w:b/>
                <w:bCs/>
              </w:rPr>
              <w:t>Service user groups and communities</w:t>
            </w:r>
          </w:p>
        </w:tc>
        <w:tc>
          <w:tcPr>
            <w:tcW w:w="2598" w:type="dxa"/>
          </w:tcPr>
          <w:p w14:paraId="30E4F881" w14:textId="77777777" w:rsidR="00FA5F67" w:rsidRPr="00967D32" w:rsidRDefault="00FA5F67" w:rsidP="00676C84">
            <w:pPr>
              <w:pStyle w:val="Tablecolheadwhite"/>
              <w:rPr>
                <w:b/>
                <w:bCs/>
              </w:rPr>
            </w:pPr>
            <w:r w:rsidRPr="00967D32">
              <w:rPr>
                <w:b/>
                <w:bCs/>
              </w:rPr>
              <w:t>Learning area:</w:t>
            </w:r>
          </w:p>
          <w:p w14:paraId="1D491DB8" w14:textId="4DE0A148" w:rsidR="00F56642" w:rsidRPr="00967D32" w:rsidRDefault="00F56642" w:rsidP="00676C84">
            <w:pPr>
              <w:pStyle w:val="Tablecolheadwhite"/>
              <w:rPr>
                <w:b/>
                <w:bCs/>
              </w:rPr>
            </w:pPr>
            <w:r w:rsidRPr="00967D32">
              <w:rPr>
                <w:b/>
                <w:bCs/>
              </w:rPr>
              <w:t>Aboriginal self-determination</w:t>
            </w:r>
          </w:p>
        </w:tc>
      </w:tr>
      <w:tr w:rsidR="00F56642" w:rsidRPr="002272CB" w14:paraId="300172E1" w14:textId="77777777" w:rsidTr="00970AB0">
        <w:trPr>
          <w:cnfStyle w:val="000000100000" w:firstRow="0" w:lastRow="0" w:firstColumn="0" w:lastColumn="0" w:oddVBand="0" w:evenVBand="0" w:oddHBand="1" w:evenHBand="0" w:firstRowFirstColumn="0" w:firstRowLastColumn="0" w:lastRowFirstColumn="0" w:lastRowLastColumn="0"/>
        </w:trPr>
        <w:tc>
          <w:tcPr>
            <w:tcW w:w="1980" w:type="dxa"/>
          </w:tcPr>
          <w:p w14:paraId="26663598" w14:textId="2E1C3557" w:rsidR="00F56642" w:rsidRPr="009B59CF" w:rsidRDefault="00F56642" w:rsidP="009462AB">
            <w:pPr>
              <w:pStyle w:val="Tablecolhead"/>
              <w:rPr>
                <w:sz w:val="20"/>
              </w:rPr>
            </w:pPr>
            <w:r w:rsidRPr="009B59CF">
              <w:t>Knowledge</w:t>
            </w:r>
          </w:p>
        </w:tc>
        <w:tc>
          <w:tcPr>
            <w:tcW w:w="2835" w:type="dxa"/>
          </w:tcPr>
          <w:p w14:paraId="33DD8056" w14:textId="31370276" w:rsidR="00F56642" w:rsidRPr="00676C84" w:rsidRDefault="00F56642" w:rsidP="00676C84">
            <w:pPr>
              <w:pStyle w:val="Tabletext"/>
            </w:pPr>
            <w:r w:rsidRPr="00676C84">
              <w:t>Understand the system features relevant to community services (e.g. information sharing schemes, MARAM, child safety standards, mandatory reporting, Open Door network).</w:t>
            </w:r>
          </w:p>
        </w:tc>
        <w:tc>
          <w:tcPr>
            <w:tcW w:w="2979" w:type="dxa"/>
          </w:tcPr>
          <w:p w14:paraId="53913523" w14:textId="77777777" w:rsidR="00F56642" w:rsidRPr="00676C84" w:rsidRDefault="00F56642" w:rsidP="00676C84">
            <w:pPr>
              <w:pStyle w:val="Tabletext"/>
            </w:pPr>
            <w:r w:rsidRPr="00676C84">
              <w:t>Describe the key roles and functions of different services and programs in the social and community services sector.</w:t>
            </w:r>
          </w:p>
        </w:tc>
        <w:tc>
          <w:tcPr>
            <w:tcW w:w="2598" w:type="dxa"/>
          </w:tcPr>
          <w:p w14:paraId="04B06E03" w14:textId="77777777" w:rsidR="00F56642" w:rsidRPr="00676C84" w:rsidRDefault="00F56642" w:rsidP="00676C84">
            <w:pPr>
              <w:pStyle w:val="Tabletext"/>
            </w:pPr>
            <w:r w:rsidRPr="00676C84">
              <w:t>Describe key legal and regulatory frameworks and obligations relevant to community and social services practice. </w:t>
            </w:r>
          </w:p>
        </w:tc>
        <w:tc>
          <w:tcPr>
            <w:tcW w:w="2598" w:type="dxa"/>
          </w:tcPr>
          <w:p w14:paraId="7F792AF3" w14:textId="77777777" w:rsidR="00F56642" w:rsidRPr="00676C84" w:rsidRDefault="00F56642" w:rsidP="00676C84">
            <w:pPr>
              <w:pStyle w:val="Tabletext"/>
            </w:pPr>
            <w:r w:rsidRPr="00676C84">
              <w:t>Describe the diverse demographics and service needs of different service user groups and communities.</w:t>
            </w:r>
          </w:p>
        </w:tc>
        <w:tc>
          <w:tcPr>
            <w:tcW w:w="2598" w:type="dxa"/>
          </w:tcPr>
          <w:p w14:paraId="66719F84" w14:textId="77777777" w:rsidR="00F56642" w:rsidRPr="00676C84" w:rsidRDefault="00F56642" w:rsidP="00676C84">
            <w:pPr>
              <w:pStyle w:val="Tabletext"/>
            </w:pPr>
            <w:r w:rsidRPr="00676C84">
              <w:t>Understand the concept of Aboriginal self-determination and the current Victorian Truth and Treaty context for working towards self-determined community and social services for Aboriginal people and communities.</w:t>
            </w:r>
          </w:p>
        </w:tc>
      </w:tr>
      <w:tr w:rsidR="00F56642" w:rsidRPr="002272CB" w14:paraId="4FC23216" w14:textId="77777777" w:rsidTr="00970AB0">
        <w:tc>
          <w:tcPr>
            <w:tcW w:w="1980" w:type="dxa"/>
          </w:tcPr>
          <w:p w14:paraId="3FD45DE5" w14:textId="0B3715FD" w:rsidR="00F56642" w:rsidRPr="009B59CF" w:rsidRDefault="00F56642" w:rsidP="009462AB">
            <w:pPr>
              <w:pStyle w:val="Tablecolhead"/>
            </w:pPr>
            <w:r w:rsidRPr="009B59CF">
              <w:t>Skills</w:t>
            </w:r>
          </w:p>
        </w:tc>
        <w:tc>
          <w:tcPr>
            <w:tcW w:w="2835" w:type="dxa"/>
          </w:tcPr>
          <w:p w14:paraId="604EB1AF" w14:textId="304E1DA7" w:rsidR="00F56642" w:rsidRPr="00676C84" w:rsidRDefault="00F56642" w:rsidP="00676C84">
            <w:pPr>
              <w:pStyle w:val="Tabletext"/>
            </w:pPr>
            <w:r w:rsidRPr="00676C84">
              <w:t>Navigate and use system features effectively in practice.</w:t>
            </w:r>
          </w:p>
        </w:tc>
        <w:tc>
          <w:tcPr>
            <w:tcW w:w="2979" w:type="dxa"/>
          </w:tcPr>
          <w:p w14:paraId="46036ECD" w14:textId="77777777" w:rsidR="00F56642" w:rsidRPr="00676C84" w:rsidRDefault="00F56642" w:rsidP="00676C84">
            <w:pPr>
              <w:pStyle w:val="Tabletext"/>
            </w:pPr>
            <w:r w:rsidRPr="00676C84">
              <w:t>Apply knowledge of different services and programs to coordinate care effectively in practice.</w:t>
            </w:r>
          </w:p>
        </w:tc>
        <w:tc>
          <w:tcPr>
            <w:tcW w:w="2598" w:type="dxa"/>
          </w:tcPr>
          <w:p w14:paraId="0CBE7B5A" w14:textId="77777777" w:rsidR="00F56642" w:rsidRPr="00676C84" w:rsidRDefault="00F56642" w:rsidP="00676C84">
            <w:pPr>
              <w:pStyle w:val="Tabletext"/>
            </w:pPr>
            <w:r w:rsidRPr="00676C84">
              <w:t>Apply knowledge of legal requirements to ensure compliance in routine situations (e.g., mandatory reporting, application of MARAM). </w:t>
            </w:r>
          </w:p>
        </w:tc>
        <w:tc>
          <w:tcPr>
            <w:tcW w:w="2598" w:type="dxa"/>
          </w:tcPr>
          <w:p w14:paraId="028EED1D" w14:textId="77777777" w:rsidR="00F56642" w:rsidRPr="00676C84" w:rsidRDefault="00F56642" w:rsidP="00676C84">
            <w:pPr>
              <w:pStyle w:val="Tabletext"/>
            </w:pPr>
            <w:r w:rsidRPr="00676C84">
              <w:t>Apply core practice skills and approaches to address the diverse needs of service users and communities in their practice.</w:t>
            </w:r>
          </w:p>
        </w:tc>
        <w:tc>
          <w:tcPr>
            <w:tcW w:w="2598" w:type="dxa"/>
          </w:tcPr>
          <w:p w14:paraId="402B149A" w14:textId="77777777" w:rsidR="00F56642" w:rsidRPr="00676C84" w:rsidRDefault="00F56642" w:rsidP="00676C84">
            <w:pPr>
              <w:pStyle w:val="Tabletext"/>
            </w:pPr>
            <w:r w:rsidRPr="00676C84">
              <w:t>Elevate Aboriginal people’s voice and agency and promote self-determination using core cultural awareness skills.</w:t>
            </w:r>
          </w:p>
        </w:tc>
      </w:tr>
      <w:tr w:rsidR="00F56642" w:rsidRPr="002272CB" w14:paraId="7C4EA26A" w14:textId="77777777" w:rsidTr="00970AB0">
        <w:trPr>
          <w:cnfStyle w:val="000000100000" w:firstRow="0" w:lastRow="0" w:firstColumn="0" w:lastColumn="0" w:oddVBand="0" w:evenVBand="0" w:oddHBand="1" w:evenHBand="0" w:firstRowFirstColumn="0" w:firstRowLastColumn="0" w:lastRowFirstColumn="0" w:lastRowLastColumn="0"/>
        </w:trPr>
        <w:tc>
          <w:tcPr>
            <w:tcW w:w="1980" w:type="dxa"/>
          </w:tcPr>
          <w:p w14:paraId="510F59A3" w14:textId="5B53340B" w:rsidR="00F56642" w:rsidRPr="009B59CF" w:rsidRDefault="00F56642" w:rsidP="009462AB">
            <w:pPr>
              <w:pStyle w:val="Tablecolhead"/>
            </w:pPr>
            <w:r w:rsidRPr="009B59CF">
              <w:t>Professional judgement</w:t>
            </w:r>
          </w:p>
        </w:tc>
        <w:tc>
          <w:tcPr>
            <w:tcW w:w="2835" w:type="dxa"/>
          </w:tcPr>
          <w:p w14:paraId="5C2A79C5" w14:textId="16B24BB7" w:rsidR="00F56642" w:rsidRPr="00676C84" w:rsidRDefault="00F56642" w:rsidP="00676C84">
            <w:pPr>
              <w:pStyle w:val="Tabletext"/>
            </w:pPr>
            <w:r w:rsidRPr="00676C84">
              <w:t>Make decisions that reflect an understanding of system features and their impact on service delivery.</w:t>
            </w:r>
          </w:p>
        </w:tc>
        <w:tc>
          <w:tcPr>
            <w:tcW w:w="2979" w:type="dxa"/>
          </w:tcPr>
          <w:p w14:paraId="648E5E85" w14:textId="77777777" w:rsidR="00F56642" w:rsidRPr="00676C84" w:rsidRDefault="00F56642" w:rsidP="00676C84">
            <w:pPr>
              <w:pStyle w:val="Tabletext"/>
            </w:pPr>
            <w:r w:rsidRPr="00676C84">
              <w:t>Make decisions that appropriately involve different services and programs guided by their roles and functions.</w:t>
            </w:r>
          </w:p>
        </w:tc>
        <w:tc>
          <w:tcPr>
            <w:tcW w:w="2598" w:type="dxa"/>
          </w:tcPr>
          <w:p w14:paraId="44CCF9FE" w14:textId="77777777" w:rsidR="00F56642" w:rsidRPr="00676C84" w:rsidRDefault="00F56642" w:rsidP="00676C84">
            <w:pPr>
              <w:pStyle w:val="Tabletext"/>
            </w:pPr>
            <w:r w:rsidRPr="00676C84">
              <w:t>Make ethical decisions informed by an understanding of core legal obligations in community and social services.</w:t>
            </w:r>
          </w:p>
        </w:tc>
        <w:tc>
          <w:tcPr>
            <w:tcW w:w="2598" w:type="dxa"/>
          </w:tcPr>
          <w:p w14:paraId="069F71C6" w14:textId="77777777" w:rsidR="00F56642" w:rsidRPr="00676C84" w:rsidRDefault="00F56642" w:rsidP="00676C84">
            <w:pPr>
              <w:pStyle w:val="Tabletext"/>
            </w:pPr>
            <w:r w:rsidRPr="00676C84">
              <w:t>Make decisions that consider the diverse needs, cultures and backgrounds of service users.</w:t>
            </w:r>
          </w:p>
        </w:tc>
        <w:tc>
          <w:tcPr>
            <w:tcW w:w="2598" w:type="dxa"/>
          </w:tcPr>
          <w:p w14:paraId="2DDC6D02" w14:textId="77777777" w:rsidR="00F56642" w:rsidRPr="00676C84" w:rsidRDefault="00F56642" w:rsidP="00676C84">
            <w:pPr>
              <w:pStyle w:val="Tabletext"/>
            </w:pPr>
            <w:r w:rsidRPr="00676C84">
              <w:t>Uphold cultural integrity and elevate Aboriginal perspectives and decision-making in all aspects of work that affect Aboriginal service users, communities and workers.</w:t>
            </w:r>
          </w:p>
        </w:tc>
      </w:tr>
      <w:tr w:rsidR="00F56642" w:rsidRPr="002272CB" w14:paraId="6234D436" w14:textId="77777777" w:rsidTr="00970AB0">
        <w:tc>
          <w:tcPr>
            <w:tcW w:w="1980" w:type="dxa"/>
          </w:tcPr>
          <w:p w14:paraId="7799AC84" w14:textId="22007F7C" w:rsidR="00F56642" w:rsidRPr="009B59CF" w:rsidRDefault="00F56642" w:rsidP="009462AB">
            <w:pPr>
              <w:pStyle w:val="Tablecolhead"/>
            </w:pPr>
            <w:r w:rsidRPr="009B59CF">
              <w:t>Self- management</w:t>
            </w:r>
          </w:p>
        </w:tc>
        <w:tc>
          <w:tcPr>
            <w:tcW w:w="2835" w:type="dxa"/>
          </w:tcPr>
          <w:p w14:paraId="76F04280" w14:textId="436E3FFD" w:rsidR="00F56642" w:rsidRPr="00676C84" w:rsidRDefault="00F56642" w:rsidP="00676C84">
            <w:pPr>
              <w:pStyle w:val="Tabletext"/>
            </w:pPr>
            <w:r w:rsidRPr="00676C84">
              <w:t>Build own awareness and understanding of the system and use of system features to improve practice.</w:t>
            </w:r>
          </w:p>
        </w:tc>
        <w:tc>
          <w:tcPr>
            <w:tcW w:w="2979" w:type="dxa"/>
          </w:tcPr>
          <w:p w14:paraId="7A34124C" w14:textId="77777777" w:rsidR="00F56642" w:rsidRPr="00676C84" w:rsidRDefault="00F56642" w:rsidP="00676C84">
            <w:pPr>
              <w:pStyle w:val="Tabletext"/>
            </w:pPr>
            <w:r w:rsidRPr="00676C84">
              <w:t xml:space="preserve">Critically reflect and continually improve their coordination of different services. </w:t>
            </w:r>
          </w:p>
        </w:tc>
        <w:tc>
          <w:tcPr>
            <w:tcW w:w="2598" w:type="dxa"/>
          </w:tcPr>
          <w:p w14:paraId="3AAED9BB" w14:textId="77777777" w:rsidR="00F56642" w:rsidRPr="00676C84" w:rsidRDefault="00F56642" w:rsidP="00676C84">
            <w:pPr>
              <w:pStyle w:val="Tabletext"/>
            </w:pPr>
            <w:r w:rsidRPr="00676C84">
              <w:t>Self-assess and reflect on their adherence to legal obligations and standards in their practice.</w:t>
            </w:r>
          </w:p>
        </w:tc>
        <w:tc>
          <w:tcPr>
            <w:tcW w:w="2598" w:type="dxa"/>
          </w:tcPr>
          <w:p w14:paraId="60E3B8F8" w14:textId="77777777" w:rsidR="00F56642" w:rsidRPr="00676C84" w:rsidRDefault="00F56642" w:rsidP="00676C84">
            <w:pPr>
              <w:pStyle w:val="Tabletext"/>
            </w:pPr>
            <w:r w:rsidRPr="00676C84">
              <w:t xml:space="preserve">Reflect on and improve their practice with their diverse service user groups. </w:t>
            </w:r>
          </w:p>
        </w:tc>
        <w:tc>
          <w:tcPr>
            <w:tcW w:w="2598" w:type="dxa"/>
          </w:tcPr>
          <w:p w14:paraId="1B3BDA5D" w14:textId="77777777" w:rsidR="00F56642" w:rsidRPr="00676C84" w:rsidRDefault="00F56642" w:rsidP="00676C84">
            <w:pPr>
              <w:pStyle w:val="Tabletext"/>
            </w:pPr>
            <w:r w:rsidRPr="00676C84">
              <w:t>Practice critical self-reflection and undertake self-assessment to enhance cultural humility.</w:t>
            </w:r>
          </w:p>
        </w:tc>
      </w:tr>
    </w:tbl>
    <w:p w14:paraId="09A32EBB" w14:textId="40B16D08" w:rsidR="00EF3357" w:rsidRPr="008D66F6" w:rsidRDefault="00EF3357" w:rsidP="008D66F6">
      <w:pPr>
        <w:pStyle w:val="Heading2"/>
      </w:pPr>
      <w:bookmarkStart w:id="32" w:name="_Toc176177719"/>
      <w:bookmarkStart w:id="33" w:name="_Toc221790878"/>
      <w:bookmarkStart w:id="34" w:name="_Toc176177716"/>
      <w:r w:rsidRPr="008D66F6">
        <w:lastRenderedPageBreak/>
        <w:t>Learning Domain 2</w:t>
      </w:r>
      <w:r w:rsidR="00D551B9" w:rsidRPr="008D66F6">
        <w:t xml:space="preserve">: Effective and </w:t>
      </w:r>
      <w:bookmarkEnd w:id="32"/>
      <w:r w:rsidR="00636A53">
        <w:t>c</w:t>
      </w:r>
      <w:r w:rsidR="00D551B9" w:rsidRPr="008D66F6">
        <w:t xml:space="preserve">ulturally </w:t>
      </w:r>
      <w:r w:rsidR="00636A53">
        <w:t>r</w:t>
      </w:r>
      <w:r w:rsidR="00596E2C" w:rsidRPr="008D66F6">
        <w:t>esponsive</w:t>
      </w:r>
      <w:r w:rsidR="00D551B9" w:rsidRPr="008D66F6">
        <w:t xml:space="preserve"> </w:t>
      </w:r>
      <w:r w:rsidR="00636A53">
        <w:t>p</w:t>
      </w:r>
      <w:r w:rsidR="00D551B9" w:rsidRPr="008D66F6">
        <w:t>ractice</w:t>
      </w:r>
      <w:bookmarkEnd w:id="33"/>
    </w:p>
    <w:p w14:paraId="4AF7400A" w14:textId="2AFB0B56" w:rsidR="00F5237B" w:rsidRDefault="00BB39C3" w:rsidP="008D66F6">
      <w:pPr>
        <w:pStyle w:val="Heading3"/>
      </w:pPr>
      <w:r>
        <w:t>2</w:t>
      </w:r>
      <w:r w:rsidR="00030A2E">
        <w:t>.1</w:t>
      </w:r>
      <w:r>
        <w:t xml:space="preserve"> </w:t>
      </w:r>
      <w:bookmarkStart w:id="35" w:name="_Toc176177717"/>
      <w:bookmarkEnd w:id="34"/>
      <w:r w:rsidR="00945C45" w:rsidRPr="00B9072C">
        <w:t xml:space="preserve">Professional </w:t>
      </w:r>
      <w:r w:rsidR="00636A53">
        <w:t>c</w:t>
      </w:r>
      <w:r w:rsidR="00945C45" w:rsidRPr="00B9072C">
        <w:t xml:space="preserve">ommunication and </w:t>
      </w:r>
      <w:r w:rsidR="00636A53">
        <w:t>e</w:t>
      </w:r>
      <w:r w:rsidR="00945C45" w:rsidRPr="00B9072C">
        <w:t xml:space="preserve">ngagement </w:t>
      </w:r>
    </w:p>
    <w:p w14:paraId="62788A39" w14:textId="455B9DD9" w:rsidR="004A6A24" w:rsidRPr="004A6A24" w:rsidRDefault="004A6A24" w:rsidP="004A6A24">
      <w:pPr>
        <w:pStyle w:val="Body"/>
      </w:pPr>
      <w:r w:rsidRPr="00383FB6">
        <w:rPr>
          <w:rFonts w:cs="Arial"/>
          <w:b/>
          <w:szCs w:val="21"/>
        </w:rPr>
        <w:t xml:space="preserve">Foundational learning outcome: </w:t>
      </w:r>
      <w:r w:rsidRPr="00383FB6">
        <w:t>Graduates have a sound understanding of, and capacity to apply a range of interpersonal and communication skills with a diverse range of service users, community groups, colleagues, and work teams to enhance practice outcomes.</w:t>
      </w:r>
    </w:p>
    <w:tbl>
      <w:tblPr>
        <w:tblStyle w:val="CASSGP"/>
        <w:tblW w:w="0" w:type="auto"/>
        <w:tblLook w:val="04A0" w:firstRow="1" w:lastRow="0" w:firstColumn="1" w:lastColumn="0" w:noHBand="0" w:noVBand="1"/>
      </w:tblPr>
      <w:tblGrid>
        <w:gridCol w:w="3082"/>
        <w:gridCol w:w="3082"/>
        <w:gridCol w:w="3082"/>
        <w:gridCol w:w="3082"/>
        <w:gridCol w:w="3082"/>
      </w:tblGrid>
      <w:tr w:rsidR="008E1F9A" w14:paraId="795689A1" w14:textId="77777777" w:rsidTr="009462AB">
        <w:trPr>
          <w:cnfStyle w:val="100000000000" w:firstRow="1" w:lastRow="0" w:firstColumn="0" w:lastColumn="0" w:oddVBand="0" w:evenVBand="0" w:oddHBand="0" w:evenHBand="0" w:firstRowFirstColumn="0" w:firstRowLastColumn="0" w:lastRowFirstColumn="0" w:lastRowLastColumn="0"/>
          <w:tblHeader/>
        </w:trPr>
        <w:tc>
          <w:tcPr>
            <w:tcW w:w="3082" w:type="dxa"/>
          </w:tcPr>
          <w:p w14:paraId="6A7F4212" w14:textId="77777777" w:rsidR="008E1F9A" w:rsidRPr="00967D32" w:rsidRDefault="008E1F9A" w:rsidP="00BA4905">
            <w:pPr>
              <w:pStyle w:val="Tablecolheadwhite"/>
              <w:rPr>
                <w:b/>
                <w:bCs/>
              </w:rPr>
            </w:pPr>
            <w:r w:rsidRPr="00967D32">
              <w:rPr>
                <w:b/>
                <w:bCs/>
              </w:rPr>
              <w:t>Dimensions</w:t>
            </w:r>
          </w:p>
          <w:p w14:paraId="2F16924B" w14:textId="77777777" w:rsidR="008E1F9A" w:rsidRPr="00967D32" w:rsidRDefault="008E1F9A" w:rsidP="00BA4905">
            <w:pPr>
              <w:pStyle w:val="Tablecolheadwhite"/>
              <w:rPr>
                <w:sz w:val="24"/>
                <w:szCs w:val="24"/>
              </w:rPr>
            </w:pPr>
            <w:r w:rsidRPr="00967D32">
              <w:t>This is evident when graduates can understand the learning areas.</w:t>
            </w:r>
          </w:p>
        </w:tc>
        <w:tc>
          <w:tcPr>
            <w:tcW w:w="3082" w:type="dxa"/>
          </w:tcPr>
          <w:p w14:paraId="0FF7145A" w14:textId="77777777" w:rsidR="008E1F9A" w:rsidRPr="00967D32" w:rsidRDefault="008E1F9A" w:rsidP="00BA4905">
            <w:pPr>
              <w:pStyle w:val="Tablecolheadwhite"/>
              <w:rPr>
                <w:b/>
                <w:bCs/>
              </w:rPr>
            </w:pPr>
            <w:r w:rsidRPr="00967D32">
              <w:rPr>
                <w:b/>
                <w:bCs/>
              </w:rPr>
              <w:t>Learning area:</w:t>
            </w:r>
          </w:p>
          <w:p w14:paraId="14D470A7" w14:textId="77777777" w:rsidR="008E1F9A" w:rsidRPr="00967D32" w:rsidRDefault="008E1F9A" w:rsidP="00BA4905">
            <w:pPr>
              <w:pStyle w:val="Tablecolheadwhite"/>
              <w:rPr>
                <w:b/>
                <w:bCs/>
                <w:sz w:val="24"/>
                <w:szCs w:val="24"/>
              </w:rPr>
            </w:pPr>
            <w:r w:rsidRPr="00967D32">
              <w:rPr>
                <w:rFonts w:cs="Arial"/>
                <w:b/>
                <w:bCs/>
                <w:szCs w:val="21"/>
              </w:rPr>
              <w:t>Engaging effectively with individuals and groups</w:t>
            </w:r>
          </w:p>
        </w:tc>
        <w:tc>
          <w:tcPr>
            <w:tcW w:w="3082" w:type="dxa"/>
          </w:tcPr>
          <w:p w14:paraId="34F273BC" w14:textId="77777777" w:rsidR="008E1F9A" w:rsidRPr="00967D32" w:rsidRDefault="008E1F9A" w:rsidP="00BA4905">
            <w:pPr>
              <w:pStyle w:val="Tablecolheadwhite"/>
              <w:rPr>
                <w:b/>
                <w:bCs/>
              </w:rPr>
            </w:pPr>
            <w:r w:rsidRPr="00967D32">
              <w:rPr>
                <w:b/>
                <w:bCs/>
              </w:rPr>
              <w:t>Learning area:</w:t>
            </w:r>
          </w:p>
          <w:p w14:paraId="544ECE8F" w14:textId="77777777" w:rsidR="008E1F9A" w:rsidRPr="00967D32" w:rsidRDefault="008E1F9A" w:rsidP="00BA4905">
            <w:pPr>
              <w:pStyle w:val="Tablecolheadwhite"/>
              <w:rPr>
                <w:b/>
                <w:bCs/>
                <w:sz w:val="24"/>
                <w:szCs w:val="24"/>
              </w:rPr>
            </w:pPr>
            <w:r w:rsidRPr="00967D32">
              <w:rPr>
                <w:rFonts w:cs="Arial"/>
                <w:b/>
                <w:bCs/>
                <w:szCs w:val="21"/>
              </w:rPr>
              <w:t>Working towards change with service users</w:t>
            </w:r>
          </w:p>
        </w:tc>
        <w:tc>
          <w:tcPr>
            <w:tcW w:w="3082" w:type="dxa"/>
          </w:tcPr>
          <w:p w14:paraId="6E5726ED" w14:textId="77777777" w:rsidR="008E1F9A" w:rsidRPr="00967D32" w:rsidRDefault="008E1F9A" w:rsidP="00BA4905">
            <w:pPr>
              <w:pStyle w:val="Tablecolheadwhite"/>
              <w:rPr>
                <w:b/>
                <w:bCs/>
              </w:rPr>
            </w:pPr>
            <w:r w:rsidRPr="00967D32">
              <w:rPr>
                <w:b/>
                <w:bCs/>
              </w:rPr>
              <w:t>Learning area:</w:t>
            </w:r>
          </w:p>
          <w:p w14:paraId="207D5047" w14:textId="77777777" w:rsidR="008E1F9A" w:rsidRPr="00967D32" w:rsidRDefault="008E1F9A" w:rsidP="00BA4905">
            <w:pPr>
              <w:pStyle w:val="Tablecolheadwhite"/>
              <w:rPr>
                <w:b/>
                <w:bCs/>
                <w:sz w:val="24"/>
                <w:szCs w:val="24"/>
              </w:rPr>
            </w:pPr>
            <w:r w:rsidRPr="00967D32">
              <w:rPr>
                <w:rFonts w:cs="Arial"/>
                <w:b/>
                <w:bCs/>
                <w:szCs w:val="21"/>
              </w:rPr>
              <w:t>Working with involuntary or reluctant service users</w:t>
            </w:r>
          </w:p>
        </w:tc>
        <w:tc>
          <w:tcPr>
            <w:tcW w:w="3082" w:type="dxa"/>
          </w:tcPr>
          <w:p w14:paraId="027D8924" w14:textId="77777777" w:rsidR="008E1F9A" w:rsidRPr="00967D32" w:rsidRDefault="008E1F9A" w:rsidP="00BA4905">
            <w:pPr>
              <w:pStyle w:val="Tablecolheadwhite"/>
              <w:rPr>
                <w:b/>
                <w:bCs/>
              </w:rPr>
            </w:pPr>
            <w:r w:rsidRPr="00967D32">
              <w:rPr>
                <w:b/>
                <w:bCs/>
              </w:rPr>
              <w:t>Learning area:</w:t>
            </w:r>
          </w:p>
          <w:p w14:paraId="2502D949" w14:textId="77777777" w:rsidR="008E1F9A" w:rsidRPr="00967D32" w:rsidRDefault="008E1F9A" w:rsidP="00BA4905">
            <w:pPr>
              <w:pStyle w:val="Tablecolheadwhite"/>
              <w:rPr>
                <w:b/>
                <w:bCs/>
                <w:sz w:val="24"/>
                <w:szCs w:val="24"/>
              </w:rPr>
            </w:pPr>
            <w:r w:rsidRPr="00967D32">
              <w:rPr>
                <w:rFonts w:cs="Arial"/>
                <w:b/>
                <w:bCs/>
                <w:szCs w:val="21"/>
              </w:rPr>
              <w:t>Effective documentation</w:t>
            </w:r>
          </w:p>
        </w:tc>
      </w:tr>
      <w:tr w:rsidR="008E1F9A" w14:paraId="6D50BF15" w14:textId="77777777" w:rsidTr="00E929D4">
        <w:trPr>
          <w:cnfStyle w:val="000000100000" w:firstRow="0" w:lastRow="0" w:firstColumn="0" w:lastColumn="0" w:oddVBand="0" w:evenVBand="0" w:oddHBand="1" w:evenHBand="0" w:firstRowFirstColumn="0" w:firstRowLastColumn="0" w:lastRowFirstColumn="0" w:lastRowLastColumn="0"/>
        </w:trPr>
        <w:tc>
          <w:tcPr>
            <w:tcW w:w="3082" w:type="dxa"/>
          </w:tcPr>
          <w:p w14:paraId="07EADA9B" w14:textId="77777777" w:rsidR="008E1F9A" w:rsidRDefault="008E1F9A" w:rsidP="009462AB">
            <w:pPr>
              <w:pStyle w:val="Tablecolhead"/>
              <w:rPr>
                <w:sz w:val="24"/>
                <w:szCs w:val="24"/>
              </w:rPr>
            </w:pPr>
            <w:r w:rsidRPr="00EF7A28">
              <w:t>Knowledge</w:t>
            </w:r>
          </w:p>
        </w:tc>
        <w:tc>
          <w:tcPr>
            <w:tcW w:w="3082" w:type="dxa"/>
          </w:tcPr>
          <w:p w14:paraId="57D11C30" w14:textId="77777777" w:rsidR="008E1F9A" w:rsidRDefault="008E1F9A" w:rsidP="009462AB">
            <w:pPr>
              <w:pStyle w:val="Tabletext"/>
              <w:rPr>
                <w:sz w:val="24"/>
                <w:szCs w:val="24"/>
              </w:rPr>
            </w:pPr>
            <w:r w:rsidRPr="00EF7A28">
              <w:t>Understand principles and theories related to interpersonal and group dynamics.</w:t>
            </w:r>
          </w:p>
        </w:tc>
        <w:tc>
          <w:tcPr>
            <w:tcW w:w="3082" w:type="dxa"/>
          </w:tcPr>
          <w:p w14:paraId="0C3339E7" w14:textId="77777777" w:rsidR="008E1F9A" w:rsidRDefault="008E1F9A" w:rsidP="009462AB">
            <w:pPr>
              <w:pStyle w:val="Tabletext"/>
              <w:rPr>
                <w:sz w:val="24"/>
                <w:szCs w:val="24"/>
              </w:rPr>
            </w:pPr>
            <w:r w:rsidRPr="00EF7A28">
              <w:t>Understand practice approaches and methods for empowering service users to engage in the change process. E.g. motivational interviewing, assertive engagement and assertive outreach.</w:t>
            </w:r>
          </w:p>
        </w:tc>
        <w:tc>
          <w:tcPr>
            <w:tcW w:w="3082" w:type="dxa"/>
          </w:tcPr>
          <w:p w14:paraId="24410BF1" w14:textId="77777777" w:rsidR="008E1F9A" w:rsidRDefault="008E1F9A" w:rsidP="009462AB">
            <w:pPr>
              <w:pStyle w:val="Tabletext"/>
              <w:rPr>
                <w:sz w:val="24"/>
                <w:szCs w:val="24"/>
              </w:rPr>
            </w:pPr>
            <w:r w:rsidRPr="00EF7A28">
              <w:t>Articulate the principles and strategies for working with involuntary and/or reluctant service users.</w:t>
            </w:r>
          </w:p>
        </w:tc>
        <w:tc>
          <w:tcPr>
            <w:tcW w:w="3082" w:type="dxa"/>
          </w:tcPr>
          <w:p w14:paraId="6E73D8CA" w14:textId="77777777" w:rsidR="008E1F9A" w:rsidRDefault="008E1F9A" w:rsidP="009462AB">
            <w:pPr>
              <w:pStyle w:val="Tabletext"/>
              <w:rPr>
                <w:sz w:val="24"/>
                <w:szCs w:val="24"/>
              </w:rPr>
            </w:pPr>
            <w:r w:rsidRPr="00EF7A28">
              <w:t>Articulate the principles and standards of effective documentation in community and social services and understand requirements specific to role and practice.</w:t>
            </w:r>
          </w:p>
        </w:tc>
      </w:tr>
      <w:tr w:rsidR="008E1F9A" w14:paraId="66538942" w14:textId="77777777" w:rsidTr="00E929D4">
        <w:tc>
          <w:tcPr>
            <w:tcW w:w="3082" w:type="dxa"/>
          </w:tcPr>
          <w:p w14:paraId="4DBF72A7" w14:textId="77777777" w:rsidR="008E1F9A" w:rsidRDefault="008E1F9A" w:rsidP="009462AB">
            <w:pPr>
              <w:pStyle w:val="Tablecolhead"/>
              <w:rPr>
                <w:sz w:val="24"/>
                <w:szCs w:val="24"/>
              </w:rPr>
            </w:pPr>
            <w:r w:rsidRPr="00EF7A28">
              <w:t>Skills</w:t>
            </w:r>
          </w:p>
        </w:tc>
        <w:tc>
          <w:tcPr>
            <w:tcW w:w="3082" w:type="dxa"/>
          </w:tcPr>
          <w:p w14:paraId="449E4B68" w14:textId="77777777" w:rsidR="008E1F9A" w:rsidRDefault="008E1F9A" w:rsidP="009462AB">
            <w:pPr>
              <w:pStyle w:val="Tabletext"/>
              <w:rPr>
                <w:sz w:val="24"/>
                <w:szCs w:val="24"/>
              </w:rPr>
            </w:pPr>
            <w:r w:rsidRPr="00EF7A28">
              <w:t>Apply communication and interpersonal skills differentially to effectively engage service users, including individual/ family interviewing, case conferencing, team meetings.</w:t>
            </w:r>
          </w:p>
        </w:tc>
        <w:tc>
          <w:tcPr>
            <w:tcW w:w="3082" w:type="dxa"/>
          </w:tcPr>
          <w:p w14:paraId="07BFAD5A" w14:textId="77777777" w:rsidR="008E1F9A" w:rsidRDefault="008E1F9A" w:rsidP="009462AB">
            <w:pPr>
              <w:pStyle w:val="Tabletext"/>
              <w:rPr>
                <w:sz w:val="24"/>
                <w:szCs w:val="24"/>
              </w:rPr>
            </w:pPr>
            <w:r w:rsidRPr="00EF7A28">
              <w:t>Apply relevant communication and practice, interpersonal skills and cultural awareness to effectively engage service users in the change process.</w:t>
            </w:r>
          </w:p>
        </w:tc>
        <w:tc>
          <w:tcPr>
            <w:tcW w:w="3082" w:type="dxa"/>
          </w:tcPr>
          <w:p w14:paraId="5F69FDA1" w14:textId="77777777" w:rsidR="008E1F9A" w:rsidRDefault="008E1F9A" w:rsidP="009462AB">
            <w:pPr>
              <w:pStyle w:val="Tabletext"/>
              <w:rPr>
                <w:sz w:val="24"/>
                <w:szCs w:val="24"/>
              </w:rPr>
            </w:pPr>
            <w:r w:rsidRPr="00EF7A28">
              <w:t>Apply strategies to engage and work with involuntary and/or reluctant service users in their practice.</w:t>
            </w:r>
          </w:p>
        </w:tc>
        <w:tc>
          <w:tcPr>
            <w:tcW w:w="3082" w:type="dxa"/>
          </w:tcPr>
          <w:p w14:paraId="00340294" w14:textId="77777777" w:rsidR="008E1F9A" w:rsidRDefault="008E1F9A" w:rsidP="009462AB">
            <w:pPr>
              <w:pStyle w:val="Tabletext"/>
              <w:rPr>
                <w:sz w:val="24"/>
                <w:szCs w:val="24"/>
              </w:rPr>
            </w:pPr>
            <w:r w:rsidRPr="00EF7A28">
              <w:t>Produce clear and concise case notes and reports relevant to role and practice. </w:t>
            </w:r>
          </w:p>
        </w:tc>
      </w:tr>
      <w:tr w:rsidR="008E1F9A" w14:paraId="3C85D2F3" w14:textId="77777777" w:rsidTr="00E929D4">
        <w:trPr>
          <w:cnfStyle w:val="000000100000" w:firstRow="0" w:lastRow="0" w:firstColumn="0" w:lastColumn="0" w:oddVBand="0" w:evenVBand="0" w:oddHBand="1" w:evenHBand="0" w:firstRowFirstColumn="0" w:firstRowLastColumn="0" w:lastRowFirstColumn="0" w:lastRowLastColumn="0"/>
        </w:trPr>
        <w:tc>
          <w:tcPr>
            <w:tcW w:w="3082" w:type="dxa"/>
          </w:tcPr>
          <w:p w14:paraId="2DC58A3D" w14:textId="77777777" w:rsidR="008E1F9A" w:rsidRDefault="008E1F9A" w:rsidP="009462AB">
            <w:pPr>
              <w:pStyle w:val="Tablecolhead"/>
              <w:rPr>
                <w:sz w:val="24"/>
                <w:szCs w:val="24"/>
              </w:rPr>
            </w:pPr>
            <w:r w:rsidRPr="00EF7A28">
              <w:t>Professional judgement</w:t>
            </w:r>
          </w:p>
        </w:tc>
        <w:tc>
          <w:tcPr>
            <w:tcW w:w="3082" w:type="dxa"/>
          </w:tcPr>
          <w:p w14:paraId="0E54FF2F" w14:textId="77777777" w:rsidR="008E1F9A" w:rsidRDefault="008E1F9A" w:rsidP="009462AB">
            <w:pPr>
              <w:pStyle w:val="Tabletext"/>
              <w:rPr>
                <w:sz w:val="24"/>
                <w:szCs w:val="24"/>
              </w:rPr>
            </w:pPr>
            <w:r w:rsidRPr="00EF7A28">
              <w:t>Make informed decisions that consider the context, their positionality, the individuals involved, and potential impacts of their communication approach and actions.</w:t>
            </w:r>
          </w:p>
        </w:tc>
        <w:tc>
          <w:tcPr>
            <w:tcW w:w="3082" w:type="dxa"/>
          </w:tcPr>
          <w:p w14:paraId="6DCE6A50" w14:textId="77777777" w:rsidR="008E1F9A" w:rsidRDefault="008E1F9A" w:rsidP="009462AB">
            <w:pPr>
              <w:pStyle w:val="Tabletext"/>
              <w:rPr>
                <w:sz w:val="24"/>
                <w:szCs w:val="24"/>
              </w:rPr>
            </w:pPr>
            <w:r w:rsidRPr="00EF7A28">
              <w:t>Make informed decisions that consider the structural barriers to change, individual service user lived experiences, cultures and communities, and potential outcomes.</w:t>
            </w:r>
          </w:p>
        </w:tc>
        <w:tc>
          <w:tcPr>
            <w:tcW w:w="3082" w:type="dxa"/>
          </w:tcPr>
          <w:p w14:paraId="22D180C4" w14:textId="77777777" w:rsidR="008E1F9A" w:rsidRDefault="008E1F9A" w:rsidP="009462AB">
            <w:pPr>
              <w:pStyle w:val="Tabletext"/>
              <w:rPr>
                <w:sz w:val="24"/>
                <w:szCs w:val="24"/>
              </w:rPr>
            </w:pPr>
            <w:r w:rsidRPr="00EF7A28">
              <w:t>Make informed decisions that consider the unique challenges of working with involuntary and/or reluctant service users.</w:t>
            </w:r>
          </w:p>
        </w:tc>
        <w:tc>
          <w:tcPr>
            <w:tcW w:w="3082" w:type="dxa"/>
          </w:tcPr>
          <w:p w14:paraId="5A45A2DD" w14:textId="77777777" w:rsidR="008E1F9A" w:rsidRDefault="008E1F9A" w:rsidP="009462AB">
            <w:pPr>
              <w:pStyle w:val="Tabletext"/>
              <w:rPr>
                <w:sz w:val="24"/>
                <w:szCs w:val="24"/>
              </w:rPr>
            </w:pPr>
            <w:r w:rsidRPr="00EF7A28">
              <w:t>Recognise the importance and value of effective documentation in practice.</w:t>
            </w:r>
          </w:p>
        </w:tc>
      </w:tr>
      <w:tr w:rsidR="008E1F9A" w14:paraId="4422CF25" w14:textId="77777777" w:rsidTr="00E929D4">
        <w:tc>
          <w:tcPr>
            <w:tcW w:w="3082" w:type="dxa"/>
          </w:tcPr>
          <w:p w14:paraId="74FA85DF" w14:textId="77777777" w:rsidR="008E1F9A" w:rsidRDefault="008E1F9A" w:rsidP="009462AB">
            <w:pPr>
              <w:pStyle w:val="Tablecolhead"/>
              <w:rPr>
                <w:sz w:val="24"/>
                <w:szCs w:val="24"/>
              </w:rPr>
            </w:pPr>
            <w:r w:rsidRPr="00EF7A28">
              <w:t>Self-management</w:t>
            </w:r>
          </w:p>
        </w:tc>
        <w:tc>
          <w:tcPr>
            <w:tcW w:w="3082" w:type="dxa"/>
          </w:tcPr>
          <w:p w14:paraId="49EEB4CC" w14:textId="77777777" w:rsidR="008E1F9A" w:rsidRDefault="008E1F9A" w:rsidP="009462AB">
            <w:pPr>
              <w:pStyle w:val="Tabletext"/>
              <w:rPr>
                <w:sz w:val="24"/>
                <w:szCs w:val="24"/>
              </w:rPr>
            </w:pPr>
            <w:r w:rsidRPr="00EF7A28">
              <w:t xml:space="preserve">Reflect on their personal biases and emotions in working with people to facilitate positive engagement in a range of interpersonal and group situations. </w:t>
            </w:r>
          </w:p>
        </w:tc>
        <w:tc>
          <w:tcPr>
            <w:tcW w:w="3082" w:type="dxa"/>
          </w:tcPr>
          <w:p w14:paraId="659AC874" w14:textId="77777777" w:rsidR="008E1F9A" w:rsidRDefault="008E1F9A" w:rsidP="009462AB">
            <w:pPr>
              <w:pStyle w:val="Tabletext"/>
              <w:rPr>
                <w:sz w:val="24"/>
                <w:szCs w:val="24"/>
              </w:rPr>
            </w:pPr>
            <w:r w:rsidRPr="00EF7A28">
              <w:t xml:space="preserve">Reflect and continually improve their practice approaches in the change process with service users. </w:t>
            </w:r>
          </w:p>
        </w:tc>
        <w:tc>
          <w:tcPr>
            <w:tcW w:w="3082" w:type="dxa"/>
          </w:tcPr>
          <w:p w14:paraId="7E08FBE1" w14:textId="77777777" w:rsidR="008E1F9A" w:rsidRDefault="008E1F9A" w:rsidP="009462AB">
            <w:pPr>
              <w:pStyle w:val="Tabletext"/>
              <w:rPr>
                <w:sz w:val="24"/>
                <w:szCs w:val="24"/>
              </w:rPr>
            </w:pPr>
            <w:r w:rsidRPr="00EF7A28">
              <w:t>Reflect on their approaches to working with involuntary and/or reluctant service users and continually improve their practice.</w:t>
            </w:r>
          </w:p>
        </w:tc>
        <w:tc>
          <w:tcPr>
            <w:tcW w:w="3082" w:type="dxa"/>
          </w:tcPr>
          <w:p w14:paraId="39B3DC9A" w14:textId="77777777" w:rsidR="008E1F9A" w:rsidRDefault="008E1F9A" w:rsidP="009462AB">
            <w:pPr>
              <w:pStyle w:val="Tabletext"/>
              <w:rPr>
                <w:sz w:val="24"/>
                <w:szCs w:val="24"/>
              </w:rPr>
            </w:pPr>
            <w:r w:rsidRPr="00EF7A28">
              <w:t>Critically reflect on their documentation and continually improve documentation practices.</w:t>
            </w:r>
          </w:p>
        </w:tc>
      </w:tr>
      <w:bookmarkEnd w:id="35"/>
    </w:tbl>
    <w:p w14:paraId="2F6AC371" w14:textId="76524C4A" w:rsidR="002272CB" w:rsidRPr="008E1F9A" w:rsidRDefault="002272CB" w:rsidP="008E1F9A">
      <w:pPr>
        <w:spacing w:line="240" w:lineRule="auto"/>
        <w:textAlignment w:val="baseline"/>
        <w:rPr>
          <w:rFonts w:cs="Arial"/>
          <w:szCs w:val="21"/>
        </w:rPr>
      </w:pPr>
      <w:r>
        <w:rPr>
          <w:sz w:val="24"/>
          <w:szCs w:val="24"/>
        </w:rPr>
        <w:br w:type="page"/>
      </w:r>
    </w:p>
    <w:p w14:paraId="51622B13" w14:textId="78265C01" w:rsidR="00945C45" w:rsidRPr="008D66F6" w:rsidRDefault="00BB39C3" w:rsidP="008D66F6">
      <w:pPr>
        <w:pStyle w:val="Heading3"/>
        <w:spacing w:before="0"/>
      </w:pPr>
      <w:bookmarkStart w:id="36" w:name="_Toc176177718"/>
      <w:r w:rsidRPr="008D66F6">
        <w:lastRenderedPageBreak/>
        <w:t>2</w:t>
      </w:r>
      <w:r w:rsidR="00945C45" w:rsidRPr="008D66F6">
        <w:t>.2 Evidence</w:t>
      </w:r>
      <w:r w:rsidR="00861314" w:rsidRPr="008D66F6">
        <w:t xml:space="preserve"> and </w:t>
      </w:r>
      <w:bookmarkEnd w:id="36"/>
      <w:r w:rsidR="00636A53">
        <w:t>e</w:t>
      </w:r>
      <w:r w:rsidR="00861314" w:rsidRPr="008D66F6">
        <w:t xml:space="preserve">xpertise </w:t>
      </w:r>
      <w:r w:rsidR="00636A53">
        <w:t>i</w:t>
      </w:r>
      <w:r w:rsidR="00945C45" w:rsidRPr="008D66F6">
        <w:t xml:space="preserve">nformed </w:t>
      </w:r>
      <w:r w:rsidR="00636A53">
        <w:t>p</w:t>
      </w:r>
      <w:r w:rsidR="00945C45" w:rsidRPr="008D66F6">
        <w:t>ractice</w:t>
      </w:r>
    </w:p>
    <w:p w14:paraId="21DD66E9" w14:textId="28828DB5" w:rsidR="007351E7" w:rsidRPr="00C630F1" w:rsidRDefault="007631C7" w:rsidP="00E929D4">
      <w:pPr>
        <w:pStyle w:val="Body"/>
      </w:pPr>
      <w:r w:rsidRPr="002272CB">
        <w:rPr>
          <w:b/>
          <w:bCs/>
        </w:rPr>
        <w:t>Foundational learning outcome:</w:t>
      </w:r>
      <w:r w:rsidRPr="002272CB">
        <w:t xml:space="preserve"> </w:t>
      </w:r>
      <w:r w:rsidR="004B0166" w:rsidRPr="00383FB6">
        <w:t>Graduates have a broad understanding of diverse systems and psychosocial issues impacting service user</w:t>
      </w:r>
      <w:r w:rsidR="00506BEF" w:rsidRPr="00383FB6">
        <w:t>s</w:t>
      </w:r>
      <w:r w:rsidR="005A1F6B" w:rsidRPr="00383FB6">
        <w:t>.</w:t>
      </w:r>
      <w:r w:rsidR="004B0166" w:rsidRPr="00383FB6">
        <w:t xml:space="preserve"> </w:t>
      </w:r>
      <w:r w:rsidR="005A1F6B" w:rsidRPr="00383FB6">
        <w:t xml:space="preserve">They </w:t>
      </w:r>
      <w:r w:rsidR="004B0166" w:rsidRPr="00383FB6">
        <w:t xml:space="preserve">can source, appraise, and apply professional knowledge </w:t>
      </w:r>
      <w:r w:rsidR="007A69F4" w:rsidRPr="00383FB6">
        <w:t xml:space="preserve">and cultural awareness </w:t>
      </w:r>
      <w:r w:rsidR="004B0166" w:rsidRPr="00383FB6">
        <w:t>to inform their practice in identifying and responding to these issues.</w:t>
      </w:r>
    </w:p>
    <w:tbl>
      <w:tblPr>
        <w:tblStyle w:val="CASSGP"/>
        <w:tblW w:w="0" w:type="auto"/>
        <w:tblLook w:val="04A0" w:firstRow="1" w:lastRow="0" w:firstColumn="1" w:lastColumn="0" w:noHBand="0" w:noVBand="1"/>
      </w:tblPr>
      <w:tblGrid>
        <w:gridCol w:w="2972"/>
        <w:gridCol w:w="12438"/>
      </w:tblGrid>
      <w:tr w:rsidR="00963C11" w14:paraId="5D1D4F19" w14:textId="77777777" w:rsidTr="009462AB">
        <w:trPr>
          <w:cnfStyle w:val="100000000000" w:firstRow="1" w:lastRow="0" w:firstColumn="0" w:lastColumn="0" w:oddVBand="0" w:evenVBand="0" w:oddHBand="0" w:evenHBand="0" w:firstRowFirstColumn="0" w:firstRowLastColumn="0" w:lastRowFirstColumn="0" w:lastRowLastColumn="0"/>
          <w:tblHeader/>
        </w:trPr>
        <w:tc>
          <w:tcPr>
            <w:tcW w:w="2972" w:type="dxa"/>
          </w:tcPr>
          <w:p w14:paraId="4E908D79" w14:textId="77777777" w:rsidR="00963C11" w:rsidRPr="00967D32" w:rsidRDefault="00963C11" w:rsidP="009462AB">
            <w:pPr>
              <w:pStyle w:val="Tablecolheadwhite"/>
              <w:rPr>
                <w:b/>
                <w:bCs/>
              </w:rPr>
            </w:pPr>
            <w:r w:rsidRPr="00967D32">
              <w:rPr>
                <w:b/>
                <w:bCs/>
              </w:rPr>
              <w:t>Dimensions</w:t>
            </w:r>
          </w:p>
          <w:p w14:paraId="73F28AC6" w14:textId="1A903C4B" w:rsidR="00963C11" w:rsidRPr="00967D32" w:rsidRDefault="00963C11" w:rsidP="009462AB">
            <w:pPr>
              <w:pStyle w:val="Tabletext"/>
              <w:rPr>
                <w:rFonts w:cs="Arial"/>
                <w:b w:val="0"/>
                <w:i/>
                <w:iCs/>
                <w:szCs w:val="21"/>
              </w:rPr>
            </w:pPr>
            <w:r w:rsidRPr="00967D32">
              <w:rPr>
                <w:b w:val="0"/>
              </w:rPr>
              <w:t>This is evident when graduates can understand the learning areas.</w:t>
            </w:r>
          </w:p>
        </w:tc>
        <w:tc>
          <w:tcPr>
            <w:tcW w:w="12438" w:type="dxa"/>
          </w:tcPr>
          <w:p w14:paraId="2940AC0E" w14:textId="3B822B06" w:rsidR="00172160" w:rsidRPr="00967D32" w:rsidRDefault="00691B28" w:rsidP="009462AB">
            <w:pPr>
              <w:pStyle w:val="Tablecolheadwhite"/>
              <w:rPr>
                <w:b/>
                <w:bCs/>
              </w:rPr>
            </w:pPr>
            <w:r w:rsidRPr="00967D32">
              <w:rPr>
                <w:b/>
                <w:bCs/>
              </w:rPr>
              <w:t xml:space="preserve">Learning </w:t>
            </w:r>
            <w:r w:rsidR="000461C4" w:rsidRPr="00967D32">
              <w:rPr>
                <w:b/>
                <w:bCs/>
              </w:rPr>
              <w:t>a</w:t>
            </w:r>
            <w:r w:rsidRPr="00967D32">
              <w:rPr>
                <w:b/>
                <w:bCs/>
              </w:rPr>
              <w:t xml:space="preserve">rea: </w:t>
            </w:r>
          </w:p>
          <w:p w14:paraId="3AC2C571" w14:textId="08FD93F4" w:rsidR="00963C11" w:rsidRPr="00967D32" w:rsidRDefault="00963C11" w:rsidP="009462AB">
            <w:pPr>
              <w:pStyle w:val="Tablecolheadwhite"/>
              <w:rPr>
                <w:rFonts w:cs="Arial"/>
                <w:b/>
                <w:bCs/>
                <w:i/>
                <w:iCs/>
                <w:szCs w:val="21"/>
              </w:rPr>
            </w:pPr>
            <w:r w:rsidRPr="00967D32">
              <w:rPr>
                <w:b/>
                <w:bCs/>
              </w:rPr>
              <w:t xml:space="preserve">Sourcing and </w:t>
            </w:r>
            <w:r w:rsidR="00E419AB" w:rsidRPr="00967D32">
              <w:rPr>
                <w:b/>
                <w:bCs/>
              </w:rPr>
              <w:t>a</w:t>
            </w:r>
            <w:r w:rsidRPr="00967D32">
              <w:rPr>
                <w:b/>
                <w:bCs/>
              </w:rPr>
              <w:t xml:space="preserve">ppraising </w:t>
            </w:r>
            <w:r w:rsidR="00E419AB" w:rsidRPr="00967D32">
              <w:rPr>
                <w:b/>
                <w:bCs/>
              </w:rPr>
              <w:t>e</w:t>
            </w:r>
            <w:r w:rsidRPr="00967D32">
              <w:rPr>
                <w:b/>
                <w:bCs/>
              </w:rPr>
              <w:t xml:space="preserve">vidence and </w:t>
            </w:r>
            <w:r w:rsidR="00E419AB" w:rsidRPr="00967D32">
              <w:rPr>
                <w:b/>
                <w:bCs/>
              </w:rPr>
              <w:t>e</w:t>
            </w:r>
            <w:r w:rsidRPr="00967D32">
              <w:rPr>
                <w:b/>
                <w:bCs/>
              </w:rPr>
              <w:t xml:space="preserve">xpertise for </w:t>
            </w:r>
            <w:r w:rsidR="00E419AB" w:rsidRPr="00967D32">
              <w:rPr>
                <w:b/>
                <w:bCs/>
              </w:rPr>
              <w:t>p</w:t>
            </w:r>
            <w:r w:rsidRPr="00967D32">
              <w:rPr>
                <w:b/>
                <w:bCs/>
              </w:rPr>
              <w:t>ractice</w:t>
            </w:r>
          </w:p>
        </w:tc>
      </w:tr>
      <w:tr w:rsidR="00691B28" w14:paraId="01F8FFDC" w14:textId="77777777" w:rsidTr="00172160">
        <w:trPr>
          <w:cnfStyle w:val="000000100000" w:firstRow="0" w:lastRow="0" w:firstColumn="0" w:lastColumn="0" w:oddVBand="0" w:evenVBand="0" w:oddHBand="1" w:evenHBand="0" w:firstRowFirstColumn="0" w:firstRowLastColumn="0" w:lastRowFirstColumn="0" w:lastRowLastColumn="0"/>
        </w:trPr>
        <w:tc>
          <w:tcPr>
            <w:tcW w:w="2972" w:type="dxa"/>
          </w:tcPr>
          <w:p w14:paraId="4870641F" w14:textId="3EC70D93" w:rsidR="00691B28" w:rsidRDefault="00691B28" w:rsidP="009462AB">
            <w:pPr>
              <w:pStyle w:val="Tablecolhead"/>
              <w:rPr>
                <w:i/>
                <w:iCs/>
              </w:rPr>
            </w:pPr>
            <w:r w:rsidRPr="0017112E">
              <w:t>Knowledge</w:t>
            </w:r>
          </w:p>
        </w:tc>
        <w:tc>
          <w:tcPr>
            <w:tcW w:w="12438" w:type="dxa"/>
          </w:tcPr>
          <w:p w14:paraId="1ABDE4A3" w14:textId="59E3578E" w:rsidR="00691B28" w:rsidRDefault="00691B28" w:rsidP="009462AB">
            <w:pPr>
              <w:pStyle w:val="Tabletext"/>
              <w:rPr>
                <w:rFonts w:cs="Arial"/>
                <w:i/>
                <w:iCs/>
                <w:szCs w:val="21"/>
              </w:rPr>
            </w:pPr>
            <w:r w:rsidRPr="0017112E">
              <w:t>Identify professional knowledge and evidence of effective practices from diverse sources, including Aboriginal perspectives and knowledges.</w:t>
            </w:r>
          </w:p>
        </w:tc>
      </w:tr>
      <w:tr w:rsidR="00691B28" w14:paraId="44821046" w14:textId="77777777" w:rsidTr="00172160">
        <w:tc>
          <w:tcPr>
            <w:tcW w:w="2972" w:type="dxa"/>
          </w:tcPr>
          <w:p w14:paraId="487C48B4" w14:textId="75609658" w:rsidR="00691B28" w:rsidRDefault="00691B28" w:rsidP="009462AB">
            <w:pPr>
              <w:pStyle w:val="Tablecolhead"/>
              <w:rPr>
                <w:i/>
                <w:iCs/>
              </w:rPr>
            </w:pPr>
            <w:r w:rsidRPr="0017112E">
              <w:t>Skills</w:t>
            </w:r>
          </w:p>
        </w:tc>
        <w:tc>
          <w:tcPr>
            <w:tcW w:w="12438" w:type="dxa"/>
          </w:tcPr>
          <w:p w14:paraId="62FDFA8E" w14:textId="01A2C220" w:rsidR="00691B28" w:rsidRDefault="00691B28" w:rsidP="009462AB">
            <w:pPr>
              <w:pStyle w:val="Tabletext"/>
              <w:rPr>
                <w:rFonts w:cs="Arial"/>
                <w:i/>
                <w:iCs/>
                <w:szCs w:val="21"/>
              </w:rPr>
            </w:pPr>
            <w:r w:rsidRPr="0017112E">
              <w:t>Develop and implement strategies for sourcing and applying up-to-date evidence and culturally relevant expertise to improve practice.</w:t>
            </w:r>
          </w:p>
        </w:tc>
      </w:tr>
      <w:tr w:rsidR="00691B28" w14:paraId="677FC2CB" w14:textId="77777777" w:rsidTr="00172160">
        <w:trPr>
          <w:cnfStyle w:val="000000100000" w:firstRow="0" w:lastRow="0" w:firstColumn="0" w:lastColumn="0" w:oddVBand="0" w:evenVBand="0" w:oddHBand="1" w:evenHBand="0" w:firstRowFirstColumn="0" w:firstRowLastColumn="0" w:lastRowFirstColumn="0" w:lastRowLastColumn="0"/>
        </w:trPr>
        <w:tc>
          <w:tcPr>
            <w:tcW w:w="2972" w:type="dxa"/>
          </w:tcPr>
          <w:p w14:paraId="4CB71C7B" w14:textId="157494EC" w:rsidR="00691B28" w:rsidRDefault="00691B28" w:rsidP="009462AB">
            <w:pPr>
              <w:pStyle w:val="Tablecolhead"/>
              <w:rPr>
                <w:i/>
                <w:iCs/>
              </w:rPr>
            </w:pPr>
            <w:r w:rsidRPr="0017112E">
              <w:t>Professional judgement</w:t>
            </w:r>
          </w:p>
        </w:tc>
        <w:tc>
          <w:tcPr>
            <w:tcW w:w="12438" w:type="dxa"/>
          </w:tcPr>
          <w:p w14:paraId="27CC665D" w14:textId="5BFDE970" w:rsidR="00691B28" w:rsidRDefault="00691B28" w:rsidP="009462AB">
            <w:pPr>
              <w:pStyle w:val="Tabletext"/>
              <w:rPr>
                <w:rFonts w:cs="Arial"/>
                <w:i/>
                <w:iCs/>
                <w:szCs w:val="21"/>
              </w:rPr>
            </w:pPr>
            <w:r w:rsidRPr="0017112E">
              <w:t>Use evidence and expertise to inform decisions, with awareness of the social location of the source. Integrate knowledge appraisal from various sources, including Aboriginal expertise.</w:t>
            </w:r>
          </w:p>
        </w:tc>
      </w:tr>
      <w:tr w:rsidR="00691B28" w14:paraId="6022595B" w14:textId="77777777" w:rsidTr="00172160">
        <w:tc>
          <w:tcPr>
            <w:tcW w:w="2972" w:type="dxa"/>
          </w:tcPr>
          <w:p w14:paraId="2B60CAC0" w14:textId="3481EB64" w:rsidR="00691B28" w:rsidRDefault="00691B28" w:rsidP="009462AB">
            <w:pPr>
              <w:pStyle w:val="Tablecolhead"/>
              <w:rPr>
                <w:i/>
                <w:iCs/>
              </w:rPr>
            </w:pPr>
            <w:r w:rsidRPr="0017112E">
              <w:t>Self-management</w:t>
            </w:r>
          </w:p>
        </w:tc>
        <w:tc>
          <w:tcPr>
            <w:tcW w:w="12438" w:type="dxa"/>
          </w:tcPr>
          <w:p w14:paraId="3B4EFBE5" w14:textId="36F16726" w:rsidR="00691B28" w:rsidRDefault="00691B28" w:rsidP="009462AB">
            <w:pPr>
              <w:pStyle w:val="Tabletext"/>
              <w:rPr>
                <w:rFonts w:cs="Arial"/>
                <w:i/>
                <w:iCs/>
                <w:szCs w:val="21"/>
              </w:rPr>
            </w:pPr>
            <w:r w:rsidRPr="0017112E">
              <w:t>Continuously refine knowledge and practice guided by evidence, expertise, cultural awareness and feedback.</w:t>
            </w:r>
          </w:p>
        </w:tc>
      </w:tr>
    </w:tbl>
    <w:p w14:paraId="591444AF" w14:textId="77777777" w:rsidR="00F23049" w:rsidRPr="00F074FB" w:rsidRDefault="00F23049" w:rsidP="007631C7">
      <w:pPr>
        <w:spacing w:line="240" w:lineRule="auto"/>
        <w:textAlignment w:val="baseline"/>
        <w:rPr>
          <w:rFonts w:cs="Arial"/>
          <w:b/>
          <w:bCs/>
          <w:szCs w:val="21"/>
        </w:rPr>
      </w:pPr>
    </w:p>
    <w:p w14:paraId="135A9AB5" w14:textId="77777777" w:rsidR="00970AB0" w:rsidRDefault="00970AB0">
      <w:pPr>
        <w:spacing w:after="0" w:line="240" w:lineRule="auto"/>
        <w:rPr>
          <w:rFonts w:cs="Arial"/>
          <w:b/>
          <w:bCs/>
          <w:szCs w:val="21"/>
          <w:highlight w:val="yellow"/>
        </w:rPr>
      </w:pPr>
      <w:r>
        <w:rPr>
          <w:rFonts w:cs="Arial"/>
          <w:b/>
          <w:bCs/>
          <w:szCs w:val="21"/>
          <w:highlight w:val="yellow"/>
        </w:rPr>
        <w:br w:type="page"/>
      </w:r>
    </w:p>
    <w:p w14:paraId="0542F01D" w14:textId="0F28F3E0" w:rsidR="00656EAA" w:rsidRPr="00F074FB" w:rsidRDefault="00656EAA" w:rsidP="00967D32">
      <w:pPr>
        <w:pStyle w:val="Heading5"/>
      </w:pPr>
      <w:r w:rsidRPr="00967D32">
        <w:lastRenderedPageBreak/>
        <w:t xml:space="preserve">Integration of </w:t>
      </w:r>
      <w:r w:rsidR="00636A53" w:rsidRPr="00967D32">
        <w:t>p</w:t>
      </w:r>
      <w:r w:rsidRPr="00967D32">
        <w:t xml:space="preserve">rofessional </w:t>
      </w:r>
      <w:r w:rsidR="00636A53" w:rsidRPr="00967D32">
        <w:t>k</w:t>
      </w:r>
      <w:r w:rsidRPr="00967D32">
        <w:t xml:space="preserve">nowledge for </w:t>
      </w:r>
      <w:r w:rsidR="00636A53" w:rsidRPr="00967D32">
        <w:t>c</w:t>
      </w:r>
      <w:r w:rsidRPr="00967D32">
        <w:t xml:space="preserve">ommunity </w:t>
      </w:r>
      <w:r w:rsidR="00636A53" w:rsidRPr="00967D32">
        <w:t>s</w:t>
      </w:r>
      <w:r w:rsidRPr="00967D32">
        <w:t xml:space="preserve">ervice </w:t>
      </w:r>
      <w:r w:rsidR="00636A53" w:rsidRPr="00967D32">
        <w:t>p</w:t>
      </w:r>
      <w:r w:rsidRPr="00967D32">
        <w:t>ractice</w:t>
      </w:r>
      <w:r w:rsidR="00D51787" w:rsidRPr="00967D32">
        <w:t>:</w:t>
      </w:r>
    </w:p>
    <w:tbl>
      <w:tblPr>
        <w:tblStyle w:val="CASSGP"/>
        <w:tblW w:w="15446" w:type="dxa"/>
        <w:tblLook w:val="04A0" w:firstRow="1" w:lastRow="0" w:firstColumn="1" w:lastColumn="0" w:noHBand="0" w:noVBand="1"/>
      </w:tblPr>
      <w:tblGrid>
        <w:gridCol w:w="1919"/>
        <w:gridCol w:w="2705"/>
        <w:gridCol w:w="2705"/>
        <w:gridCol w:w="2706"/>
        <w:gridCol w:w="2705"/>
        <w:gridCol w:w="2706"/>
      </w:tblGrid>
      <w:tr w:rsidR="00A83731" w14:paraId="21F65048" w14:textId="46C944B1" w:rsidTr="009462AB">
        <w:trPr>
          <w:cnfStyle w:val="100000000000" w:firstRow="1" w:lastRow="0" w:firstColumn="0" w:lastColumn="0" w:oddVBand="0" w:evenVBand="0" w:oddHBand="0" w:evenHBand="0" w:firstRowFirstColumn="0" w:firstRowLastColumn="0" w:lastRowFirstColumn="0" w:lastRowLastColumn="0"/>
          <w:tblHeader/>
        </w:trPr>
        <w:tc>
          <w:tcPr>
            <w:tcW w:w="1919" w:type="dxa"/>
          </w:tcPr>
          <w:p w14:paraId="14693E06" w14:textId="77777777" w:rsidR="00A83731" w:rsidRPr="00967D32" w:rsidRDefault="00A83731" w:rsidP="009462AB">
            <w:pPr>
              <w:pStyle w:val="Tablecolheadwhite"/>
              <w:rPr>
                <w:b/>
                <w:bCs/>
              </w:rPr>
            </w:pPr>
            <w:r w:rsidRPr="00967D32">
              <w:rPr>
                <w:b/>
                <w:bCs/>
              </w:rPr>
              <w:t>Dimensions</w:t>
            </w:r>
          </w:p>
          <w:p w14:paraId="247D1624" w14:textId="77777777" w:rsidR="00A83731" w:rsidRPr="00967D32" w:rsidRDefault="00A83731" w:rsidP="009462AB">
            <w:pPr>
              <w:pStyle w:val="Tabletext"/>
              <w:rPr>
                <w:rFonts w:cs="Arial"/>
                <w:b w:val="0"/>
                <w:i/>
                <w:iCs/>
                <w:szCs w:val="21"/>
              </w:rPr>
            </w:pPr>
            <w:r w:rsidRPr="00967D32">
              <w:rPr>
                <w:b w:val="0"/>
              </w:rPr>
              <w:t>This is evident when graduates can understand the learning areas.</w:t>
            </w:r>
          </w:p>
        </w:tc>
        <w:tc>
          <w:tcPr>
            <w:tcW w:w="2705" w:type="dxa"/>
          </w:tcPr>
          <w:p w14:paraId="6DC73220" w14:textId="77777777" w:rsidR="00A83731" w:rsidRPr="00967D32" w:rsidRDefault="00A83731" w:rsidP="009462AB">
            <w:pPr>
              <w:pStyle w:val="Tablecolheadwhite"/>
              <w:rPr>
                <w:b/>
                <w:bCs/>
              </w:rPr>
            </w:pPr>
            <w:r w:rsidRPr="00967D32">
              <w:rPr>
                <w:b/>
                <w:bCs/>
              </w:rPr>
              <w:t xml:space="preserve">Learning area: </w:t>
            </w:r>
          </w:p>
          <w:p w14:paraId="0DDAE7AB" w14:textId="26C4B0CB" w:rsidR="00A83731" w:rsidRPr="00967D32" w:rsidRDefault="00A83731" w:rsidP="009462AB">
            <w:pPr>
              <w:pStyle w:val="Tablecolheadwhite"/>
              <w:rPr>
                <w:b/>
                <w:bCs/>
              </w:rPr>
            </w:pPr>
            <w:r w:rsidRPr="00967D32">
              <w:rPr>
                <w:b/>
                <w:bCs/>
              </w:rPr>
              <w:t>Child safety, development, and wellbeing</w:t>
            </w:r>
          </w:p>
        </w:tc>
        <w:tc>
          <w:tcPr>
            <w:tcW w:w="2705" w:type="dxa"/>
          </w:tcPr>
          <w:p w14:paraId="1DD8332D" w14:textId="77777777" w:rsidR="0081705A" w:rsidRPr="00967D32" w:rsidRDefault="0081705A" w:rsidP="009462AB">
            <w:pPr>
              <w:pStyle w:val="Tablecolheadwhite"/>
              <w:rPr>
                <w:b/>
                <w:bCs/>
              </w:rPr>
            </w:pPr>
            <w:r w:rsidRPr="00967D32">
              <w:rPr>
                <w:b/>
                <w:bCs/>
              </w:rPr>
              <w:t xml:space="preserve">Learning area: </w:t>
            </w:r>
          </w:p>
          <w:p w14:paraId="7D745F40" w14:textId="2526F164" w:rsidR="00A83731" w:rsidRPr="00967D32" w:rsidRDefault="00A83731" w:rsidP="009462AB">
            <w:pPr>
              <w:pStyle w:val="Tablecolheadwhite"/>
              <w:rPr>
                <w:b/>
                <w:bCs/>
              </w:rPr>
            </w:pPr>
            <w:r w:rsidRPr="00967D32">
              <w:rPr>
                <w:b/>
                <w:bCs/>
              </w:rPr>
              <w:t>Responding to family violence and sexual assault</w:t>
            </w:r>
          </w:p>
        </w:tc>
        <w:tc>
          <w:tcPr>
            <w:tcW w:w="2706" w:type="dxa"/>
          </w:tcPr>
          <w:p w14:paraId="715D5ACC" w14:textId="77777777" w:rsidR="0081705A" w:rsidRPr="00967D32" w:rsidRDefault="0081705A" w:rsidP="009462AB">
            <w:pPr>
              <w:pStyle w:val="Tablecolheadwhite"/>
              <w:rPr>
                <w:b/>
                <w:bCs/>
              </w:rPr>
            </w:pPr>
            <w:r w:rsidRPr="00967D32">
              <w:rPr>
                <w:b/>
                <w:bCs/>
              </w:rPr>
              <w:t xml:space="preserve">Learning area: </w:t>
            </w:r>
          </w:p>
          <w:p w14:paraId="6C9DF94A" w14:textId="309A72A8" w:rsidR="00A83731" w:rsidRPr="00967D32" w:rsidRDefault="00A83731" w:rsidP="009462AB">
            <w:pPr>
              <w:pStyle w:val="Tablecolheadwhite"/>
              <w:rPr>
                <w:b/>
                <w:bCs/>
              </w:rPr>
            </w:pPr>
            <w:r w:rsidRPr="00967D32">
              <w:rPr>
                <w:b/>
                <w:bCs/>
              </w:rPr>
              <w:t>Housing insecurity and homelessness</w:t>
            </w:r>
          </w:p>
        </w:tc>
        <w:tc>
          <w:tcPr>
            <w:tcW w:w="2705" w:type="dxa"/>
          </w:tcPr>
          <w:p w14:paraId="0659372C" w14:textId="77777777" w:rsidR="0081705A" w:rsidRPr="00967D32" w:rsidRDefault="0081705A" w:rsidP="009462AB">
            <w:pPr>
              <w:pStyle w:val="Tablecolheadwhite"/>
              <w:rPr>
                <w:b/>
                <w:bCs/>
              </w:rPr>
            </w:pPr>
            <w:r w:rsidRPr="00967D32">
              <w:rPr>
                <w:b/>
                <w:bCs/>
              </w:rPr>
              <w:t xml:space="preserve">Learning area: </w:t>
            </w:r>
          </w:p>
          <w:p w14:paraId="7325ACCF" w14:textId="77777777" w:rsidR="00A83731" w:rsidRPr="00967D32" w:rsidRDefault="00A83731" w:rsidP="009462AB">
            <w:pPr>
              <w:pStyle w:val="Tablecolheadwhite"/>
              <w:rPr>
                <w:b/>
                <w:bCs/>
              </w:rPr>
            </w:pPr>
            <w:r w:rsidRPr="00967D32">
              <w:rPr>
                <w:b/>
                <w:bCs/>
              </w:rPr>
              <w:t xml:space="preserve">Health and </w:t>
            </w:r>
          </w:p>
          <w:p w14:paraId="314084ED" w14:textId="07637544" w:rsidR="00A83731" w:rsidRPr="00967D32" w:rsidRDefault="00A83731" w:rsidP="009462AB">
            <w:pPr>
              <w:pStyle w:val="Tablecolheadwhite"/>
              <w:rPr>
                <w:b/>
                <w:bCs/>
              </w:rPr>
            </w:pPr>
            <w:r w:rsidRPr="00967D32">
              <w:rPr>
                <w:b/>
                <w:bCs/>
              </w:rPr>
              <w:t>mental health</w:t>
            </w:r>
          </w:p>
        </w:tc>
        <w:tc>
          <w:tcPr>
            <w:tcW w:w="2706" w:type="dxa"/>
          </w:tcPr>
          <w:p w14:paraId="33CCAD4E" w14:textId="77777777" w:rsidR="0081705A" w:rsidRPr="00967D32" w:rsidRDefault="0081705A" w:rsidP="009462AB">
            <w:pPr>
              <w:pStyle w:val="Tablecolheadwhite"/>
              <w:rPr>
                <w:b/>
                <w:bCs/>
              </w:rPr>
            </w:pPr>
            <w:r w:rsidRPr="00967D32">
              <w:rPr>
                <w:b/>
                <w:bCs/>
              </w:rPr>
              <w:t xml:space="preserve">Learning area: </w:t>
            </w:r>
          </w:p>
          <w:p w14:paraId="795A6827" w14:textId="180195DA" w:rsidR="00A83731" w:rsidRPr="00967D32" w:rsidRDefault="00A83731" w:rsidP="009462AB">
            <w:pPr>
              <w:pStyle w:val="Tablecolheadwhite"/>
              <w:rPr>
                <w:b/>
                <w:bCs/>
              </w:rPr>
            </w:pPr>
            <w:r w:rsidRPr="00967D32">
              <w:rPr>
                <w:b/>
                <w:bCs/>
              </w:rPr>
              <w:t>Disability, accessibility and inclusion</w:t>
            </w:r>
          </w:p>
        </w:tc>
      </w:tr>
      <w:tr w:rsidR="00F074FB" w14:paraId="2F58EC72" w14:textId="68711155" w:rsidTr="009462AB">
        <w:trPr>
          <w:cnfStyle w:val="000000100000" w:firstRow="0" w:lastRow="0" w:firstColumn="0" w:lastColumn="0" w:oddVBand="0" w:evenVBand="0" w:oddHBand="1" w:evenHBand="0" w:firstRowFirstColumn="0" w:firstRowLastColumn="0" w:lastRowFirstColumn="0" w:lastRowLastColumn="0"/>
        </w:trPr>
        <w:tc>
          <w:tcPr>
            <w:tcW w:w="1919" w:type="dxa"/>
          </w:tcPr>
          <w:p w14:paraId="0172A6BD" w14:textId="77777777" w:rsidR="00F074FB" w:rsidRDefault="00F074FB" w:rsidP="009462AB">
            <w:pPr>
              <w:pStyle w:val="Tablecolhead"/>
              <w:rPr>
                <w:i/>
                <w:iCs/>
              </w:rPr>
            </w:pPr>
            <w:r w:rsidRPr="0017112E">
              <w:t>Knowledge</w:t>
            </w:r>
          </w:p>
        </w:tc>
        <w:tc>
          <w:tcPr>
            <w:tcW w:w="2705" w:type="dxa"/>
          </w:tcPr>
          <w:p w14:paraId="26734633" w14:textId="5D75147F" w:rsidR="00F074FB" w:rsidRDefault="00F074FB" w:rsidP="009462AB">
            <w:pPr>
              <w:pStyle w:val="Tabletext"/>
              <w:rPr>
                <w:rFonts w:cs="Arial"/>
                <w:i/>
                <w:iCs/>
                <w:szCs w:val="21"/>
              </w:rPr>
            </w:pPr>
            <w:r w:rsidRPr="00F2403E">
              <w:t>Understand child safety, development and wellbeing, and recognise the indicators and impacts of child abuse and neglect.</w:t>
            </w:r>
          </w:p>
        </w:tc>
        <w:tc>
          <w:tcPr>
            <w:tcW w:w="2705" w:type="dxa"/>
          </w:tcPr>
          <w:p w14:paraId="31650496" w14:textId="7EA6C1DA" w:rsidR="00F074FB" w:rsidRPr="0017112E" w:rsidRDefault="00F074FB" w:rsidP="009462AB">
            <w:pPr>
              <w:pStyle w:val="Tabletext"/>
            </w:pPr>
            <w:r w:rsidRPr="00F2403E">
              <w:t>Describe the nature, prevalence, impacts, and responses related to family violence, child abuse/ neglect, and sexual assault.</w:t>
            </w:r>
          </w:p>
        </w:tc>
        <w:tc>
          <w:tcPr>
            <w:tcW w:w="2706" w:type="dxa"/>
          </w:tcPr>
          <w:p w14:paraId="166FD2BC" w14:textId="7D2B5866" w:rsidR="00F074FB" w:rsidRPr="0017112E" w:rsidRDefault="00F074FB" w:rsidP="009462AB">
            <w:pPr>
              <w:pStyle w:val="Tabletext"/>
            </w:pPr>
            <w:r w:rsidRPr="00F2403E">
              <w:t>Describe the drivers and impacts of housing insecurity and homelessness.</w:t>
            </w:r>
          </w:p>
        </w:tc>
        <w:tc>
          <w:tcPr>
            <w:tcW w:w="2705" w:type="dxa"/>
          </w:tcPr>
          <w:p w14:paraId="1DBFD06D" w14:textId="7BAEA289" w:rsidR="00F074FB" w:rsidRPr="0017112E" w:rsidRDefault="00F074FB" w:rsidP="009462AB">
            <w:pPr>
              <w:pStyle w:val="Tabletext"/>
            </w:pPr>
            <w:r w:rsidRPr="00F2403E">
              <w:t>Demonstrate a broad understanding of mental health literacy including social, emotional and cultural wellbeing.</w:t>
            </w:r>
          </w:p>
        </w:tc>
        <w:tc>
          <w:tcPr>
            <w:tcW w:w="2706" w:type="dxa"/>
          </w:tcPr>
          <w:p w14:paraId="5F09D1ED" w14:textId="556D7B25" w:rsidR="00F074FB" w:rsidRPr="0017112E" w:rsidRDefault="00F074FB" w:rsidP="009462AB">
            <w:pPr>
              <w:pStyle w:val="Tabletext"/>
            </w:pPr>
            <w:r w:rsidRPr="00F2403E">
              <w:t>Understand relevant theories, legislation, and best practices related to disability, accessibility and inclusion.</w:t>
            </w:r>
          </w:p>
        </w:tc>
      </w:tr>
      <w:tr w:rsidR="00F074FB" w14:paraId="179217DC" w14:textId="6A5FAA55" w:rsidTr="009462AB">
        <w:tc>
          <w:tcPr>
            <w:tcW w:w="1919" w:type="dxa"/>
          </w:tcPr>
          <w:p w14:paraId="01738F32" w14:textId="77777777" w:rsidR="00F074FB" w:rsidRDefault="00F074FB" w:rsidP="009462AB">
            <w:pPr>
              <w:pStyle w:val="Tablecolhead"/>
              <w:rPr>
                <w:i/>
                <w:iCs/>
              </w:rPr>
            </w:pPr>
            <w:r w:rsidRPr="0017112E">
              <w:t>Skills</w:t>
            </w:r>
          </w:p>
        </w:tc>
        <w:tc>
          <w:tcPr>
            <w:tcW w:w="2705" w:type="dxa"/>
          </w:tcPr>
          <w:p w14:paraId="49492EB8" w14:textId="6FA045F8" w:rsidR="00F074FB" w:rsidRDefault="00F074FB" w:rsidP="009462AB">
            <w:pPr>
              <w:pStyle w:val="Tabletext"/>
              <w:rPr>
                <w:rFonts w:cs="Arial"/>
                <w:i/>
                <w:iCs/>
                <w:szCs w:val="21"/>
              </w:rPr>
            </w:pPr>
            <w:r w:rsidRPr="00F074FB">
              <w:t>Apply basic strategies to promote child safety, development, and wellbeing, including connection to culture.</w:t>
            </w:r>
          </w:p>
        </w:tc>
        <w:tc>
          <w:tcPr>
            <w:tcW w:w="2705" w:type="dxa"/>
          </w:tcPr>
          <w:p w14:paraId="1EE7410F" w14:textId="5E67D73B" w:rsidR="00F074FB" w:rsidRPr="0017112E" w:rsidRDefault="00F074FB" w:rsidP="009462AB">
            <w:pPr>
              <w:pStyle w:val="Tabletext"/>
            </w:pPr>
            <w:r w:rsidRPr="00F074FB">
              <w:t>Apply basic intervention strategies to respond to cases of family violence, child abuse/neglect, and sexual assault.</w:t>
            </w:r>
          </w:p>
        </w:tc>
        <w:tc>
          <w:tcPr>
            <w:tcW w:w="2706" w:type="dxa"/>
          </w:tcPr>
          <w:p w14:paraId="64CEE90E" w14:textId="02EB4C0D" w:rsidR="00F074FB" w:rsidRPr="0017112E" w:rsidRDefault="00F074FB" w:rsidP="009462AB">
            <w:pPr>
              <w:pStyle w:val="Tabletext"/>
            </w:pPr>
            <w:r w:rsidRPr="00F074FB">
              <w:t>Apply basic support strategies for individuals experiencing housing insecurity/ distress and homelessness.</w:t>
            </w:r>
          </w:p>
        </w:tc>
        <w:tc>
          <w:tcPr>
            <w:tcW w:w="2705" w:type="dxa"/>
          </w:tcPr>
          <w:p w14:paraId="0CA723C3" w14:textId="759E6D6F" w:rsidR="00F074FB" w:rsidRPr="0017112E" w:rsidRDefault="00F074FB" w:rsidP="009462AB">
            <w:pPr>
              <w:pStyle w:val="Tabletext"/>
            </w:pPr>
            <w:r w:rsidRPr="00F074FB">
              <w:t>Apply strategies to support service users’ social and emotional wellbeing and recovery.</w:t>
            </w:r>
          </w:p>
        </w:tc>
        <w:tc>
          <w:tcPr>
            <w:tcW w:w="2706" w:type="dxa"/>
          </w:tcPr>
          <w:p w14:paraId="58BA17BA" w14:textId="641A1E52" w:rsidR="00F074FB" w:rsidRPr="0017112E" w:rsidRDefault="00F074FB" w:rsidP="009462AB">
            <w:pPr>
              <w:pStyle w:val="Tabletext"/>
            </w:pPr>
            <w:r w:rsidRPr="00F074FB">
              <w:t>Adapt communication and problem-solving strategies to the needs and rights of service users with disabilities.</w:t>
            </w:r>
          </w:p>
        </w:tc>
      </w:tr>
      <w:tr w:rsidR="00F074FB" w14:paraId="4402D9EF" w14:textId="49CC267E" w:rsidTr="009462AB">
        <w:trPr>
          <w:cnfStyle w:val="000000100000" w:firstRow="0" w:lastRow="0" w:firstColumn="0" w:lastColumn="0" w:oddVBand="0" w:evenVBand="0" w:oddHBand="1" w:evenHBand="0" w:firstRowFirstColumn="0" w:firstRowLastColumn="0" w:lastRowFirstColumn="0" w:lastRowLastColumn="0"/>
        </w:trPr>
        <w:tc>
          <w:tcPr>
            <w:tcW w:w="1919" w:type="dxa"/>
          </w:tcPr>
          <w:p w14:paraId="5AAA136F" w14:textId="77777777" w:rsidR="00F074FB" w:rsidRDefault="00F074FB" w:rsidP="009462AB">
            <w:pPr>
              <w:pStyle w:val="Tablecolhead"/>
              <w:rPr>
                <w:i/>
                <w:iCs/>
              </w:rPr>
            </w:pPr>
            <w:r w:rsidRPr="0017112E">
              <w:t>Professional judgement</w:t>
            </w:r>
          </w:p>
        </w:tc>
        <w:tc>
          <w:tcPr>
            <w:tcW w:w="2705" w:type="dxa"/>
          </w:tcPr>
          <w:p w14:paraId="49B87239" w14:textId="72A92244" w:rsidR="00F074FB" w:rsidRDefault="00F074FB" w:rsidP="009462AB">
            <w:pPr>
              <w:pStyle w:val="Tabletext"/>
              <w:rPr>
                <w:rFonts w:cs="Arial"/>
                <w:i/>
                <w:iCs/>
                <w:szCs w:val="21"/>
              </w:rPr>
            </w:pPr>
            <w:r w:rsidRPr="00F074FB">
              <w:t>Make decisions that prioritise child safety, wellbeing and connection to culture.</w:t>
            </w:r>
          </w:p>
        </w:tc>
        <w:tc>
          <w:tcPr>
            <w:tcW w:w="2705" w:type="dxa"/>
          </w:tcPr>
          <w:p w14:paraId="06EA9625" w14:textId="50B8E932" w:rsidR="00F074FB" w:rsidRPr="0017112E" w:rsidRDefault="00F074FB" w:rsidP="009462AB">
            <w:pPr>
              <w:pStyle w:val="Tabletext"/>
            </w:pPr>
            <w:r w:rsidRPr="00F074FB">
              <w:t>Make decisions guided by understanding the basics of responding to family violence, child abuse/ neglect, sexual assault and cultural awareness.</w:t>
            </w:r>
          </w:p>
        </w:tc>
        <w:tc>
          <w:tcPr>
            <w:tcW w:w="2706" w:type="dxa"/>
          </w:tcPr>
          <w:p w14:paraId="1980D2C1" w14:textId="17D1401A" w:rsidR="00F074FB" w:rsidRPr="0017112E" w:rsidRDefault="00F074FB" w:rsidP="009462AB">
            <w:pPr>
              <w:pStyle w:val="Tabletext"/>
            </w:pPr>
            <w:r w:rsidRPr="00F074FB">
              <w:t>Make decisions that consider the immediate needs of clients facing housing insecurity/distress and homelessness.</w:t>
            </w:r>
          </w:p>
        </w:tc>
        <w:tc>
          <w:tcPr>
            <w:tcW w:w="2705" w:type="dxa"/>
          </w:tcPr>
          <w:p w14:paraId="57CE26B4" w14:textId="59D92B57" w:rsidR="00F074FB" w:rsidRPr="0017112E" w:rsidRDefault="00F074FB" w:rsidP="009462AB">
            <w:pPr>
              <w:pStyle w:val="Tabletext"/>
            </w:pPr>
            <w:r w:rsidRPr="00F074FB">
              <w:t>Make decisions that support the mental health and wellbeing of service users.</w:t>
            </w:r>
          </w:p>
        </w:tc>
        <w:tc>
          <w:tcPr>
            <w:tcW w:w="2706" w:type="dxa"/>
          </w:tcPr>
          <w:p w14:paraId="771BDEA0" w14:textId="590A0E7F" w:rsidR="00F074FB" w:rsidRPr="0017112E" w:rsidRDefault="00F074FB" w:rsidP="009462AB">
            <w:pPr>
              <w:pStyle w:val="Tabletext"/>
            </w:pPr>
            <w:r w:rsidRPr="00F074FB">
              <w:t>Make informed decisions that privilege the rights, needs and dignity of people with disabilities.</w:t>
            </w:r>
          </w:p>
        </w:tc>
      </w:tr>
      <w:tr w:rsidR="00F074FB" w14:paraId="1E4C4328" w14:textId="3F0A327D" w:rsidTr="009462AB">
        <w:tc>
          <w:tcPr>
            <w:tcW w:w="1919" w:type="dxa"/>
          </w:tcPr>
          <w:p w14:paraId="3C6F8EE0" w14:textId="77777777" w:rsidR="00F074FB" w:rsidRDefault="00F074FB" w:rsidP="009462AB">
            <w:pPr>
              <w:pStyle w:val="Tablecolhead"/>
              <w:rPr>
                <w:i/>
                <w:iCs/>
              </w:rPr>
            </w:pPr>
            <w:r w:rsidRPr="0017112E">
              <w:t>Self-management</w:t>
            </w:r>
          </w:p>
        </w:tc>
        <w:tc>
          <w:tcPr>
            <w:tcW w:w="2705" w:type="dxa"/>
          </w:tcPr>
          <w:p w14:paraId="1EC8F42E" w14:textId="5D948F8D" w:rsidR="00F074FB" w:rsidRDefault="00F074FB" w:rsidP="009462AB">
            <w:pPr>
              <w:pStyle w:val="Tabletext"/>
              <w:rPr>
                <w:rFonts w:cs="Arial"/>
                <w:i/>
                <w:iCs/>
                <w:szCs w:val="21"/>
              </w:rPr>
            </w:pPr>
            <w:r w:rsidRPr="00F074FB">
              <w:t xml:space="preserve">Critically reflect </w:t>
            </w:r>
            <w:proofErr w:type="gramStart"/>
            <w:r w:rsidRPr="00F074FB">
              <w:t>on, and</w:t>
            </w:r>
            <w:proofErr w:type="gramEnd"/>
            <w:r w:rsidRPr="00F074FB">
              <w:t xml:space="preserve"> continually improve their child safety practice.</w:t>
            </w:r>
          </w:p>
        </w:tc>
        <w:tc>
          <w:tcPr>
            <w:tcW w:w="2705" w:type="dxa"/>
          </w:tcPr>
          <w:p w14:paraId="0ABC679F" w14:textId="60D6F92E" w:rsidR="00F074FB" w:rsidRPr="0017112E" w:rsidRDefault="00F074FB" w:rsidP="009462AB">
            <w:pPr>
              <w:pStyle w:val="Tabletext"/>
            </w:pPr>
            <w:r w:rsidRPr="00F074FB">
              <w:t xml:space="preserve">Critically reflect </w:t>
            </w:r>
            <w:proofErr w:type="gramStart"/>
            <w:r w:rsidRPr="00F074FB">
              <w:t>on, and</w:t>
            </w:r>
            <w:proofErr w:type="gramEnd"/>
            <w:r w:rsidRPr="00F074FB">
              <w:t xml:space="preserve"> continually improve their practice responses to family violence and sexual assault.</w:t>
            </w:r>
          </w:p>
        </w:tc>
        <w:tc>
          <w:tcPr>
            <w:tcW w:w="2706" w:type="dxa"/>
          </w:tcPr>
          <w:p w14:paraId="660132EC" w14:textId="5194F3D2" w:rsidR="00F074FB" w:rsidRPr="0017112E" w:rsidRDefault="00F074FB" w:rsidP="009462AB">
            <w:pPr>
              <w:pStyle w:val="Tabletext"/>
            </w:pPr>
            <w:r w:rsidRPr="00F074FB">
              <w:t xml:space="preserve">Critically reflect </w:t>
            </w:r>
            <w:proofErr w:type="gramStart"/>
            <w:r w:rsidRPr="00F074FB">
              <w:t>on, and</w:t>
            </w:r>
            <w:proofErr w:type="gramEnd"/>
            <w:r w:rsidRPr="00F074FB">
              <w:t xml:space="preserve"> continually improve their practice responses to housing issues.</w:t>
            </w:r>
          </w:p>
        </w:tc>
        <w:tc>
          <w:tcPr>
            <w:tcW w:w="2705" w:type="dxa"/>
          </w:tcPr>
          <w:p w14:paraId="21259F1A" w14:textId="7B6097B9" w:rsidR="00F074FB" w:rsidRPr="0017112E" w:rsidRDefault="00F074FB" w:rsidP="009462AB">
            <w:pPr>
              <w:pStyle w:val="Tabletext"/>
            </w:pPr>
            <w:r w:rsidRPr="00F074FB">
              <w:t xml:space="preserve">Critically reflect </w:t>
            </w:r>
            <w:proofErr w:type="gramStart"/>
            <w:r w:rsidRPr="00F074FB">
              <w:t>on, and</w:t>
            </w:r>
            <w:proofErr w:type="gramEnd"/>
            <w:r w:rsidRPr="00F074FB">
              <w:t xml:space="preserve"> continually improve their mental health literacy and practice.</w:t>
            </w:r>
          </w:p>
        </w:tc>
        <w:tc>
          <w:tcPr>
            <w:tcW w:w="2706" w:type="dxa"/>
          </w:tcPr>
          <w:p w14:paraId="297B344B" w14:textId="71DB0EC0" w:rsidR="00F074FB" w:rsidRPr="0017112E" w:rsidRDefault="00F074FB" w:rsidP="009462AB">
            <w:pPr>
              <w:pStyle w:val="Tabletext"/>
            </w:pPr>
            <w:r w:rsidRPr="00F074FB">
              <w:t xml:space="preserve">Critically reflect </w:t>
            </w:r>
            <w:proofErr w:type="gramStart"/>
            <w:r w:rsidRPr="00F074FB">
              <w:t>on, and</w:t>
            </w:r>
            <w:proofErr w:type="gramEnd"/>
            <w:r w:rsidRPr="00F074FB">
              <w:t xml:space="preserve"> continually improve their practice in working with people with disabilities.</w:t>
            </w:r>
          </w:p>
        </w:tc>
      </w:tr>
      <w:tr w:rsidR="00F074FB" w14:paraId="5738A102" w14:textId="77777777" w:rsidTr="009462AB">
        <w:trPr>
          <w:cnfStyle w:val="000000100000" w:firstRow="0" w:lastRow="0" w:firstColumn="0" w:lastColumn="0" w:oddVBand="0" w:evenVBand="0" w:oddHBand="1" w:evenHBand="0" w:firstRowFirstColumn="0" w:firstRowLastColumn="0" w:lastRowFirstColumn="0" w:lastRowLastColumn="0"/>
        </w:trPr>
        <w:tc>
          <w:tcPr>
            <w:tcW w:w="1919" w:type="dxa"/>
          </w:tcPr>
          <w:p w14:paraId="5CB33CEE" w14:textId="3285B03B" w:rsidR="00F074FB" w:rsidRPr="0017112E" w:rsidRDefault="00F074FB" w:rsidP="009462AB">
            <w:pPr>
              <w:pStyle w:val="Tablecolhead"/>
            </w:pPr>
            <w:r w:rsidRPr="00F2403E">
              <w:t>Working with Aboriginal people</w:t>
            </w:r>
          </w:p>
        </w:tc>
        <w:tc>
          <w:tcPr>
            <w:tcW w:w="2705" w:type="dxa"/>
          </w:tcPr>
          <w:p w14:paraId="63355086" w14:textId="2753F003" w:rsidR="00F074FB" w:rsidRDefault="00F074FB" w:rsidP="009462AB">
            <w:pPr>
              <w:pStyle w:val="Tabletext"/>
              <w:rPr>
                <w:rFonts w:cs="Arial"/>
                <w:i/>
                <w:iCs/>
                <w:szCs w:val="21"/>
              </w:rPr>
            </w:pPr>
            <w:r w:rsidRPr="00F074FB">
              <w:t xml:space="preserve">Understand the overrepresentation of Aboriginal children in child protection and out-of-home care systems. Take an anti-racist practice approach which respects and prioritises Aboriginal voice, ways of knowing, being and doing, and connection to family, kin, community and Country. Strengths and </w:t>
            </w:r>
            <w:r w:rsidRPr="00F074FB">
              <w:lastRenderedPageBreak/>
              <w:t>protective factors in culture are actively sought and evidenced to inform all assessments and plans.</w:t>
            </w:r>
          </w:p>
        </w:tc>
        <w:tc>
          <w:tcPr>
            <w:tcW w:w="2705" w:type="dxa"/>
          </w:tcPr>
          <w:p w14:paraId="0F5F0B43" w14:textId="322247A2" w:rsidR="00F074FB" w:rsidRPr="0017112E" w:rsidRDefault="00F074FB" w:rsidP="009462AB">
            <w:pPr>
              <w:pStyle w:val="Tabletext"/>
            </w:pPr>
            <w:r w:rsidRPr="00F074FB">
              <w:lastRenderedPageBreak/>
              <w:t xml:space="preserve">Understand the implications of trauma, intergenerational trauma and disconnection from culture and traditional law and lore for many Aboriginal people. Understand the higher rates of Aboriginal women experiencing family violence, and that violence against Aboriginal women can occur from any man. </w:t>
            </w:r>
            <w:r w:rsidRPr="00F074FB">
              <w:lastRenderedPageBreak/>
              <w:t>Take an anti-sexist, anti-racist practice approach which prioritises the safety and wellbeing of Aboriginal people and upholds cultural integrity.</w:t>
            </w:r>
          </w:p>
        </w:tc>
        <w:tc>
          <w:tcPr>
            <w:tcW w:w="2706" w:type="dxa"/>
          </w:tcPr>
          <w:p w14:paraId="4C3FB001" w14:textId="5A5AAFFB" w:rsidR="00F074FB" w:rsidRPr="0017112E" w:rsidRDefault="00F074FB" w:rsidP="009462AB">
            <w:pPr>
              <w:pStyle w:val="Tabletext"/>
            </w:pPr>
            <w:r w:rsidRPr="00F074FB">
              <w:lastRenderedPageBreak/>
              <w:t xml:space="preserve">Understand the impacts systemic disadvantage and racism on Aboriginal people and communities and housing availability and security. Take an anti-racist practice approach to elevate the housing and support needs of Aboriginal people and prioritise connection to kin, </w:t>
            </w:r>
            <w:r w:rsidRPr="00F074FB">
              <w:lastRenderedPageBreak/>
              <w:t>community and Country in service responses.</w:t>
            </w:r>
          </w:p>
        </w:tc>
        <w:tc>
          <w:tcPr>
            <w:tcW w:w="2705" w:type="dxa"/>
          </w:tcPr>
          <w:p w14:paraId="424FE5B6" w14:textId="43A97C5C" w:rsidR="00F074FB" w:rsidRPr="0017112E" w:rsidRDefault="00F074FB" w:rsidP="009462AB">
            <w:pPr>
              <w:pStyle w:val="Tabletext"/>
            </w:pPr>
            <w:r w:rsidRPr="00F074FB">
              <w:lastRenderedPageBreak/>
              <w:t xml:space="preserve">Understand the intergenerational and collective grief and loss and trauma of many Aboriginal people and communities and the impact on social and emotional wellbeing. Ensure Aboriginal people can access culturally appropriate and healing centred mental health support that recognises the </w:t>
            </w:r>
            <w:r w:rsidRPr="00F074FB">
              <w:lastRenderedPageBreak/>
              <w:t>connection between physical health, mental health, spiritual needs and social and emotional wellbeing.</w:t>
            </w:r>
          </w:p>
        </w:tc>
        <w:tc>
          <w:tcPr>
            <w:tcW w:w="2706" w:type="dxa"/>
          </w:tcPr>
          <w:p w14:paraId="0E2C5EAC" w14:textId="7BD1DC2C" w:rsidR="00F074FB" w:rsidRPr="0017112E" w:rsidRDefault="00F074FB" w:rsidP="009462AB">
            <w:pPr>
              <w:pStyle w:val="Tabletext"/>
            </w:pPr>
            <w:r w:rsidRPr="00F074FB">
              <w:lastRenderedPageBreak/>
              <w:t xml:space="preserve">Understand the higher prevalence of Aboriginal people living with disability in the community and the impacts on educational, economic and social participation. Ensure Aboriginal people with disability and their families can access culturally responsive support where they live that prioritises </w:t>
            </w:r>
            <w:r w:rsidRPr="00F074FB">
              <w:lastRenderedPageBreak/>
              <w:t>service user voice in decision-making and responds holistically to physical, social and emotional wellbeing.</w:t>
            </w:r>
          </w:p>
        </w:tc>
      </w:tr>
    </w:tbl>
    <w:p w14:paraId="243872D0" w14:textId="3B939EBC" w:rsidR="00D120C0" w:rsidRPr="00FF28AF" w:rsidRDefault="00D120C0" w:rsidP="00EC081C">
      <w:pPr>
        <w:spacing w:line="240" w:lineRule="auto"/>
        <w:textAlignment w:val="baseline"/>
        <w:rPr>
          <w:rFonts w:cs="Arial"/>
          <w:i/>
          <w:iCs/>
          <w:szCs w:val="21"/>
        </w:rPr>
      </w:pPr>
      <w:bookmarkStart w:id="37" w:name="_Toc176177720"/>
      <w:r>
        <w:rPr>
          <w:sz w:val="24"/>
          <w:szCs w:val="24"/>
        </w:rPr>
        <w:lastRenderedPageBreak/>
        <w:br w:type="page"/>
      </w:r>
    </w:p>
    <w:p w14:paraId="08138311" w14:textId="025CD84B" w:rsidR="00D551B9" w:rsidRPr="0015533F" w:rsidRDefault="00BB39C3" w:rsidP="008D66F6">
      <w:pPr>
        <w:pStyle w:val="Heading3"/>
      </w:pPr>
      <w:r>
        <w:lastRenderedPageBreak/>
        <w:t xml:space="preserve">2.3 </w:t>
      </w:r>
      <w:r w:rsidR="00D551B9" w:rsidRPr="0015533F">
        <w:t>Cultural</w:t>
      </w:r>
      <w:r w:rsidR="00F90236">
        <w:t xml:space="preserve"> </w:t>
      </w:r>
      <w:r w:rsidR="005F6689">
        <w:t>c</w:t>
      </w:r>
      <w:r w:rsidR="00F90236">
        <w:t>apability</w:t>
      </w:r>
    </w:p>
    <w:p w14:paraId="6F97EB08" w14:textId="6B3F7B0A" w:rsidR="00D551B9" w:rsidRDefault="00D551B9" w:rsidP="00E929D4">
      <w:pPr>
        <w:pStyle w:val="Body"/>
        <w:rPr>
          <w:rFonts w:cs="Arial"/>
          <w:szCs w:val="21"/>
        </w:rPr>
      </w:pPr>
      <w:r w:rsidRPr="005E0FCF">
        <w:rPr>
          <w:rFonts w:ascii="Aptos" w:hAnsi="Aptos"/>
          <w:b/>
          <w:bCs/>
          <w:sz w:val="24"/>
          <w:szCs w:val="24"/>
        </w:rPr>
        <w:t>Foundational learning outcome:</w:t>
      </w:r>
      <w:r w:rsidRPr="00BF3262">
        <w:rPr>
          <w:i/>
          <w:iCs/>
        </w:rPr>
        <w:t xml:space="preserve"> </w:t>
      </w:r>
      <w:r w:rsidRPr="00111470">
        <w:t xml:space="preserve">Graduates have a broad understanding of the diverse service user groups and communities that engage with the </w:t>
      </w:r>
      <w:r w:rsidRPr="00111470">
        <w:rPr>
          <w:rFonts w:cs="Arial"/>
          <w:szCs w:val="21"/>
        </w:rPr>
        <w:t xml:space="preserve">community and social services sector and can practice in culturally </w:t>
      </w:r>
      <w:r w:rsidR="00D96F11" w:rsidRPr="00111470">
        <w:rPr>
          <w:rFonts w:cs="Arial"/>
          <w:szCs w:val="21"/>
        </w:rPr>
        <w:t>responsive</w:t>
      </w:r>
      <w:r w:rsidRPr="00111470">
        <w:rPr>
          <w:rFonts w:cs="Arial"/>
          <w:szCs w:val="21"/>
        </w:rPr>
        <w:t xml:space="preserve"> and inclusive ways.</w:t>
      </w:r>
    </w:p>
    <w:tbl>
      <w:tblPr>
        <w:tblStyle w:val="CASSGP"/>
        <w:tblW w:w="0" w:type="auto"/>
        <w:tblLook w:val="04A0" w:firstRow="1" w:lastRow="0" w:firstColumn="1" w:lastColumn="0" w:noHBand="0" w:noVBand="1"/>
      </w:tblPr>
      <w:tblGrid>
        <w:gridCol w:w="4248"/>
        <w:gridCol w:w="5581"/>
        <w:gridCol w:w="5581"/>
      </w:tblGrid>
      <w:tr w:rsidR="00447573" w14:paraId="789300C2" w14:textId="77777777" w:rsidTr="000676EC">
        <w:trPr>
          <w:cnfStyle w:val="100000000000" w:firstRow="1" w:lastRow="0" w:firstColumn="0" w:lastColumn="0" w:oddVBand="0" w:evenVBand="0" w:oddHBand="0" w:evenHBand="0" w:firstRowFirstColumn="0" w:firstRowLastColumn="0" w:lastRowFirstColumn="0" w:lastRowLastColumn="0"/>
          <w:tblHeader/>
        </w:trPr>
        <w:tc>
          <w:tcPr>
            <w:tcW w:w="4248" w:type="dxa"/>
          </w:tcPr>
          <w:p w14:paraId="1C02C211" w14:textId="77777777" w:rsidR="00447573" w:rsidRPr="00967D32" w:rsidRDefault="00447573" w:rsidP="009462AB">
            <w:pPr>
              <w:pStyle w:val="Tablecolheadwhite"/>
              <w:rPr>
                <w:b/>
                <w:bCs/>
              </w:rPr>
            </w:pPr>
            <w:r w:rsidRPr="00967D32">
              <w:rPr>
                <w:b/>
                <w:bCs/>
              </w:rPr>
              <w:t>Dimensions</w:t>
            </w:r>
          </w:p>
          <w:p w14:paraId="5591E17B" w14:textId="30DBB9E1" w:rsidR="00447573" w:rsidRPr="00967D32" w:rsidRDefault="00447573" w:rsidP="009462AB">
            <w:pPr>
              <w:pStyle w:val="Tabletext"/>
              <w:rPr>
                <w:rFonts w:cs="Arial"/>
                <w:b w:val="0"/>
                <w:szCs w:val="21"/>
              </w:rPr>
            </w:pPr>
            <w:r w:rsidRPr="00967D32">
              <w:rPr>
                <w:b w:val="0"/>
              </w:rPr>
              <w:t>This is evident when graduates can understand the learning areas.</w:t>
            </w:r>
          </w:p>
        </w:tc>
        <w:tc>
          <w:tcPr>
            <w:tcW w:w="5581" w:type="dxa"/>
          </w:tcPr>
          <w:p w14:paraId="69333550" w14:textId="77777777" w:rsidR="00884446" w:rsidRPr="00967D32" w:rsidRDefault="002E26DF" w:rsidP="009462AB">
            <w:pPr>
              <w:pStyle w:val="Tablecolheadwhite"/>
              <w:rPr>
                <w:b/>
                <w:bCs/>
              </w:rPr>
            </w:pPr>
            <w:r w:rsidRPr="00967D32">
              <w:rPr>
                <w:b/>
                <w:bCs/>
              </w:rPr>
              <w:t xml:space="preserve">Learning area: </w:t>
            </w:r>
          </w:p>
          <w:p w14:paraId="58840F56" w14:textId="1CB78410" w:rsidR="00447573" w:rsidRPr="00967D32" w:rsidRDefault="002E26DF" w:rsidP="009462AB">
            <w:pPr>
              <w:pStyle w:val="Tablecolheadwhite"/>
              <w:rPr>
                <w:b/>
                <w:bCs/>
              </w:rPr>
            </w:pPr>
            <w:r w:rsidRPr="00967D32">
              <w:rPr>
                <w:rFonts w:cs="Arial"/>
                <w:b/>
                <w:bCs/>
                <w:szCs w:val="21"/>
              </w:rPr>
              <w:t>Culturally responsive practice with Aboriginal people and communities</w:t>
            </w:r>
          </w:p>
        </w:tc>
        <w:tc>
          <w:tcPr>
            <w:tcW w:w="5581" w:type="dxa"/>
          </w:tcPr>
          <w:p w14:paraId="18232A01" w14:textId="77777777" w:rsidR="00884446" w:rsidRPr="00967D32" w:rsidRDefault="002E26DF" w:rsidP="009462AB">
            <w:pPr>
              <w:pStyle w:val="Tablecolheadwhite"/>
              <w:rPr>
                <w:b/>
                <w:bCs/>
              </w:rPr>
            </w:pPr>
            <w:r w:rsidRPr="00967D32">
              <w:rPr>
                <w:b/>
                <w:bCs/>
              </w:rPr>
              <w:t xml:space="preserve">Learning area: </w:t>
            </w:r>
          </w:p>
          <w:p w14:paraId="5D4D4669" w14:textId="38C8570F" w:rsidR="00447573" w:rsidRPr="00967D32" w:rsidRDefault="002E26DF" w:rsidP="009462AB">
            <w:pPr>
              <w:pStyle w:val="Tablecolheadwhite"/>
              <w:rPr>
                <w:b/>
                <w:bCs/>
              </w:rPr>
            </w:pPr>
            <w:r w:rsidRPr="00967D32">
              <w:rPr>
                <w:b/>
                <w:bCs/>
              </w:rPr>
              <w:t xml:space="preserve">Responsive practice across cultures and communities </w:t>
            </w:r>
          </w:p>
        </w:tc>
      </w:tr>
      <w:tr w:rsidR="00377741" w14:paraId="25B73075" w14:textId="77777777" w:rsidTr="00C85375">
        <w:trPr>
          <w:cnfStyle w:val="000000100000" w:firstRow="0" w:lastRow="0" w:firstColumn="0" w:lastColumn="0" w:oddVBand="0" w:evenVBand="0" w:oddHBand="1" w:evenHBand="0" w:firstRowFirstColumn="0" w:firstRowLastColumn="0" w:lastRowFirstColumn="0" w:lastRowLastColumn="0"/>
        </w:trPr>
        <w:tc>
          <w:tcPr>
            <w:tcW w:w="4248" w:type="dxa"/>
          </w:tcPr>
          <w:p w14:paraId="3A9111C8" w14:textId="21F8C855" w:rsidR="00377741" w:rsidRDefault="00377741" w:rsidP="009462AB">
            <w:pPr>
              <w:pStyle w:val="Tablecolhead"/>
            </w:pPr>
            <w:r w:rsidRPr="00F2403E">
              <w:t>Knowledge</w:t>
            </w:r>
          </w:p>
        </w:tc>
        <w:tc>
          <w:tcPr>
            <w:tcW w:w="5581" w:type="dxa"/>
          </w:tcPr>
          <w:p w14:paraId="6A63F082" w14:textId="1535D89F" w:rsidR="00377741" w:rsidRDefault="00377741" w:rsidP="009462AB">
            <w:pPr>
              <w:pStyle w:val="Tabletext"/>
              <w:rPr>
                <w:rFonts w:cs="Arial"/>
                <w:szCs w:val="21"/>
              </w:rPr>
            </w:pPr>
            <w:r w:rsidRPr="00F2403E">
              <w:t>Understand what cultural capability means to Aboriginal service users and workers. Understand intergenerational strength and seek out how each Aboriginal service user connects to culture.</w:t>
            </w:r>
          </w:p>
        </w:tc>
        <w:tc>
          <w:tcPr>
            <w:tcW w:w="5581" w:type="dxa"/>
          </w:tcPr>
          <w:p w14:paraId="170E96AD" w14:textId="7B84CC4F" w:rsidR="00377741" w:rsidRDefault="00377741" w:rsidP="009462AB">
            <w:pPr>
              <w:pStyle w:val="Tabletext"/>
              <w:rPr>
                <w:rFonts w:cs="Arial"/>
                <w:szCs w:val="21"/>
              </w:rPr>
            </w:pPr>
            <w:r w:rsidRPr="00F2403E">
              <w:t xml:space="preserve">Understand the full range of service user and community diversity and the principles and practices of cultural responsiveness. </w:t>
            </w:r>
          </w:p>
        </w:tc>
      </w:tr>
      <w:tr w:rsidR="00377741" w14:paraId="17F5ECA1" w14:textId="77777777" w:rsidTr="00C85375">
        <w:tc>
          <w:tcPr>
            <w:tcW w:w="4248" w:type="dxa"/>
          </w:tcPr>
          <w:p w14:paraId="7FCAC886" w14:textId="602A3354" w:rsidR="00377741" w:rsidRDefault="00377741" w:rsidP="009462AB">
            <w:pPr>
              <w:pStyle w:val="Tablecolhead"/>
            </w:pPr>
            <w:r w:rsidRPr="00F2403E">
              <w:t>Skills</w:t>
            </w:r>
          </w:p>
        </w:tc>
        <w:tc>
          <w:tcPr>
            <w:tcW w:w="5581" w:type="dxa"/>
          </w:tcPr>
          <w:p w14:paraId="217BBC96" w14:textId="4DC3FF50" w:rsidR="00377741" w:rsidRDefault="00377741" w:rsidP="009462AB">
            <w:pPr>
              <w:pStyle w:val="Tabletext"/>
              <w:rPr>
                <w:rFonts w:cs="Arial"/>
                <w:szCs w:val="21"/>
              </w:rPr>
            </w:pPr>
            <w:r w:rsidRPr="00F2403E">
              <w:t>Work respectfully and holistically with Aboriginal service users and engage Aboriginal Community Controlled Organisations, observing cultural protocols and working in culturally responsive ways.</w:t>
            </w:r>
          </w:p>
        </w:tc>
        <w:tc>
          <w:tcPr>
            <w:tcW w:w="5581" w:type="dxa"/>
          </w:tcPr>
          <w:p w14:paraId="22FE7C5E" w14:textId="309EEFFB" w:rsidR="00377741" w:rsidRDefault="00377741" w:rsidP="009462AB">
            <w:pPr>
              <w:pStyle w:val="Tabletext"/>
              <w:rPr>
                <w:rFonts w:cs="Arial"/>
                <w:szCs w:val="21"/>
              </w:rPr>
            </w:pPr>
            <w:r w:rsidRPr="00F2403E">
              <w:t>Work respectfully with culturally diverse service users and communities and apply culturally responsive practices.</w:t>
            </w:r>
          </w:p>
        </w:tc>
      </w:tr>
      <w:tr w:rsidR="00377741" w14:paraId="0FDD5C9C" w14:textId="77777777" w:rsidTr="00C85375">
        <w:trPr>
          <w:cnfStyle w:val="000000100000" w:firstRow="0" w:lastRow="0" w:firstColumn="0" w:lastColumn="0" w:oddVBand="0" w:evenVBand="0" w:oddHBand="1" w:evenHBand="0" w:firstRowFirstColumn="0" w:firstRowLastColumn="0" w:lastRowFirstColumn="0" w:lastRowLastColumn="0"/>
        </w:trPr>
        <w:tc>
          <w:tcPr>
            <w:tcW w:w="4248" w:type="dxa"/>
          </w:tcPr>
          <w:p w14:paraId="5083A518" w14:textId="4DFFFE2C" w:rsidR="00377741" w:rsidRDefault="00377741" w:rsidP="009462AB">
            <w:pPr>
              <w:pStyle w:val="Tablecolhead"/>
            </w:pPr>
            <w:r w:rsidRPr="00F2403E">
              <w:t>Professional judgement</w:t>
            </w:r>
          </w:p>
        </w:tc>
        <w:tc>
          <w:tcPr>
            <w:tcW w:w="5581" w:type="dxa"/>
          </w:tcPr>
          <w:p w14:paraId="656163EE" w14:textId="732678B3" w:rsidR="00377741" w:rsidRDefault="00377741" w:rsidP="009462AB">
            <w:pPr>
              <w:pStyle w:val="Tabletext"/>
              <w:rPr>
                <w:rFonts w:cs="Arial"/>
                <w:szCs w:val="21"/>
              </w:rPr>
            </w:pPr>
            <w:r w:rsidRPr="00F2403E">
              <w:t>Seek Aboriginal expertise and make informed decisions that respect the centrality of culture, Country and community for Aboriginal service users.</w:t>
            </w:r>
          </w:p>
        </w:tc>
        <w:tc>
          <w:tcPr>
            <w:tcW w:w="5581" w:type="dxa"/>
          </w:tcPr>
          <w:p w14:paraId="644395F9" w14:textId="5C693EA2" w:rsidR="00377741" w:rsidRDefault="00377741" w:rsidP="009462AB">
            <w:pPr>
              <w:pStyle w:val="Tabletext"/>
              <w:rPr>
                <w:rFonts w:cs="Arial"/>
                <w:szCs w:val="21"/>
              </w:rPr>
            </w:pPr>
            <w:r w:rsidRPr="00F2403E">
              <w:t>Seek cultural expertise and make informed decisions that respect service users’ cultural needs.</w:t>
            </w:r>
          </w:p>
        </w:tc>
      </w:tr>
      <w:tr w:rsidR="00377741" w14:paraId="47ECB1FC" w14:textId="77777777" w:rsidTr="00C85375">
        <w:tc>
          <w:tcPr>
            <w:tcW w:w="4248" w:type="dxa"/>
          </w:tcPr>
          <w:p w14:paraId="3A367668" w14:textId="70C6C3F6" w:rsidR="00377741" w:rsidRDefault="00377741" w:rsidP="009462AB">
            <w:pPr>
              <w:pStyle w:val="Tablecolhead"/>
            </w:pPr>
            <w:r w:rsidRPr="00F2403E">
              <w:t>Self-management</w:t>
            </w:r>
          </w:p>
        </w:tc>
        <w:tc>
          <w:tcPr>
            <w:tcW w:w="5581" w:type="dxa"/>
          </w:tcPr>
          <w:p w14:paraId="5669544A" w14:textId="25F166A9" w:rsidR="00377741" w:rsidRDefault="00377741" w:rsidP="009462AB">
            <w:pPr>
              <w:pStyle w:val="Tabletext"/>
              <w:rPr>
                <w:rFonts w:cs="Arial"/>
                <w:szCs w:val="21"/>
              </w:rPr>
            </w:pPr>
            <w:r w:rsidRPr="00F2403E">
              <w:t>Understand the cultural competency continuum and own stage of development. Acknowledge privilege and critically reflect on the knowledge, values, attitudes, biases and traditions they bring to their practice and work towards decolonising their practice.</w:t>
            </w:r>
          </w:p>
        </w:tc>
        <w:tc>
          <w:tcPr>
            <w:tcW w:w="5581" w:type="dxa"/>
          </w:tcPr>
          <w:p w14:paraId="21D372ED" w14:textId="4C94AD82" w:rsidR="00377741" w:rsidRDefault="00377741" w:rsidP="009462AB">
            <w:pPr>
              <w:pStyle w:val="Tabletext"/>
              <w:rPr>
                <w:rFonts w:cs="Arial"/>
                <w:szCs w:val="21"/>
              </w:rPr>
            </w:pPr>
            <w:r w:rsidRPr="00F2403E">
              <w:t>Acknowledge privilege and critically reflect on the knowledge, values, attitudes, biases and traditions they bring to their practice. Work towards culturally capable practice.</w:t>
            </w:r>
          </w:p>
        </w:tc>
      </w:tr>
      <w:tr w:rsidR="00377741" w14:paraId="7CFE9A84" w14:textId="77777777" w:rsidTr="00C85375">
        <w:trPr>
          <w:cnfStyle w:val="000000100000" w:firstRow="0" w:lastRow="0" w:firstColumn="0" w:lastColumn="0" w:oddVBand="0" w:evenVBand="0" w:oddHBand="1" w:evenHBand="0" w:firstRowFirstColumn="0" w:firstRowLastColumn="0" w:lastRowFirstColumn="0" w:lastRowLastColumn="0"/>
        </w:trPr>
        <w:tc>
          <w:tcPr>
            <w:tcW w:w="4248" w:type="dxa"/>
          </w:tcPr>
          <w:p w14:paraId="5E74D9C0" w14:textId="14589660" w:rsidR="00377741" w:rsidRDefault="00377741" w:rsidP="009462AB">
            <w:pPr>
              <w:pStyle w:val="Tablecolhead"/>
            </w:pPr>
            <w:r w:rsidRPr="00F2403E">
              <w:t>Knowledge</w:t>
            </w:r>
          </w:p>
        </w:tc>
        <w:tc>
          <w:tcPr>
            <w:tcW w:w="5581" w:type="dxa"/>
          </w:tcPr>
          <w:p w14:paraId="43D28659" w14:textId="38FC3025" w:rsidR="00377741" w:rsidRDefault="00377741" w:rsidP="009462AB">
            <w:pPr>
              <w:pStyle w:val="Tabletext"/>
              <w:rPr>
                <w:rFonts w:cs="Arial"/>
                <w:szCs w:val="21"/>
              </w:rPr>
            </w:pPr>
            <w:r w:rsidRPr="00F2403E">
              <w:t>Understand what cultural capability means to Aboriginal service users and workers. Understand intergenerational strength and seek out how each Aboriginal service user connects to culture.</w:t>
            </w:r>
          </w:p>
        </w:tc>
        <w:tc>
          <w:tcPr>
            <w:tcW w:w="5581" w:type="dxa"/>
          </w:tcPr>
          <w:p w14:paraId="7E78D7E0" w14:textId="7ED13A33" w:rsidR="00377741" w:rsidRDefault="00377741" w:rsidP="009462AB">
            <w:pPr>
              <w:pStyle w:val="Tabletext"/>
              <w:rPr>
                <w:rFonts w:cs="Arial"/>
                <w:szCs w:val="21"/>
              </w:rPr>
            </w:pPr>
            <w:r w:rsidRPr="00F2403E">
              <w:t xml:space="preserve">Understand the full range of service user and community diversity and the principles and practices of cultural responsiveness. </w:t>
            </w:r>
          </w:p>
        </w:tc>
      </w:tr>
    </w:tbl>
    <w:p w14:paraId="0677B9C1" w14:textId="4533CA2E" w:rsidR="00BB39C3" w:rsidRDefault="00BB39C3" w:rsidP="00D551B9">
      <w:pPr>
        <w:pStyle w:val="Body"/>
        <w:rPr>
          <w:rFonts w:cs="Arial"/>
          <w:szCs w:val="21"/>
        </w:rPr>
      </w:pPr>
    </w:p>
    <w:p w14:paraId="6EE02A96" w14:textId="77777777" w:rsidR="00BB39C3" w:rsidRDefault="00BB39C3">
      <w:pPr>
        <w:spacing w:after="0" w:line="240" w:lineRule="auto"/>
        <w:rPr>
          <w:rFonts w:eastAsia="Times" w:cs="Arial"/>
          <w:szCs w:val="21"/>
        </w:rPr>
      </w:pPr>
      <w:r>
        <w:rPr>
          <w:rFonts w:cs="Arial"/>
          <w:szCs w:val="21"/>
        </w:rPr>
        <w:br w:type="page"/>
      </w:r>
    </w:p>
    <w:p w14:paraId="0DA13519" w14:textId="5A07B916" w:rsidR="00945C45" w:rsidRDefault="00BB39C3" w:rsidP="008D66F6">
      <w:pPr>
        <w:pStyle w:val="Heading3"/>
      </w:pPr>
      <w:r>
        <w:lastRenderedPageBreak/>
        <w:t>2.4</w:t>
      </w:r>
      <w:r w:rsidR="004418C3" w:rsidRPr="0015533F">
        <w:t xml:space="preserve"> </w:t>
      </w:r>
      <w:r w:rsidR="00945C45" w:rsidRPr="004418C3">
        <w:t xml:space="preserve">Holistic and </w:t>
      </w:r>
      <w:bookmarkEnd w:id="37"/>
      <w:r w:rsidR="00636A53">
        <w:t>e</w:t>
      </w:r>
      <w:r w:rsidR="00945C45" w:rsidRPr="004418C3">
        <w:t xml:space="preserve">thical </w:t>
      </w:r>
      <w:r w:rsidR="00636A53">
        <w:t>p</w:t>
      </w:r>
      <w:r w:rsidR="00945C45" w:rsidRPr="004418C3">
        <w:t>ractice</w:t>
      </w:r>
    </w:p>
    <w:p w14:paraId="7C7EB49A" w14:textId="2FFC16E6" w:rsidR="00945C45" w:rsidRDefault="00945C45" w:rsidP="00E929D4">
      <w:pPr>
        <w:pStyle w:val="Body"/>
      </w:pPr>
      <w:r w:rsidRPr="00A36FB6">
        <w:rPr>
          <w:b/>
          <w:bCs/>
        </w:rPr>
        <w:t>Foundational Learning Outcome:</w:t>
      </w:r>
      <w:r w:rsidRPr="00A36FB6">
        <w:rPr>
          <w:i/>
          <w:iCs/>
        </w:rPr>
        <w:t xml:space="preserve"> </w:t>
      </w:r>
      <w:r w:rsidRPr="00A560E1">
        <w:t>Graduates have a broad understanding of professional ethics and practice approaches across the community and social services sector and can practice in holistic and ethically responsible ways.</w:t>
      </w:r>
    </w:p>
    <w:tbl>
      <w:tblPr>
        <w:tblStyle w:val="CASSGP"/>
        <w:tblW w:w="0" w:type="auto"/>
        <w:tblLook w:val="04A0" w:firstRow="1" w:lastRow="0" w:firstColumn="1" w:lastColumn="0" w:noHBand="0" w:noVBand="1"/>
      </w:tblPr>
      <w:tblGrid>
        <w:gridCol w:w="1980"/>
        <w:gridCol w:w="2422"/>
        <w:gridCol w:w="2201"/>
        <w:gridCol w:w="2201"/>
        <w:gridCol w:w="2202"/>
        <w:gridCol w:w="2202"/>
        <w:gridCol w:w="2202"/>
      </w:tblGrid>
      <w:tr w:rsidR="00A560E1" w14:paraId="3358C05E" w14:textId="77777777" w:rsidTr="000676EC">
        <w:trPr>
          <w:cnfStyle w:val="100000000000" w:firstRow="1" w:lastRow="0" w:firstColumn="0" w:lastColumn="0" w:oddVBand="0" w:evenVBand="0" w:oddHBand="0" w:evenHBand="0" w:firstRowFirstColumn="0" w:firstRowLastColumn="0" w:lastRowFirstColumn="0" w:lastRowLastColumn="0"/>
          <w:tblHeader/>
        </w:trPr>
        <w:tc>
          <w:tcPr>
            <w:tcW w:w="1980" w:type="dxa"/>
          </w:tcPr>
          <w:p w14:paraId="69DD06E0" w14:textId="77777777" w:rsidR="00A560E1" w:rsidRPr="00967D32" w:rsidRDefault="00A560E1" w:rsidP="000676EC">
            <w:pPr>
              <w:pStyle w:val="Tablecolheadwhite"/>
              <w:rPr>
                <w:b/>
                <w:bCs/>
              </w:rPr>
            </w:pPr>
            <w:r w:rsidRPr="00967D32">
              <w:rPr>
                <w:b/>
                <w:bCs/>
              </w:rPr>
              <w:t>Dimensions</w:t>
            </w:r>
          </w:p>
          <w:p w14:paraId="13B0A766" w14:textId="5F5DABCB" w:rsidR="00A560E1" w:rsidRPr="00967D32" w:rsidRDefault="00A560E1" w:rsidP="000676EC">
            <w:pPr>
              <w:pStyle w:val="Tabletext"/>
              <w:rPr>
                <w:b w:val="0"/>
              </w:rPr>
            </w:pPr>
            <w:r w:rsidRPr="00967D32">
              <w:rPr>
                <w:b w:val="0"/>
              </w:rPr>
              <w:t>This is evident when graduates can understand the learning areas.</w:t>
            </w:r>
          </w:p>
        </w:tc>
        <w:tc>
          <w:tcPr>
            <w:tcW w:w="2422" w:type="dxa"/>
          </w:tcPr>
          <w:p w14:paraId="7B12BD68" w14:textId="604E6232" w:rsidR="00A560E1" w:rsidRPr="00967D32" w:rsidRDefault="00A560E1" w:rsidP="000676EC">
            <w:pPr>
              <w:pStyle w:val="Tablecolheadwhite"/>
              <w:rPr>
                <w:b/>
                <w:bCs/>
              </w:rPr>
            </w:pPr>
            <w:r w:rsidRPr="00967D32">
              <w:rPr>
                <w:b/>
                <w:bCs/>
              </w:rPr>
              <w:t xml:space="preserve">Learning </w:t>
            </w:r>
            <w:r w:rsidR="000461C4" w:rsidRPr="00967D32">
              <w:rPr>
                <w:b/>
                <w:bCs/>
              </w:rPr>
              <w:t>a</w:t>
            </w:r>
            <w:r w:rsidRPr="00967D32">
              <w:rPr>
                <w:b/>
                <w:bCs/>
              </w:rPr>
              <w:t>rea: Rights-based, person-centred and strengths-focused practice</w:t>
            </w:r>
          </w:p>
        </w:tc>
        <w:tc>
          <w:tcPr>
            <w:tcW w:w="2201" w:type="dxa"/>
          </w:tcPr>
          <w:p w14:paraId="18F93851" w14:textId="128DC935" w:rsidR="00A560E1" w:rsidRPr="00967D32" w:rsidRDefault="002D6E54" w:rsidP="000676EC">
            <w:pPr>
              <w:pStyle w:val="Tablecolheadwhite"/>
              <w:rPr>
                <w:b/>
                <w:bCs/>
              </w:rPr>
            </w:pPr>
            <w:r w:rsidRPr="00967D32">
              <w:rPr>
                <w:b/>
                <w:bCs/>
              </w:rPr>
              <w:t xml:space="preserve">Learning </w:t>
            </w:r>
            <w:r w:rsidR="000461C4" w:rsidRPr="00967D32">
              <w:rPr>
                <w:b/>
                <w:bCs/>
              </w:rPr>
              <w:t>a</w:t>
            </w:r>
            <w:r w:rsidRPr="00967D32">
              <w:rPr>
                <w:b/>
                <w:bCs/>
              </w:rPr>
              <w:t xml:space="preserve">rea: </w:t>
            </w:r>
            <w:r w:rsidR="00A560E1" w:rsidRPr="00967D32">
              <w:rPr>
                <w:b/>
                <w:bCs/>
              </w:rPr>
              <w:t>Trauma responsive practice</w:t>
            </w:r>
          </w:p>
        </w:tc>
        <w:tc>
          <w:tcPr>
            <w:tcW w:w="2201" w:type="dxa"/>
          </w:tcPr>
          <w:p w14:paraId="2BF246E1" w14:textId="39CEE48D" w:rsidR="00A560E1" w:rsidRPr="00967D32" w:rsidRDefault="002D6E54" w:rsidP="000676EC">
            <w:pPr>
              <w:pStyle w:val="Tablecolheadwhite"/>
              <w:rPr>
                <w:b/>
                <w:bCs/>
              </w:rPr>
            </w:pPr>
            <w:r w:rsidRPr="00967D32">
              <w:rPr>
                <w:b/>
                <w:bCs/>
              </w:rPr>
              <w:t xml:space="preserve">Learning </w:t>
            </w:r>
            <w:r w:rsidR="000461C4" w:rsidRPr="00967D32">
              <w:rPr>
                <w:b/>
                <w:bCs/>
              </w:rPr>
              <w:t>a</w:t>
            </w:r>
            <w:r w:rsidRPr="00967D32">
              <w:rPr>
                <w:b/>
                <w:bCs/>
              </w:rPr>
              <w:t xml:space="preserve">rea: </w:t>
            </w:r>
            <w:r w:rsidR="00A560E1" w:rsidRPr="00967D32">
              <w:rPr>
                <w:b/>
                <w:bCs/>
              </w:rPr>
              <w:t>Working with an intersectional lens</w:t>
            </w:r>
          </w:p>
        </w:tc>
        <w:tc>
          <w:tcPr>
            <w:tcW w:w="2202" w:type="dxa"/>
          </w:tcPr>
          <w:p w14:paraId="0895FC36" w14:textId="3F79E9F8" w:rsidR="00A560E1" w:rsidRPr="00967D32" w:rsidRDefault="002D6E54" w:rsidP="000676EC">
            <w:pPr>
              <w:pStyle w:val="Tablecolheadwhite"/>
              <w:rPr>
                <w:b/>
                <w:bCs/>
              </w:rPr>
            </w:pPr>
            <w:r w:rsidRPr="00967D32">
              <w:rPr>
                <w:b/>
                <w:bCs/>
              </w:rPr>
              <w:t xml:space="preserve">Learning </w:t>
            </w:r>
            <w:r w:rsidR="000461C4" w:rsidRPr="00967D32">
              <w:rPr>
                <w:b/>
                <w:bCs/>
              </w:rPr>
              <w:t>a</w:t>
            </w:r>
            <w:r w:rsidRPr="00967D32">
              <w:rPr>
                <w:b/>
                <w:bCs/>
              </w:rPr>
              <w:t xml:space="preserve">rea: </w:t>
            </w:r>
            <w:r w:rsidR="00A560E1" w:rsidRPr="00967D32">
              <w:rPr>
                <w:b/>
                <w:bCs/>
              </w:rPr>
              <w:t>Ethical decision-making in practice</w:t>
            </w:r>
          </w:p>
        </w:tc>
        <w:tc>
          <w:tcPr>
            <w:tcW w:w="2202" w:type="dxa"/>
          </w:tcPr>
          <w:p w14:paraId="7CF94841" w14:textId="150107BA" w:rsidR="00A560E1" w:rsidRPr="00967D32" w:rsidRDefault="002D6E54" w:rsidP="000676EC">
            <w:pPr>
              <w:pStyle w:val="Tablecolheadwhite"/>
              <w:rPr>
                <w:b/>
                <w:bCs/>
              </w:rPr>
            </w:pPr>
            <w:r w:rsidRPr="00967D32">
              <w:rPr>
                <w:b/>
                <w:bCs/>
              </w:rPr>
              <w:t xml:space="preserve">Learning </w:t>
            </w:r>
            <w:r w:rsidR="000461C4" w:rsidRPr="00967D32">
              <w:rPr>
                <w:b/>
                <w:bCs/>
              </w:rPr>
              <w:t>a</w:t>
            </w:r>
            <w:r w:rsidRPr="00967D32">
              <w:rPr>
                <w:b/>
                <w:bCs/>
              </w:rPr>
              <w:t xml:space="preserve">rea: </w:t>
            </w:r>
            <w:r w:rsidR="00A560E1" w:rsidRPr="00967D32">
              <w:rPr>
                <w:b/>
                <w:bCs/>
              </w:rPr>
              <w:t>Managing risk</w:t>
            </w:r>
          </w:p>
        </w:tc>
        <w:tc>
          <w:tcPr>
            <w:tcW w:w="2202" w:type="dxa"/>
          </w:tcPr>
          <w:p w14:paraId="0255DF00" w14:textId="791E7271" w:rsidR="00A560E1" w:rsidRPr="00967D32" w:rsidRDefault="002D6E54" w:rsidP="000676EC">
            <w:pPr>
              <w:pStyle w:val="Tablecolheadwhite"/>
              <w:rPr>
                <w:b/>
                <w:bCs/>
              </w:rPr>
            </w:pPr>
            <w:r w:rsidRPr="00967D32">
              <w:rPr>
                <w:b/>
                <w:bCs/>
              </w:rPr>
              <w:t xml:space="preserve">Learning </w:t>
            </w:r>
            <w:r w:rsidR="000461C4" w:rsidRPr="00967D32">
              <w:rPr>
                <w:b/>
                <w:bCs/>
              </w:rPr>
              <w:t>a</w:t>
            </w:r>
            <w:r w:rsidRPr="00967D32">
              <w:rPr>
                <w:b/>
                <w:bCs/>
              </w:rPr>
              <w:t xml:space="preserve">rea: </w:t>
            </w:r>
            <w:r w:rsidR="00A560E1" w:rsidRPr="00967D32">
              <w:rPr>
                <w:b/>
                <w:bCs/>
              </w:rPr>
              <w:t>Outcomes focus</w:t>
            </w:r>
          </w:p>
        </w:tc>
      </w:tr>
      <w:tr w:rsidR="003C1058" w14:paraId="79980449" w14:textId="77777777" w:rsidTr="004F5A57">
        <w:trPr>
          <w:cnfStyle w:val="000000100000" w:firstRow="0" w:lastRow="0" w:firstColumn="0" w:lastColumn="0" w:oddVBand="0" w:evenVBand="0" w:oddHBand="1" w:evenHBand="0" w:firstRowFirstColumn="0" w:firstRowLastColumn="0" w:lastRowFirstColumn="0" w:lastRowLastColumn="0"/>
        </w:trPr>
        <w:tc>
          <w:tcPr>
            <w:tcW w:w="1980" w:type="dxa"/>
            <w:vAlign w:val="center"/>
          </w:tcPr>
          <w:p w14:paraId="6ED8A6EC" w14:textId="12B43138" w:rsidR="003C1058" w:rsidRDefault="003C1058" w:rsidP="000676EC">
            <w:pPr>
              <w:pStyle w:val="Tablecolhead"/>
              <w:rPr>
                <w:szCs w:val="21"/>
              </w:rPr>
            </w:pPr>
            <w:r w:rsidRPr="00BF51BB">
              <w:t>Knowledge</w:t>
            </w:r>
          </w:p>
        </w:tc>
        <w:tc>
          <w:tcPr>
            <w:tcW w:w="2422" w:type="dxa"/>
          </w:tcPr>
          <w:p w14:paraId="0888953D" w14:textId="230BD6D9" w:rsidR="003C1058" w:rsidRPr="000676EC" w:rsidRDefault="003C1058" w:rsidP="000676EC">
            <w:pPr>
              <w:pStyle w:val="Tabletext"/>
            </w:pPr>
            <w:r w:rsidRPr="000676EC">
              <w:t>Understand the concepts of rights-based, person-centred, and strengths-based practice and recognise these in their organisation’s models.</w:t>
            </w:r>
          </w:p>
        </w:tc>
        <w:tc>
          <w:tcPr>
            <w:tcW w:w="2201" w:type="dxa"/>
          </w:tcPr>
          <w:p w14:paraId="7AD1EF0B" w14:textId="183DF988" w:rsidR="003C1058" w:rsidRPr="000676EC" w:rsidRDefault="003C1058" w:rsidP="000676EC">
            <w:pPr>
              <w:pStyle w:val="Tabletext"/>
            </w:pPr>
            <w:r w:rsidRPr="000676EC">
              <w:t>Demonstrate an understanding of the impacts of trauma, including intergenerational trauma, and trauma responsive practice. </w:t>
            </w:r>
          </w:p>
        </w:tc>
        <w:tc>
          <w:tcPr>
            <w:tcW w:w="2201" w:type="dxa"/>
          </w:tcPr>
          <w:p w14:paraId="62CC6770" w14:textId="1C9AA0D0" w:rsidR="003C1058" w:rsidRPr="000676EC" w:rsidRDefault="003C1058" w:rsidP="000676EC">
            <w:pPr>
              <w:pStyle w:val="Tabletext"/>
            </w:pPr>
            <w:r w:rsidRPr="000676EC">
              <w:t xml:space="preserve">Understand the ways in which different aspects of a person’s identity expose them to discrimination and marginalisation. </w:t>
            </w:r>
          </w:p>
        </w:tc>
        <w:tc>
          <w:tcPr>
            <w:tcW w:w="2202" w:type="dxa"/>
          </w:tcPr>
          <w:p w14:paraId="56A92A00" w14:textId="73180D32" w:rsidR="003C1058" w:rsidRPr="000676EC" w:rsidRDefault="003C1058" w:rsidP="000676EC">
            <w:pPr>
              <w:pStyle w:val="Tabletext"/>
            </w:pPr>
            <w:r w:rsidRPr="000676EC">
              <w:t>Articulate the principles of ethical decision-making.</w:t>
            </w:r>
          </w:p>
        </w:tc>
        <w:tc>
          <w:tcPr>
            <w:tcW w:w="2202" w:type="dxa"/>
          </w:tcPr>
          <w:p w14:paraId="32BD1492" w14:textId="7CBF3BDC" w:rsidR="003C1058" w:rsidRPr="000676EC" w:rsidRDefault="003C1058" w:rsidP="000676EC">
            <w:pPr>
              <w:pStyle w:val="Tabletext"/>
            </w:pPr>
            <w:r w:rsidRPr="000676EC">
              <w:t>Demonstrate working knowledge of the principles, frameworks and best practices for managing risks in practice.</w:t>
            </w:r>
          </w:p>
        </w:tc>
        <w:tc>
          <w:tcPr>
            <w:tcW w:w="2202" w:type="dxa"/>
          </w:tcPr>
          <w:p w14:paraId="1ACB0553" w14:textId="4F685B23" w:rsidR="003C1058" w:rsidRPr="000676EC" w:rsidRDefault="003C1058" w:rsidP="000676EC">
            <w:pPr>
              <w:pStyle w:val="Tabletext"/>
            </w:pPr>
            <w:r w:rsidRPr="000676EC">
              <w:t>Understand key performance indicators and outcome-based frameworks relevant to service delivery.</w:t>
            </w:r>
          </w:p>
        </w:tc>
      </w:tr>
      <w:tr w:rsidR="003C1058" w14:paraId="06E8D195" w14:textId="77777777" w:rsidTr="004F5A57">
        <w:tc>
          <w:tcPr>
            <w:tcW w:w="1980" w:type="dxa"/>
            <w:vAlign w:val="center"/>
          </w:tcPr>
          <w:p w14:paraId="57E95B21" w14:textId="25D0FA40" w:rsidR="003C1058" w:rsidRDefault="003C1058" w:rsidP="000676EC">
            <w:pPr>
              <w:pStyle w:val="Tablecolhead"/>
              <w:rPr>
                <w:szCs w:val="21"/>
              </w:rPr>
            </w:pPr>
            <w:r w:rsidRPr="00BF51BB">
              <w:t>Skills </w:t>
            </w:r>
          </w:p>
        </w:tc>
        <w:tc>
          <w:tcPr>
            <w:tcW w:w="2422" w:type="dxa"/>
          </w:tcPr>
          <w:p w14:paraId="2E59EF82" w14:textId="31925D2C" w:rsidR="003C1058" w:rsidRPr="000676EC" w:rsidRDefault="003C1058" w:rsidP="000676EC">
            <w:pPr>
              <w:pStyle w:val="Tabletext"/>
            </w:pPr>
            <w:r w:rsidRPr="000676EC">
              <w:t>Apply these principles in their practice, in line with their organisation’s practice approaches. </w:t>
            </w:r>
          </w:p>
        </w:tc>
        <w:tc>
          <w:tcPr>
            <w:tcW w:w="2201" w:type="dxa"/>
          </w:tcPr>
          <w:p w14:paraId="4B4624FE" w14:textId="570D2D69" w:rsidR="003C1058" w:rsidRPr="000676EC" w:rsidRDefault="003C1058" w:rsidP="000676EC">
            <w:pPr>
              <w:pStyle w:val="Tabletext"/>
            </w:pPr>
            <w:r w:rsidRPr="000676EC">
              <w:t>Apply trauma responsive strategies to support service users in their practice. </w:t>
            </w:r>
          </w:p>
        </w:tc>
        <w:tc>
          <w:tcPr>
            <w:tcW w:w="2201" w:type="dxa"/>
          </w:tcPr>
          <w:p w14:paraId="5D060B26" w14:textId="2F93F97A" w:rsidR="003C1058" w:rsidRPr="000676EC" w:rsidRDefault="003C1058" w:rsidP="000676EC">
            <w:pPr>
              <w:pStyle w:val="Tabletext"/>
            </w:pPr>
            <w:r w:rsidRPr="000676EC">
              <w:t>Apply an intersectional lens in routine practice situations. </w:t>
            </w:r>
          </w:p>
        </w:tc>
        <w:tc>
          <w:tcPr>
            <w:tcW w:w="2202" w:type="dxa"/>
          </w:tcPr>
          <w:p w14:paraId="4BE699B4" w14:textId="5AD6791D" w:rsidR="003C1058" w:rsidRPr="000676EC" w:rsidRDefault="003C1058" w:rsidP="000676EC">
            <w:pPr>
              <w:pStyle w:val="Tabletext"/>
            </w:pPr>
            <w:r w:rsidRPr="000676EC">
              <w:t>Apply ethical reasoning in routine practice situations.</w:t>
            </w:r>
          </w:p>
        </w:tc>
        <w:tc>
          <w:tcPr>
            <w:tcW w:w="2202" w:type="dxa"/>
          </w:tcPr>
          <w:p w14:paraId="68A3739E" w14:textId="70F1256C" w:rsidR="003C1058" w:rsidRPr="000676EC" w:rsidRDefault="003C1058" w:rsidP="000676EC">
            <w:pPr>
              <w:pStyle w:val="Tabletext"/>
            </w:pPr>
            <w:r w:rsidRPr="000676EC">
              <w:t>Use risk assessment skills and sources of expertise to identify and analyse presenting risks in practice.</w:t>
            </w:r>
          </w:p>
        </w:tc>
        <w:tc>
          <w:tcPr>
            <w:tcW w:w="2202" w:type="dxa"/>
          </w:tcPr>
          <w:p w14:paraId="61975D72" w14:textId="6E35A2E8" w:rsidR="003C1058" w:rsidRPr="000676EC" w:rsidRDefault="003C1058" w:rsidP="000676EC">
            <w:pPr>
              <w:pStyle w:val="Tabletext"/>
            </w:pPr>
            <w:r w:rsidRPr="000676EC">
              <w:t>Apply work planning and time management skills to meet efficiency and quality outcomes.</w:t>
            </w:r>
          </w:p>
        </w:tc>
      </w:tr>
      <w:tr w:rsidR="003C1058" w14:paraId="3A20C4EA" w14:textId="77777777" w:rsidTr="004F5A57">
        <w:trPr>
          <w:cnfStyle w:val="000000100000" w:firstRow="0" w:lastRow="0" w:firstColumn="0" w:lastColumn="0" w:oddVBand="0" w:evenVBand="0" w:oddHBand="1" w:evenHBand="0" w:firstRowFirstColumn="0" w:firstRowLastColumn="0" w:lastRowFirstColumn="0" w:lastRowLastColumn="0"/>
        </w:trPr>
        <w:tc>
          <w:tcPr>
            <w:tcW w:w="1980" w:type="dxa"/>
            <w:vAlign w:val="center"/>
          </w:tcPr>
          <w:p w14:paraId="2CBCFB93" w14:textId="5D1D38F9" w:rsidR="003C1058" w:rsidRDefault="003C1058" w:rsidP="000676EC">
            <w:pPr>
              <w:pStyle w:val="Tablecolhead"/>
              <w:rPr>
                <w:szCs w:val="21"/>
              </w:rPr>
            </w:pPr>
            <w:r w:rsidRPr="00BF51BB">
              <w:t>Professional judgement </w:t>
            </w:r>
          </w:p>
        </w:tc>
        <w:tc>
          <w:tcPr>
            <w:tcW w:w="2422" w:type="dxa"/>
          </w:tcPr>
          <w:p w14:paraId="690C03F3" w14:textId="039283C8" w:rsidR="003C1058" w:rsidRPr="000676EC" w:rsidRDefault="003C1058" w:rsidP="000676EC">
            <w:pPr>
              <w:pStyle w:val="Tabletext"/>
            </w:pPr>
            <w:r w:rsidRPr="000676EC">
              <w:t>Promote service users’ rights, self-determination, and strengths in their practice. </w:t>
            </w:r>
          </w:p>
        </w:tc>
        <w:tc>
          <w:tcPr>
            <w:tcW w:w="2201" w:type="dxa"/>
          </w:tcPr>
          <w:p w14:paraId="0D008168" w14:textId="26D6308D" w:rsidR="003C1058" w:rsidRPr="000676EC" w:rsidRDefault="003C1058" w:rsidP="000676EC">
            <w:pPr>
              <w:pStyle w:val="Tabletext"/>
            </w:pPr>
            <w:r w:rsidRPr="000676EC">
              <w:t>Make decisions that are sensitive to experiences of trauma and intergenerational trauma, prioritising service user safety, cultural integrity and wellbeing.</w:t>
            </w:r>
          </w:p>
        </w:tc>
        <w:tc>
          <w:tcPr>
            <w:tcW w:w="2201" w:type="dxa"/>
          </w:tcPr>
          <w:p w14:paraId="67713D7C" w14:textId="0211611A" w:rsidR="003C1058" w:rsidRPr="000676EC" w:rsidRDefault="003C1058" w:rsidP="000676EC">
            <w:pPr>
              <w:pStyle w:val="Tabletext"/>
            </w:pPr>
            <w:r w:rsidRPr="000676EC">
              <w:t>Make decisions guided by understanding of intersectionality.</w:t>
            </w:r>
          </w:p>
        </w:tc>
        <w:tc>
          <w:tcPr>
            <w:tcW w:w="2202" w:type="dxa"/>
          </w:tcPr>
          <w:p w14:paraId="7E509B8E" w14:textId="6FC6C7AF" w:rsidR="003C1058" w:rsidRPr="000676EC" w:rsidRDefault="003C1058" w:rsidP="000676EC">
            <w:pPr>
              <w:pStyle w:val="Tabletext"/>
            </w:pPr>
            <w:r w:rsidRPr="000676EC">
              <w:t>Identify ethical dilemmas in their practice and readily seek support in their decision making in these situations. </w:t>
            </w:r>
          </w:p>
        </w:tc>
        <w:tc>
          <w:tcPr>
            <w:tcW w:w="2202" w:type="dxa"/>
          </w:tcPr>
          <w:p w14:paraId="756C8ACC" w14:textId="37E768FB" w:rsidR="003C1058" w:rsidRPr="000676EC" w:rsidRDefault="003C1058" w:rsidP="000676EC">
            <w:pPr>
              <w:pStyle w:val="Tabletext"/>
            </w:pPr>
            <w:r w:rsidRPr="000676EC">
              <w:t>Make evidence and expertise informed decisions that balance identified risks with potential benefits for service users, their organisation and the community.</w:t>
            </w:r>
          </w:p>
        </w:tc>
        <w:tc>
          <w:tcPr>
            <w:tcW w:w="2202" w:type="dxa"/>
          </w:tcPr>
          <w:p w14:paraId="6015A9D2" w14:textId="43B33F06" w:rsidR="003C1058" w:rsidRPr="000676EC" w:rsidRDefault="003C1058" w:rsidP="000676EC">
            <w:pPr>
              <w:pStyle w:val="Tabletext"/>
            </w:pPr>
            <w:r w:rsidRPr="000676EC">
              <w:t xml:space="preserve">Set and continually adjust work priorities and strategies to meet changing needs. </w:t>
            </w:r>
          </w:p>
        </w:tc>
      </w:tr>
      <w:tr w:rsidR="003C1058" w14:paraId="435FF2FB" w14:textId="77777777" w:rsidTr="004F5A57">
        <w:tc>
          <w:tcPr>
            <w:tcW w:w="1980" w:type="dxa"/>
            <w:vAlign w:val="center"/>
          </w:tcPr>
          <w:p w14:paraId="162F26DE" w14:textId="451F8C7C" w:rsidR="003C1058" w:rsidRDefault="003C1058" w:rsidP="000676EC">
            <w:pPr>
              <w:pStyle w:val="Tablecolhead"/>
              <w:rPr>
                <w:szCs w:val="21"/>
              </w:rPr>
            </w:pPr>
            <w:r w:rsidRPr="00BF51BB">
              <w:t>Self-management</w:t>
            </w:r>
          </w:p>
        </w:tc>
        <w:tc>
          <w:tcPr>
            <w:tcW w:w="2422" w:type="dxa"/>
          </w:tcPr>
          <w:p w14:paraId="29F2CEAB" w14:textId="22D2D9F6" w:rsidR="003C1058" w:rsidRPr="000676EC" w:rsidRDefault="003C1058" w:rsidP="000676EC">
            <w:pPr>
              <w:pStyle w:val="Tabletext"/>
            </w:pPr>
            <w:r w:rsidRPr="000676EC">
              <w:t>Critically reflect on their practice from rights-based, person-centred, and strengths-based practice perspectives and continually improve their reflexive stance in practice.</w:t>
            </w:r>
          </w:p>
        </w:tc>
        <w:tc>
          <w:tcPr>
            <w:tcW w:w="2201" w:type="dxa"/>
          </w:tcPr>
          <w:p w14:paraId="62EF3C8D" w14:textId="0E0084CB" w:rsidR="003C1058" w:rsidRPr="000676EC" w:rsidRDefault="003C1058" w:rsidP="000676EC">
            <w:pPr>
              <w:pStyle w:val="Tabletext"/>
            </w:pPr>
            <w:r w:rsidRPr="000676EC">
              <w:t xml:space="preserve">Critically reflect </w:t>
            </w:r>
            <w:proofErr w:type="gramStart"/>
            <w:r w:rsidRPr="000676EC">
              <w:t>on, and</w:t>
            </w:r>
            <w:proofErr w:type="gramEnd"/>
            <w:r w:rsidRPr="000676EC">
              <w:t xml:space="preserve"> continually improve their trauma responsive practices supported by ongoing learning and supervisory feedback.</w:t>
            </w:r>
          </w:p>
        </w:tc>
        <w:tc>
          <w:tcPr>
            <w:tcW w:w="2201" w:type="dxa"/>
          </w:tcPr>
          <w:p w14:paraId="0EF2E38A" w14:textId="44F30BBB" w:rsidR="003C1058" w:rsidRPr="000676EC" w:rsidRDefault="003C1058" w:rsidP="000676EC">
            <w:pPr>
              <w:pStyle w:val="Tabletext"/>
            </w:pPr>
            <w:r w:rsidRPr="000676EC">
              <w:t>Critically reflect on how their own social and political identities and unconscious biases impact their practice.</w:t>
            </w:r>
          </w:p>
        </w:tc>
        <w:tc>
          <w:tcPr>
            <w:tcW w:w="2202" w:type="dxa"/>
          </w:tcPr>
          <w:p w14:paraId="170FD158" w14:textId="3B15D050" w:rsidR="003C1058" w:rsidRPr="000676EC" w:rsidRDefault="003C1058" w:rsidP="000676EC">
            <w:pPr>
              <w:pStyle w:val="Tabletext"/>
            </w:pPr>
            <w:r w:rsidRPr="000676EC">
              <w:t>Critically reflect on ethical dilemmas as part of their professional supervision and continually improve their ethical reflection.</w:t>
            </w:r>
          </w:p>
        </w:tc>
        <w:tc>
          <w:tcPr>
            <w:tcW w:w="2202" w:type="dxa"/>
          </w:tcPr>
          <w:p w14:paraId="54DED6E3" w14:textId="4EE55C90" w:rsidR="003C1058" w:rsidRPr="000676EC" w:rsidRDefault="003C1058" w:rsidP="000676EC">
            <w:pPr>
              <w:pStyle w:val="Tabletext"/>
            </w:pPr>
            <w:r w:rsidRPr="000676EC">
              <w:t>Critically reflect on personal biases, assumptions and emotional responses in different risk situations to continually improve risk management.</w:t>
            </w:r>
          </w:p>
        </w:tc>
        <w:tc>
          <w:tcPr>
            <w:tcW w:w="2202" w:type="dxa"/>
          </w:tcPr>
          <w:p w14:paraId="03E6ABF8" w14:textId="501CCF70" w:rsidR="003C1058" w:rsidRPr="000676EC" w:rsidRDefault="003C1058" w:rsidP="000676EC">
            <w:pPr>
              <w:pStyle w:val="Tabletext"/>
            </w:pPr>
            <w:r w:rsidRPr="000676EC">
              <w:t>Continually reflect on, and improve workplace skills (e.g. personal organisation, prioritisation and time management) with a focus on desired work outcomes.</w:t>
            </w:r>
          </w:p>
        </w:tc>
      </w:tr>
    </w:tbl>
    <w:p w14:paraId="71872D7D" w14:textId="31DF9357" w:rsidR="00945C45" w:rsidRDefault="00152357" w:rsidP="008D66F6">
      <w:pPr>
        <w:pStyle w:val="Heading3"/>
      </w:pPr>
      <w:bookmarkStart w:id="38" w:name="_Toc176177721"/>
      <w:r>
        <w:lastRenderedPageBreak/>
        <w:t>2</w:t>
      </w:r>
      <w:r w:rsidR="0050082B" w:rsidRPr="00A87DB7">
        <w:t>.</w:t>
      </w:r>
      <w:r w:rsidR="0050082B">
        <w:t>5</w:t>
      </w:r>
      <w:r w:rsidR="0050082B" w:rsidRPr="00A87DB7">
        <w:t xml:space="preserve"> </w:t>
      </w:r>
      <w:r w:rsidR="00945C45" w:rsidRPr="0050082B">
        <w:t xml:space="preserve">Collaborative </w:t>
      </w:r>
      <w:bookmarkEnd w:id="38"/>
      <w:r w:rsidR="00D32399">
        <w:t>p</w:t>
      </w:r>
      <w:r w:rsidR="00945C45" w:rsidRPr="0050082B">
        <w:t>ractice </w:t>
      </w:r>
    </w:p>
    <w:p w14:paraId="3F85DD92" w14:textId="1E7D0359" w:rsidR="0050082B" w:rsidRPr="00A36FB6" w:rsidRDefault="0050082B" w:rsidP="00E929D4">
      <w:pPr>
        <w:pStyle w:val="Body"/>
        <w:rPr>
          <w:rFonts w:cs="Arial"/>
          <w:i/>
          <w:iCs/>
          <w:szCs w:val="21"/>
        </w:rPr>
      </w:pPr>
      <w:r w:rsidRPr="00CE65E8">
        <w:rPr>
          <w:b/>
          <w:bCs/>
        </w:rPr>
        <w:t>Foundational Learning Outcome:</w:t>
      </w:r>
      <w:r w:rsidRPr="00CE65E8">
        <w:rPr>
          <w:i/>
          <w:iCs/>
        </w:rPr>
        <w:t xml:space="preserve"> </w:t>
      </w:r>
      <w:r w:rsidRPr="004F5A57">
        <w:t xml:space="preserve">Graduates have a broad understanding of key roles and functions of the diverse range of services within the Victorian </w:t>
      </w:r>
      <w:r w:rsidRPr="004F5A57">
        <w:rPr>
          <w:rFonts w:cs="Arial"/>
          <w:szCs w:val="21"/>
        </w:rPr>
        <w:t>community and social services sector and can work collaboratively with service users and other workers to support an integrated approach to service delivery.</w:t>
      </w:r>
    </w:p>
    <w:tbl>
      <w:tblPr>
        <w:tblStyle w:val="CASSGP"/>
        <w:tblW w:w="0" w:type="auto"/>
        <w:tblLook w:val="04A0" w:firstRow="1" w:lastRow="0" w:firstColumn="1" w:lastColumn="0" w:noHBand="0" w:noVBand="1"/>
      </w:tblPr>
      <w:tblGrid>
        <w:gridCol w:w="1980"/>
        <w:gridCol w:w="3331"/>
        <w:gridCol w:w="3331"/>
        <w:gridCol w:w="3331"/>
        <w:gridCol w:w="3331"/>
      </w:tblGrid>
      <w:tr w:rsidR="002D6E54" w14:paraId="701BCE51" w14:textId="77777777" w:rsidTr="000676EC">
        <w:trPr>
          <w:cnfStyle w:val="100000000000" w:firstRow="1" w:lastRow="0" w:firstColumn="0" w:lastColumn="0" w:oddVBand="0" w:evenVBand="0" w:oddHBand="0" w:evenHBand="0" w:firstRowFirstColumn="0" w:firstRowLastColumn="0" w:lastRowFirstColumn="0" w:lastRowLastColumn="0"/>
          <w:tblHeader/>
        </w:trPr>
        <w:tc>
          <w:tcPr>
            <w:tcW w:w="1980" w:type="dxa"/>
          </w:tcPr>
          <w:p w14:paraId="1B7B941B" w14:textId="77777777" w:rsidR="002D6E54" w:rsidRPr="00967D32" w:rsidRDefault="002D6E54" w:rsidP="000676EC">
            <w:pPr>
              <w:pStyle w:val="Tablecolheadwhite"/>
              <w:rPr>
                <w:b/>
                <w:bCs/>
              </w:rPr>
            </w:pPr>
            <w:r w:rsidRPr="00967D32">
              <w:rPr>
                <w:b/>
                <w:bCs/>
              </w:rPr>
              <w:t>Dimensions</w:t>
            </w:r>
          </w:p>
          <w:p w14:paraId="6EED806F" w14:textId="77777777" w:rsidR="002D6E54" w:rsidRPr="00967D32" w:rsidRDefault="002D6E54" w:rsidP="000676EC">
            <w:pPr>
              <w:pStyle w:val="Tabletext"/>
              <w:rPr>
                <w:b w:val="0"/>
              </w:rPr>
            </w:pPr>
            <w:r w:rsidRPr="00967D32">
              <w:rPr>
                <w:b w:val="0"/>
              </w:rPr>
              <w:t>This is evident when graduates can understand the learning areas.</w:t>
            </w:r>
          </w:p>
        </w:tc>
        <w:tc>
          <w:tcPr>
            <w:tcW w:w="3331" w:type="dxa"/>
          </w:tcPr>
          <w:p w14:paraId="03EFCD7D" w14:textId="346047E7" w:rsidR="000461C4" w:rsidRPr="00967D32" w:rsidRDefault="002D6E54" w:rsidP="000676EC">
            <w:pPr>
              <w:pStyle w:val="Tablecolheadwhite"/>
              <w:rPr>
                <w:b/>
                <w:bCs/>
              </w:rPr>
            </w:pPr>
            <w:r w:rsidRPr="00967D32">
              <w:rPr>
                <w:b/>
                <w:bCs/>
              </w:rPr>
              <w:t xml:space="preserve">Learning </w:t>
            </w:r>
            <w:r w:rsidR="000461C4" w:rsidRPr="00967D32">
              <w:rPr>
                <w:b/>
                <w:bCs/>
              </w:rPr>
              <w:t>a</w:t>
            </w:r>
            <w:r w:rsidRPr="00967D32">
              <w:rPr>
                <w:b/>
                <w:bCs/>
              </w:rPr>
              <w:t xml:space="preserve">rea: </w:t>
            </w:r>
          </w:p>
          <w:p w14:paraId="28651E1C" w14:textId="2019416E" w:rsidR="002D6E54" w:rsidRPr="00967D32" w:rsidRDefault="002D6E54" w:rsidP="000676EC">
            <w:pPr>
              <w:pStyle w:val="Tablecolheadwhite"/>
              <w:rPr>
                <w:b/>
                <w:bCs/>
              </w:rPr>
            </w:pPr>
            <w:r w:rsidRPr="00967D32">
              <w:rPr>
                <w:b/>
                <w:bCs/>
              </w:rPr>
              <w:t>Collaborating across different systems, services and programs</w:t>
            </w:r>
          </w:p>
        </w:tc>
        <w:tc>
          <w:tcPr>
            <w:tcW w:w="3331" w:type="dxa"/>
          </w:tcPr>
          <w:p w14:paraId="36748B48" w14:textId="33AD62CE" w:rsidR="000461C4" w:rsidRPr="00967D32" w:rsidRDefault="002D6E54" w:rsidP="000676EC">
            <w:pPr>
              <w:pStyle w:val="Tablecolheadwhite"/>
              <w:rPr>
                <w:b/>
                <w:bCs/>
              </w:rPr>
            </w:pPr>
            <w:r w:rsidRPr="00967D32">
              <w:rPr>
                <w:b/>
                <w:bCs/>
              </w:rPr>
              <w:t xml:space="preserve">Learning </w:t>
            </w:r>
            <w:r w:rsidR="000461C4" w:rsidRPr="00967D32">
              <w:rPr>
                <w:b/>
                <w:bCs/>
              </w:rPr>
              <w:t>a</w:t>
            </w:r>
            <w:r w:rsidRPr="00967D32">
              <w:rPr>
                <w:b/>
                <w:bCs/>
              </w:rPr>
              <w:t xml:space="preserve">rea: </w:t>
            </w:r>
          </w:p>
          <w:p w14:paraId="4A40CE58" w14:textId="21AAF48D" w:rsidR="002D6E54" w:rsidRPr="00967D32" w:rsidRDefault="002D6E54" w:rsidP="000676EC">
            <w:pPr>
              <w:pStyle w:val="Tablecolheadwhite"/>
              <w:rPr>
                <w:b/>
                <w:bCs/>
              </w:rPr>
            </w:pPr>
            <w:r w:rsidRPr="00967D32">
              <w:rPr>
                <w:b/>
                <w:bCs/>
              </w:rPr>
              <w:t>Collaborating with service users and engaging lived experience</w:t>
            </w:r>
          </w:p>
        </w:tc>
        <w:tc>
          <w:tcPr>
            <w:tcW w:w="3331" w:type="dxa"/>
          </w:tcPr>
          <w:p w14:paraId="75270D4C" w14:textId="290591D5" w:rsidR="000461C4" w:rsidRPr="00967D32" w:rsidRDefault="002D6E54" w:rsidP="000676EC">
            <w:pPr>
              <w:pStyle w:val="Tablecolheadwhite"/>
              <w:rPr>
                <w:b/>
                <w:bCs/>
              </w:rPr>
            </w:pPr>
            <w:r w:rsidRPr="00967D32">
              <w:rPr>
                <w:b/>
                <w:bCs/>
              </w:rPr>
              <w:t xml:space="preserve">Learning </w:t>
            </w:r>
            <w:r w:rsidR="000461C4" w:rsidRPr="00967D32">
              <w:rPr>
                <w:b/>
                <w:bCs/>
              </w:rPr>
              <w:t>a</w:t>
            </w:r>
            <w:r w:rsidRPr="00967D32">
              <w:rPr>
                <w:b/>
                <w:bCs/>
              </w:rPr>
              <w:t xml:space="preserve">rea: </w:t>
            </w:r>
          </w:p>
          <w:p w14:paraId="3338EC52" w14:textId="30101CA1" w:rsidR="002D6E54" w:rsidRPr="00967D32" w:rsidRDefault="002D6E54" w:rsidP="000676EC">
            <w:pPr>
              <w:pStyle w:val="Tablecolheadwhite"/>
              <w:rPr>
                <w:b/>
                <w:bCs/>
              </w:rPr>
            </w:pPr>
            <w:r w:rsidRPr="00967D32">
              <w:rPr>
                <w:b/>
                <w:bCs/>
              </w:rPr>
              <w:t>Community resources and referral pathways</w:t>
            </w:r>
          </w:p>
        </w:tc>
        <w:tc>
          <w:tcPr>
            <w:tcW w:w="3331" w:type="dxa"/>
          </w:tcPr>
          <w:p w14:paraId="15AB8159" w14:textId="1E6A7262" w:rsidR="000461C4" w:rsidRPr="00967D32" w:rsidRDefault="002D6E54" w:rsidP="000676EC">
            <w:pPr>
              <w:pStyle w:val="Tablecolheadwhite"/>
              <w:rPr>
                <w:b/>
                <w:bCs/>
              </w:rPr>
            </w:pPr>
            <w:r w:rsidRPr="00967D32">
              <w:rPr>
                <w:b/>
                <w:bCs/>
              </w:rPr>
              <w:t xml:space="preserve">Learning </w:t>
            </w:r>
            <w:r w:rsidR="000461C4" w:rsidRPr="00967D32">
              <w:rPr>
                <w:b/>
                <w:bCs/>
              </w:rPr>
              <w:t>a</w:t>
            </w:r>
            <w:r w:rsidRPr="00967D32">
              <w:rPr>
                <w:b/>
                <w:bCs/>
              </w:rPr>
              <w:t xml:space="preserve">rea: </w:t>
            </w:r>
          </w:p>
          <w:p w14:paraId="29CEE446" w14:textId="76362161" w:rsidR="002D6E54" w:rsidRPr="00967D32" w:rsidRDefault="002D6E54" w:rsidP="000676EC">
            <w:pPr>
              <w:pStyle w:val="Tablecolheadwhite"/>
              <w:rPr>
                <w:b/>
                <w:bCs/>
              </w:rPr>
            </w:pPr>
            <w:r w:rsidRPr="00967D32">
              <w:rPr>
                <w:b/>
                <w:bCs/>
              </w:rPr>
              <w:t>Professional networks for advocacy</w:t>
            </w:r>
          </w:p>
        </w:tc>
      </w:tr>
      <w:tr w:rsidR="002D6E54" w14:paraId="5B86CD20" w14:textId="77777777" w:rsidTr="002D6E54">
        <w:trPr>
          <w:cnfStyle w:val="000000100000" w:firstRow="0" w:lastRow="0" w:firstColumn="0" w:lastColumn="0" w:oddVBand="0" w:evenVBand="0" w:oddHBand="1" w:evenHBand="0" w:firstRowFirstColumn="0" w:firstRowLastColumn="0" w:lastRowFirstColumn="0" w:lastRowLastColumn="0"/>
        </w:trPr>
        <w:tc>
          <w:tcPr>
            <w:tcW w:w="1980" w:type="dxa"/>
            <w:vAlign w:val="center"/>
          </w:tcPr>
          <w:p w14:paraId="75C6DC84" w14:textId="77777777" w:rsidR="002D6E54" w:rsidRDefault="002D6E54" w:rsidP="000676EC">
            <w:pPr>
              <w:pStyle w:val="Tablecolhead"/>
              <w:rPr>
                <w:szCs w:val="21"/>
              </w:rPr>
            </w:pPr>
            <w:r w:rsidRPr="00BF51BB">
              <w:t>Knowledge</w:t>
            </w:r>
          </w:p>
        </w:tc>
        <w:tc>
          <w:tcPr>
            <w:tcW w:w="3331" w:type="dxa"/>
          </w:tcPr>
          <w:p w14:paraId="6906A983" w14:textId="66E1B728" w:rsidR="002D6E54" w:rsidRDefault="002D6E54" w:rsidP="000676EC">
            <w:pPr>
              <w:pStyle w:val="Tabletext"/>
              <w:rPr>
                <w:rFonts w:cs="Arial"/>
                <w:szCs w:val="21"/>
              </w:rPr>
            </w:pPr>
            <w:r w:rsidRPr="00BF51BB">
              <w:t>Articulate the purpose of cross-system and cross-sector collaboration and identify the key factors that contribute to effective collaborative and integrated practice.</w:t>
            </w:r>
          </w:p>
        </w:tc>
        <w:tc>
          <w:tcPr>
            <w:tcW w:w="3331" w:type="dxa"/>
          </w:tcPr>
          <w:p w14:paraId="3FA206A5" w14:textId="33A19ACD" w:rsidR="002D6E54" w:rsidRDefault="002D6E54" w:rsidP="000676EC">
            <w:pPr>
              <w:pStyle w:val="Tabletext"/>
              <w:rPr>
                <w:rFonts w:cs="Arial"/>
                <w:szCs w:val="21"/>
              </w:rPr>
            </w:pPr>
            <w:r w:rsidRPr="00BF51BB">
              <w:t xml:space="preserve">Articulate the theories and practice approaches that privilege service </w:t>
            </w:r>
            <w:proofErr w:type="gramStart"/>
            <w:r w:rsidRPr="00BF51BB">
              <w:t>users’</w:t>
            </w:r>
            <w:proofErr w:type="gramEnd"/>
            <w:r w:rsidRPr="00BF51BB">
              <w:t xml:space="preserve"> lived experiences as knowledge for effective practice.</w:t>
            </w:r>
          </w:p>
        </w:tc>
        <w:tc>
          <w:tcPr>
            <w:tcW w:w="3331" w:type="dxa"/>
          </w:tcPr>
          <w:p w14:paraId="45E5ABAD" w14:textId="309FBD90" w:rsidR="002D6E54" w:rsidRDefault="002D6E54" w:rsidP="000676EC">
            <w:pPr>
              <w:pStyle w:val="Tabletext"/>
              <w:rPr>
                <w:rFonts w:cs="Arial"/>
                <w:szCs w:val="21"/>
              </w:rPr>
            </w:pPr>
            <w:r w:rsidRPr="00BF51BB">
              <w:t>Identify the key community resources, sources of community and cultural expertise and referral pathways relevant to their role and program.</w:t>
            </w:r>
          </w:p>
        </w:tc>
        <w:tc>
          <w:tcPr>
            <w:tcW w:w="3331" w:type="dxa"/>
          </w:tcPr>
          <w:p w14:paraId="16F7ED7B" w14:textId="3016D946" w:rsidR="002D6E54" w:rsidRDefault="002D6E54" w:rsidP="000676EC">
            <w:pPr>
              <w:pStyle w:val="Tabletext"/>
              <w:rPr>
                <w:rFonts w:cs="Arial"/>
                <w:szCs w:val="21"/>
              </w:rPr>
            </w:pPr>
            <w:r w:rsidRPr="00BF51BB">
              <w:t>Identify the basic principles and benefits of building professional networks and community relationships for case-based and systems advocacy.</w:t>
            </w:r>
          </w:p>
        </w:tc>
      </w:tr>
      <w:tr w:rsidR="002D6E54" w14:paraId="47631EDC" w14:textId="77777777" w:rsidTr="002D6E54">
        <w:tc>
          <w:tcPr>
            <w:tcW w:w="1980" w:type="dxa"/>
            <w:vAlign w:val="center"/>
          </w:tcPr>
          <w:p w14:paraId="5D7821C2" w14:textId="77777777" w:rsidR="002D6E54" w:rsidRDefault="002D6E54" w:rsidP="000676EC">
            <w:pPr>
              <w:pStyle w:val="Tablecolhead"/>
              <w:rPr>
                <w:szCs w:val="21"/>
              </w:rPr>
            </w:pPr>
            <w:r w:rsidRPr="00BF51BB">
              <w:t>Skills </w:t>
            </w:r>
          </w:p>
        </w:tc>
        <w:tc>
          <w:tcPr>
            <w:tcW w:w="3331" w:type="dxa"/>
          </w:tcPr>
          <w:p w14:paraId="64B40736" w14:textId="19E46AB3" w:rsidR="002D6E54" w:rsidRDefault="002D6E54" w:rsidP="000676EC">
            <w:pPr>
              <w:pStyle w:val="Tabletext"/>
              <w:rPr>
                <w:rFonts w:cs="Arial"/>
                <w:szCs w:val="21"/>
              </w:rPr>
            </w:pPr>
            <w:r w:rsidRPr="00BF51BB">
              <w:t>Apply collaborative skills to work effectively across different systems, services and communities in routine practice.</w:t>
            </w:r>
          </w:p>
        </w:tc>
        <w:tc>
          <w:tcPr>
            <w:tcW w:w="3331" w:type="dxa"/>
          </w:tcPr>
          <w:p w14:paraId="6985867F" w14:textId="650FB67B" w:rsidR="002D6E54" w:rsidRDefault="002D6E54" w:rsidP="000676EC">
            <w:pPr>
              <w:pStyle w:val="Tabletext"/>
              <w:rPr>
                <w:rFonts w:cs="Arial"/>
                <w:szCs w:val="21"/>
              </w:rPr>
            </w:pPr>
            <w:r w:rsidRPr="00BF51BB">
              <w:t>Apply high level communication and interpersonal skills to work collaboratively with service users, amplify service user voice, and take account of their lived experiences.</w:t>
            </w:r>
          </w:p>
        </w:tc>
        <w:tc>
          <w:tcPr>
            <w:tcW w:w="3331" w:type="dxa"/>
          </w:tcPr>
          <w:p w14:paraId="428594D9" w14:textId="56ED73D5" w:rsidR="002D6E54" w:rsidRDefault="002D6E54" w:rsidP="000676EC">
            <w:pPr>
              <w:pStyle w:val="Tabletext"/>
              <w:rPr>
                <w:rFonts w:cs="Arial"/>
                <w:szCs w:val="21"/>
              </w:rPr>
            </w:pPr>
            <w:r w:rsidRPr="00BF51BB">
              <w:t>Apply resourcing skills to map and use community resources and referral pathways in routine practice.</w:t>
            </w:r>
          </w:p>
        </w:tc>
        <w:tc>
          <w:tcPr>
            <w:tcW w:w="3331" w:type="dxa"/>
          </w:tcPr>
          <w:p w14:paraId="19AC1317" w14:textId="7E232D06" w:rsidR="002D6E54" w:rsidRDefault="002D6E54" w:rsidP="000676EC">
            <w:pPr>
              <w:pStyle w:val="Tabletext"/>
              <w:rPr>
                <w:rFonts w:cs="Arial"/>
                <w:szCs w:val="21"/>
              </w:rPr>
            </w:pPr>
            <w:r w:rsidRPr="00BF51BB">
              <w:t>Apply core networking and relationship skills to build and use professional and community networks.</w:t>
            </w:r>
          </w:p>
        </w:tc>
      </w:tr>
      <w:tr w:rsidR="002D6E54" w14:paraId="01B2AE05" w14:textId="77777777" w:rsidTr="002D6E54">
        <w:trPr>
          <w:cnfStyle w:val="000000100000" w:firstRow="0" w:lastRow="0" w:firstColumn="0" w:lastColumn="0" w:oddVBand="0" w:evenVBand="0" w:oddHBand="1" w:evenHBand="0" w:firstRowFirstColumn="0" w:firstRowLastColumn="0" w:lastRowFirstColumn="0" w:lastRowLastColumn="0"/>
        </w:trPr>
        <w:tc>
          <w:tcPr>
            <w:tcW w:w="1980" w:type="dxa"/>
            <w:vAlign w:val="center"/>
          </w:tcPr>
          <w:p w14:paraId="40A3B43D" w14:textId="77777777" w:rsidR="002D6E54" w:rsidRDefault="002D6E54" w:rsidP="000676EC">
            <w:pPr>
              <w:pStyle w:val="Tablecolhead"/>
              <w:rPr>
                <w:szCs w:val="21"/>
              </w:rPr>
            </w:pPr>
            <w:r w:rsidRPr="00BF51BB">
              <w:t>Professional judgement </w:t>
            </w:r>
          </w:p>
        </w:tc>
        <w:tc>
          <w:tcPr>
            <w:tcW w:w="3331" w:type="dxa"/>
          </w:tcPr>
          <w:p w14:paraId="63466B97" w14:textId="7EB46068" w:rsidR="002D6E54" w:rsidRDefault="002D6E54" w:rsidP="000676EC">
            <w:pPr>
              <w:pStyle w:val="Tabletext"/>
              <w:rPr>
                <w:rFonts w:cs="Arial"/>
                <w:szCs w:val="21"/>
              </w:rPr>
            </w:pPr>
            <w:r w:rsidRPr="00BF51BB">
              <w:t>Make informed decisions that involve effective collaboration across different systems, services and communities.</w:t>
            </w:r>
          </w:p>
        </w:tc>
        <w:tc>
          <w:tcPr>
            <w:tcW w:w="3331" w:type="dxa"/>
          </w:tcPr>
          <w:p w14:paraId="1F9A5B1F" w14:textId="79D30F0C" w:rsidR="002D6E54" w:rsidRDefault="002D6E54" w:rsidP="000676EC">
            <w:pPr>
              <w:pStyle w:val="Tabletext"/>
              <w:rPr>
                <w:rFonts w:cs="Arial"/>
                <w:szCs w:val="21"/>
              </w:rPr>
            </w:pPr>
            <w:r w:rsidRPr="00BF51BB">
              <w:t>Incorporate service users’ perspectives, voice and lived experiences in all decision-making processes.</w:t>
            </w:r>
          </w:p>
        </w:tc>
        <w:tc>
          <w:tcPr>
            <w:tcW w:w="3331" w:type="dxa"/>
          </w:tcPr>
          <w:p w14:paraId="7FA670E0" w14:textId="4C775EEB" w:rsidR="002D6E54" w:rsidRDefault="002D6E54" w:rsidP="000676EC">
            <w:pPr>
              <w:pStyle w:val="Tabletext"/>
              <w:rPr>
                <w:rFonts w:cs="Arial"/>
                <w:szCs w:val="21"/>
              </w:rPr>
            </w:pPr>
            <w:r w:rsidRPr="00BF51BB">
              <w:t>Make informed decisions regarding the use of community resources and referral pathways to enhance service delivery in routine practice situations.</w:t>
            </w:r>
          </w:p>
        </w:tc>
        <w:tc>
          <w:tcPr>
            <w:tcW w:w="3331" w:type="dxa"/>
          </w:tcPr>
          <w:p w14:paraId="2F453F8E" w14:textId="69698D36" w:rsidR="002D6E54" w:rsidRDefault="002D6E54" w:rsidP="000676EC">
            <w:pPr>
              <w:pStyle w:val="Tabletext"/>
              <w:rPr>
                <w:rFonts w:cs="Arial"/>
                <w:szCs w:val="21"/>
              </w:rPr>
            </w:pPr>
            <w:r w:rsidRPr="00BF51BB">
              <w:t>Make informed decisions regarding the use of professional and community networks to support practice.</w:t>
            </w:r>
          </w:p>
        </w:tc>
      </w:tr>
      <w:tr w:rsidR="002D6E54" w14:paraId="76B17982" w14:textId="77777777" w:rsidTr="002D6E54">
        <w:tc>
          <w:tcPr>
            <w:tcW w:w="1980" w:type="dxa"/>
            <w:vAlign w:val="center"/>
          </w:tcPr>
          <w:p w14:paraId="3ECAAD90" w14:textId="77777777" w:rsidR="002D6E54" w:rsidRDefault="002D6E54" w:rsidP="000676EC">
            <w:pPr>
              <w:pStyle w:val="Tablecolhead"/>
              <w:rPr>
                <w:szCs w:val="21"/>
              </w:rPr>
            </w:pPr>
            <w:r w:rsidRPr="00BF51BB">
              <w:t>Self-management</w:t>
            </w:r>
          </w:p>
        </w:tc>
        <w:tc>
          <w:tcPr>
            <w:tcW w:w="3331" w:type="dxa"/>
          </w:tcPr>
          <w:p w14:paraId="00714C8E" w14:textId="6D9C3984" w:rsidR="002D6E54" w:rsidRDefault="002D6E54" w:rsidP="000676EC">
            <w:pPr>
              <w:pStyle w:val="Tabletext"/>
              <w:rPr>
                <w:rFonts w:cs="Arial"/>
                <w:szCs w:val="21"/>
              </w:rPr>
            </w:pPr>
            <w:r w:rsidRPr="00BF51BB">
              <w:t xml:space="preserve">Critically reflect on and improve their integration and coordination of services across systems, services and communities. </w:t>
            </w:r>
          </w:p>
        </w:tc>
        <w:tc>
          <w:tcPr>
            <w:tcW w:w="3331" w:type="dxa"/>
          </w:tcPr>
          <w:p w14:paraId="15928289" w14:textId="3CCBA2EC" w:rsidR="002D6E54" w:rsidRDefault="002D6E54" w:rsidP="000676EC">
            <w:pPr>
              <w:pStyle w:val="Tabletext"/>
              <w:rPr>
                <w:rFonts w:cs="Arial"/>
                <w:szCs w:val="21"/>
              </w:rPr>
            </w:pPr>
            <w:r w:rsidRPr="00BF51BB">
              <w:t>Critically reflect on personal values, biases and assumptions in relation to diverse lived experiences with a view to continually improving collaboration with service users and communities.</w:t>
            </w:r>
          </w:p>
        </w:tc>
        <w:tc>
          <w:tcPr>
            <w:tcW w:w="3331" w:type="dxa"/>
          </w:tcPr>
          <w:p w14:paraId="30A675EC" w14:textId="12EB75FC" w:rsidR="002D6E54" w:rsidRDefault="002D6E54" w:rsidP="000676EC">
            <w:pPr>
              <w:pStyle w:val="Tabletext"/>
              <w:rPr>
                <w:rFonts w:cs="Arial"/>
                <w:szCs w:val="21"/>
              </w:rPr>
            </w:pPr>
            <w:r w:rsidRPr="00BF51BB">
              <w:t xml:space="preserve">Critically reflect </w:t>
            </w:r>
            <w:proofErr w:type="gramStart"/>
            <w:r w:rsidRPr="00BF51BB">
              <w:t>on, and</w:t>
            </w:r>
            <w:proofErr w:type="gramEnd"/>
            <w:r w:rsidRPr="00BF51BB">
              <w:t xml:space="preserve"> continually improve their approach in applying community resources and referral pathways.</w:t>
            </w:r>
          </w:p>
        </w:tc>
        <w:tc>
          <w:tcPr>
            <w:tcW w:w="3331" w:type="dxa"/>
          </w:tcPr>
          <w:p w14:paraId="7D06ADE5" w14:textId="7677C266" w:rsidR="002D6E54" w:rsidRDefault="002D6E54" w:rsidP="000676EC">
            <w:pPr>
              <w:pStyle w:val="Tabletext"/>
              <w:rPr>
                <w:rFonts w:cs="Arial"/>
                <w:szCs w:val="21"/>
              </w:rPr>
            </w:pPr>
            <w:r w:rsidRPr="00BF51BB">
              <w:t>Critically reflect on and improve the effectiveness of their networking, relationship and advocacy practices.</w:t>
            </w:r>
          </w:p>
        </w:tc>
      </w:tr>
    </w:tbl>
    <w:p w14:paraId="32586722" w14:textId="77777777" w:rsidR="004F5A57" w:rsidRDefault="004F5A57" w:rsidP="0050082B">
      <w:pPr>
        <w:spacing w:line="240" w:lineRule="auto"/>
        <w:textAlignment w:val="baseline"/>
        <w:rPr>
          <w:rFonts w:cs="Arial"/>
          <w:i/>
          <w:iCs/>
          <w:szCs w:val="21"/>
        </w:rPr>
      </w:pPr>
    </w:p>
    <w:p w14:paraId="0C716486" w14:textId="77777777" w:rsidR="00A36FB6" w:rsidRDefault="00A36FB6">
      <w:pPr>
        <w:spacing w:after="0" w:line="240" w:lineRule="auto"/>
        <w:rPr>
          <w:b/>
          <w:color w:val="201547"/>
          <w:sz w:val="24"/>
          <w:szCs w:val="24"/>
        </w:rPr>
      </w:pPr>
      <w:bookmarkStart w:id="39" w:name="_Toc176177722"/>
      <w:r>
        <w:rPr>
          <w:sz w:val="24"/>
          <w:szCs w:val="24"/>
        </w:rPr>
        <w:br w:type="page"/>
      </w:r>
    </w:p>
    <w:p w14:paraId="02EEC87E" w14:textId="79FA67DC" w:rsidR="00945C45" w:rsidRDefault="00945C45" w:rsidP="001A7211">
      <w:pPr>
        <w:pStyle w:val="Heading2"/>
      </w:pPr>
      <w:bookmarkStart w:id="40" w:name="_Toc221790879"/>
      <w:r w:rsidRPr="00736904">
        <w:lastRenderedPageBreak/>
        <w:t xml:space="preserve">Learning Domain </w:t>
      </w:r>
      <w:r w:rsidR="00152357">
        <w:t>3</w:t>
      </w:r>
      <w:r w:rsidRPr="00736904">
        <w:t xml:space="preserve">: Professional </w:t>
      </w:r>
      <w:r w:rsidR="00A07E59">
        <w:t>s</w:t>
      </w:r>
      <w:r w:rsidRPr="00736904">
        <w:t>elf</w:t>
      </w:r>
      <w:bookmarkEnd w:id="39"/>
      <w:bookmarkEnd w:id="40"/>
    </w:p>
    <w:p w14:paraId="7907AF87" w14:textId="45D480CD" w:rsidR="00736904" w:rsidRDefault="00736904" w:rsidP="00736904">
      <w:pPr>
        <w:spacing w:line="240" w:lineRule="auto"/>
        <w:textAlignment w:val="baseline"/>
        <w:rPr>
          <w:rFonts w:cs="Arial"/>
          <w:szCs w:val="21"/>
        </w:rPr>
      </w:pPr>
      <w:r w:rsidRPr="00CE65E8">
        <w:rPr>
          <w:b/>
          <w:bCs/>
        </w:rPr>
        <w:t>Foundational Learning Outcome:</w:t>
      </w:r>
      <w:r w:rsidRPr="00CE65E8">
        <w:rPr>
          <w:i/>
          <w:iCs/>
        </w:rPr>
        <w:t xml:space="preserve"> </w:t>
      </w:r>
      <w:r w:rsidRPr="00280BFC">
        <w:t xml:space="preserve">Graduates have a broad understanding of occupational health issues in the community and social services sector, and </w:t>
      </w:r>
      <w:r w:rsidRPr="00280BFC">
        <w:rPr>
          <w:rFonts w:cs="Arial"/>
          <w:szCs w:val="21"/>
        </w:rPr>
        <w:t>meaningfully engage in peer networking, reflective practice and professional development forums as avenues for professional self-care and growth.</w:t>
      </w:r>
    </w:p>
    <w:tbl>
      <w:tblPr>
        <w:tblStyle w:val="CASSGP"/>
        <w:tblW w:w="0" w:type="auto"/>
        <w:tblLook w:val="04A0" w:firstRow="1" w:lastRow="0" w:firstColumn="1" w:lastColumn="0" w:noHBand="0" w:noVBand="1"/>
      </w:tblPr>
      <w:tblGrid>
        <w:gridCol w:w="1824"/>
        <w:gridCol w:w="2814"/>
        <w:gridCol w:w="2814"/>
        <w:gridCol w:w="2755"/>
        <w:gridCol w:w="2786"/>
        <w:gridCol w:w="2417"/>
      </w:tblGrid>
      <w:tr w:rsidR="00280BFC" w14:paraId="7C3F18A8" w14:textId="46C09E1A" w:rsidTr="00A768BB">
        <w:trPr>
          <w:cnfStyle w:val="100000000000" w:firstRow="1" w:lastRow="0" w:firstColumn="0" w:lastColumn="0" w:oddVBand="0" w:evenVBand="0" w:oddHBand="0" w:evenHBand="0" w:firstRowFirstColumn="0" w:firstRowLastColumn="0" w:lastRowFirstColumn="0" w:lastRowLastColumn="0"/>
          <w:tblHeader/>
        </w:trPr>
        <w:tc>
          <w:tcPr>
            <w:tcW w:w="1824" w:type="dxa"/>
          </w:tcPr>
          <w:p w14:paraId="04B2A8D3" w14:textId="77777777" w:rsidR="00280BFC" w:rsidRPr="00967D32" w:rsidRDefault="00280BFC" w:rsidP="00754878">
            <w:pPr>
              <w:pStyle w:val="Tablecolheadwhite"/>
              <w:rPr>
                <w:b/>
                <w:bCs/>
              </w:rPr>
            </w:pPr>
            <w:r w:rsidRPr="00967D32">
              <w:rPr>
                <w:b/>
                <w:bCs/>
              </w:rPr>
              <w:t>Dimensions</w:t>
            </w:r>
          </w:p>
          <w:p w14:paraId="55035ED9" w14:textId="77777777" w:rsidR="00280BFC" w:rsidRPr="00967D32" w:rsidRDefault="00280BFC" w:rsidP="00754878">
            <w:pPr>
              <w:pStyle w:val="Tabletext"/>
              <w:rPr>
                <w:rFonts w:cs="Arial"/>
                <w:b w:val="0"/>
                <w:szCs w:val="21"/>
              </w:rPr>
            </w:pPr>
            <w:r w:rsidRPr="00967D32">
              <w:rPr>
                <w:b w:val="0"/>
              </w:rPr>
              <w:t>This is evident when graduates can understand the learning areas.</w:t>
            </w:r>
          </w:p>
        </w:tc>
        <w:tc>
          <w:tcPr>
            <w:tcW w:w="2814" w:type="dxa"/>
          </w:tcPr>
          <w:p w14:paraId="0BD6B9E8" w14:textId="5E5B75E0" w:rsidR="000461C4" w:rsidRPr="00967D32" w:rsidRDefault="00280BFC" w:rsidP="00754878">
            <w:pPr>
              <w:pStyle w:val="Tablecolheadwhite"/>
              <w:rPr>
                <w:b/>
                <w:bCs/>
              </w:rPr>
            </w:pPr>
            <w:r w:rsidRPr="00967D32">
              <w:rPr>
                <w:b/>
                <w:bCs/>
              </w:rPr>
              <w:t xml:space="preserve">Learning </w:t>
            </w:r>
            <w:r w:rsidR="000461C4" w:rsidRPr="00967D32">
              <w:rPr>
                <w:b/>
                <w:bCs/>
              </w:rPr>
              <w:t>a</w:t>
            </w:r>
            <w:r w:rsidRPr="00967D32">
              <w:rPr>
                <w:b/>
                <w:bCs/>
              </w:rPr>
              <w:t xml:space="preserve">rea: </w:t>
            </w:r>
          </w:p>
          <w:p w14:paraId="7D5A8D82" w14:textId="74B2D65E" w:rsidR="00280BFC" w:rsidRPr="00967D32" w:rsidRDefault="00280BFC" w:rsidP="00754878">
            <w:pPr>
              <w:pStyle w:val="Tablecolheadwhite"/>
              <w:rPr>
                <w:b/>
                <w:bCs/>
              </w:rPr>
            </w:pPr>
            <w:r w:rsidRPr="00967D32">
              <w:rPr>
                <w:b/>
                <w:bCs/>
              </w:rPr>
              <w:t>Reflective practice models</w:t>
            </w:r>
          </w:p>
        </w:tc>
        <w:tc>
          <w:tcPr>
            <w:tcW w:w="2814" w:type="dxa"/>
          </w:tcPr>
          <w:p w14:paraId="15F3BCE6" w14:textId="45378953" w:rsidR="00280BFC" w:rsidRPr="00967D32" w:rsidRDefault="00280BFC" w:rsidP="00754878">
            <w:pPr>
              <w:pStyle w:val="Tablecolheadwhite"/>
              <w:rPr>
                <w:b/>
                <w:bCs/>
              </w:rPr>
            </w:pPr>
            <w:r w:rsidRPr="00967D32">
              <w:rPr>
                <w:b/>
                <w:bCs/>
              </w:rPr>
              <w:t xml:space="preserve">Learning </w:t>
            </w:r>
            <w:r w:rsidR="000461C4" w:rsidRPr="00967D32">
              <w:rPr>
                <w:b/>
                <w:bCs/>
              </w:rPr>
              <w:t>a</w:t>
            </w:r>
            <w:r w:rsidRPr="00967D32">
              <w:rPr>
                <w:b/>
                <w:bCs/>
              </w:rPr>
              <w:t>rea: Compassion fatigue, vicarious trauma and burnout</w:t>
            </w:r>
          </w:p>
        </w:tc>
        <w:tc>
          <w:tcPr>
            <w:tcW w:w="2755" w:type="dxa"/>
          </w:tcPr>
          <w:p w14:paraId="42A28305" w14:textId="44487453" w:rsidR="00280BFC" w:rsidRPr="00967D32" w:rsidRDefault="00280BFC" w:rsidP="00754878">
            <w:pPr>
              <w:pStyle w:val="Tablecolheadwhite"/>
              <w:rPr>
                <w:b/>
                <w:bCs/>
              </w:rPr>
            </w:pPr>
            <w:r w:rsidRPr="00967D32">
              <w:rPr>
                <w:b/>
                <w:bCs/>
              </w:rPr>
              <w:t xml:space="preserve">Learning </w:t>
            </w:r>
            <w:r w:rsidR="000461C4" w:rsidRPr="00967D32">
              <w:rPr>
                <w:b/>
                <w:bCs/>
              </w:rPr>
              <w:t>a</w:t>
            </w:r>
            <w:r w:rsidRPr="00967D32">
              <w:rPr>
                <w:b/>
                <w:bCs/>
              </w:rPr>
              <w:t>rea: Practitioner wellbeing</w:t>
            </w:r>
          </w:p>
        </w:tc>
        <w:tc>
          <w:tcPr>
            <w:tcW w:w="2786" w:type="dxa"/>
          </w:tcPr>
          <w:p w14:paraId="5AA87BFB" w14:textId="4F444FF0" w:rsidR="000461C4" w:rsidRPr="00967D32" w:rsidRDefault="00280BFC" w:rsidP="00754878">
            <w:pPr>
              <w:pStyle w:val="Tablecolheadwhite"/>
              <w:rPr>
                <w:b/>
                <w:bCs/>
              </w:rPr>
            </w:pPr>
            <w:r w:rsidRPr="00967D32">
              <w:rPr>
                <w:b/>
                <w:bCs/>
              </w:rPr>
              <w:t xml:space="preserve">Learning </w:t>
            </w:r>
            <w:r w:rsidR="000461C4" w:rsidRPr="00967D32">
              <w:rPr>
                <w:b/>
                <w:bCs/>
              </w:rPr>
              <w:t>a</w:t>
            </w:r>
            <w:r w:rsidRPr="00967D32">
              <w:rPr>
                <w:b/>
                <w:bCs/>
              </w:rPr>
              <w:t>rea:</w:t>
            </w:r>
          </w:p>
          <w:p w14:paraId="6F892AE2" w14:textId="4E93978A" w:rsidR="00280BFC" w:rsidRPr="00967D32" w:rsidRDefault="00280BFC" w:rsidP="00754878">
            <w:pPr>
              <w:pStyle w:val="Tablecolheadwhite"/>
              <w:rPr>
                <w:b/>
                <w:bCs/>
              </w:rPr>
            </w:pPr>
            <w:r w:rsidRPr="00967D32">
              <w:rPr>
                <w:b/>
                <w:bCs/>
              </w:rPr>
              <w:t>Building peer networks</w:t>
            </w:r>
          </w:p>
        </w:tc>
        <w:tc>
          <w:tcPr>
            <w:tcW w:w="2417" w:type="dxa"/>
          </w:tcPr>
          <w:p w14:paraId="36E5F0E0" w14:textId="77777777" w:rsidR="00F30B65" w:rsidRPr="00967D32" w:rsidRDefault="00280BFC" w:rsidP="00754878">
            <w:pPr>
              <w:pStyle w:val="Tablecolheadwhite"/>
              <w:rPr>
                <w:b/>
                <w:bCs/>
              </w:rPr>
            </w:pPr>
            <w:r w:rsidRPr="00967D32">
              <w:rPr>
                <w:b/>
                <w:bCs/>
              </w:rPr>
              <w:t xml:space="preserve">Learning </w:t>
            </w:r>
            <w:r w:rsidR="000461C4" w:rsidRPr="00967D32">
              <w:rPr>
                <w:b/>
                <w:bCs/>
              </w:rPr>
              <w:t>a</w:t>
            </w:r>
            <w:r w:rsidRPr="00967D32">
              <w:rPr>
                <w:b/>
                <w:bCs/>
              </w:rPr>
              <w:t xml:space="preserve">rea: </w:t>
            </w:r>
          </w:p>
          <w:p w14:paraId="667E267B" w14:textId="57CB8CD0" w:rsidR="00280BFC" w:rsidRPr="00967D32" w:rsidRDefault="00280BFC" w:rsidP="00754878">
            <w:pPr>
              <w:pStyle w:val="Tablecolheadwhite"/>
              <w:rPr>
                <w:b/>
                <w:bCs/>
              </w:rPr>
            </w:pPr>
            <w:r w:rsidRPr="00967D32">
              <w:rPr>
                <w:b/>
                <w:bCs/>
              </w:rPr>
              <w:t>Career planning</w:t>
            </w:r>
          </w:p>
        </w:tc>
      </w:tr>
      <w:tr w:rsidR="004A2234" w14:paraId="4D87FA41" w14:textId="3FB50145" w:rsidTr="002A12D1">
        <w:trPr>
          <w:cnfStyle w:val="000000100000" w:firstRow="0" w:lastRow="0" w:firstColumn="0" w:lastColumn="0" w:oddVBand="0" w:evenVBand="0" w:oddHBand="1" w:evenHBand="0" w:firstRowFirstColumn="0" w:firstRowLastColumn="0" w:lastRowFirstColumn="0" w:lastRowLastColumn="0"/>
        </w:trPr>
        <w:tc>
          <w:tcPr>
            <w:tcW w:w="1824" w:type="dxa"/>
          </w:tcPr>
          <w:p w14:paraId="1BA1EF47" w14:textId="77777777" w:rsidR="004A2234" w:rsidRDefault="004A2234" w:rsidP="00754878">
            <w:pPr>
              <w:pStyle w:val="Tablecolhead"/>
              <w:rPr>
                <w:szCs w:val="21"/>
              </w:rPr>
            </w:pPr>
            <w:r w:rsidRPr="00BF51BB">
              <w:t>Knowledge</w:t>
            </w:r>
          </w:p>
        </w:tc>
        <w:tc>
          <w:tcPr>
            <w:tcW w:w="2814" w:type="dxa"/>
          </w:tcPr>
          <w:p w14:paraId="2E652F37" w14:textId="0855CD1A" w:rsidR="004A2234" w:rsidRDefault="004A2234" w:rsidP="0026328C">
            <w:pPr>
              <w:pStyle w:val="Tabletext"/>
              <w:rPr>
                <w:rFonts w:cs="Arial"/>
                <w:szCs w:val="21"/>
              </w:rPr>
            </w:pPr>
            <w:r w:rsidRPr="00BF51BB">
              <w:t>Broadly describe reflective practice models and their application in community and social services. </w:t>
            </w:r>
          </w:p>
        </w:tc>
        <w:tc>
          <w:tcPr>
            <w:tcW w:w="2814" w:type="dxa"/>
          </w:tcPr>
          <w:p w14:paraId="7AD12233" w14:textId="3CCC246D" w:rsidR="004A2234" w:rsidRDefault="004A2234" w:rsidP="0026328C">
            <w:pPr>
              <w:pStyle w:val="Tabletext"/>
              <w:rPr>
                <w:rFonts w:cs="Arial"/>
                <w:szCs w:val="21"/>
              </w:rPr>
            </w:pPr>
            <w:r w:rsidRPr="00BF51BB">
              <w:t>Explain the concepts of compassion fatigue, vicarious trauma, and burnout, and describe key strategies to address them. </w:t>
            </w:r>
          </w:p>
        </w:tc>
        <w:tc>
          <w:tcPr>
            <w:tcW w:w="2755" w:type="dxa"/>
          </w:tcPr>
          <w:p w14:paraId="4419FAD5" w14:textId="168888A4" w:rsidR="004A2234" w:rsidRDefault="004A2234" w:rsidP="0026328C">
            <w:pPr>
              <w:pStyle w:val="Tabletext"/>
              <w:rPr>
                <w:rFonts w:cs="Arial"/>
                <w:szCs w:val="21"/>
              </w:rPr>
            </w:pPr>
            <w:r w:rsidRPr="00BF51BB">
              <w:t>Describe the elements of inclusive and safe, including psychologically safe and culturally inclusive, workplaces on worker wellbeing.</w:t>
            </w:r>
          </w:p>
        </w:tc>
        <w:tc>
          <w:tcPr>
            <w:tcW w:w="2786" w:type="dxa"/>
          </w:tcPr>
          <w:p w14:paraId="33B8A468" w14:textId="77A16807" w:rsidR="004A2234" w:rsidRDefault="004A2234" w:rsidP="0026328C">
            <w:pPr>
              <w:pStyle w:val="Tabletext"/>
              <w:rPr>
                <w:rFonts w:cs="Arial"/>
                <w:szCs w:val="21"/>
              </w:rPr>
            </w:pPr>
            <w:r w:rsidRPr="00BF51BB">
              <w:t>Describe the benefits of and approaches to building peer networks in community services.</w:t>
            </w:r>
          </w:p>
        </w:tc>
        <w:tc>
          <w:tcPr>
            <w:tcW w:w="2417" w:type="dxa"/>
          </w:tcPr>
          <w:p w14:paraId="1DFE9434" w14:textId="0620D280" w:rsidR="004A2234" w:rsidRPr="00BF51BB" w:rsidRDefault="004A2234" w:rsidP="0026328C">
            <w:pPr>
              <w:pStyle w:val="Tabletext"/>
            </w:pPr>
            <w:r w:rsidRPr="00BF51BB">
              <w:t>Describe career pathways and opportunities within their organisation and the sector.</w:t>
            </w:r>
          </w:p>
        </w:tc>
      </w:tr>
      <w:tr w:rsidR="004A2234" w14:paraId="3D8B7F35" w14:textId="3645922A" w:rsidTr="002A12D1">
        <w:tc>
          <w:tcPr>
            <w:tcW w:w="1824" w:type="dxa"/>
          </w:tcPr>
          <w:p w14:paraId="74986C99" w14:textId="77777777" w:rsidR="004A2234" w:rsidRDefault="004A2234" w:rsidP="00754878">
            <w:pPr>
              <w:pStyle w:val="Tablecolhead"/>
              <w:rPr>
                <w:szCs w:val="21"/>
              </w:rPr>
            </w:pPr>
            <w:r w:rsidRPr="00BF51BB">
              <w:t>Skills </w:t>
            </w:r>
          </w:p>
        </w:tc>
        <w:tc>
          <w:tcPr>
            <w:tcW w:w="2814" w:type="dxa"/>
          </w:tcPr>
          <w:p w14:paraId="168B1362" w14:textId="571C8AD0" w:rsidR="004A2234" w:rsidRDefault="004A2234" w:rsidP="0026328C">
            <w:pPr>
              <w:pStyle w:val="Tabletext"/>
              <w:rPr>
                <w:rFonts w:cs="Arial"/>
                <w:szCs w:val="21"/>
              </w:rPr>
            </w:pPr>
            <w:r w:rsidRPr="00BF51BB">
              <w:t>Apply reflective practice skills to assess and improve their practice. </w:t>
            </w:r>
          </w:p>
        </w:tc>
        <w:tc>
          <w:tcPr>
            <w:tcW w:w="2814" w:type="dxa"/>
          </w:tcPr>
          <w:p w14:paraId="70735C5B" w14:textId="748099C7" w:rsidR="004A2234" w:rsidRDefault="004A2234" w:rsidP="0026328C">
            <w:pPr>
              <w:pStyle w:val="Tabletext"/>
              <w:rPr>
                <w:rFonts w:cs="Arial"/>
                <w:szCs w:val="21"/>
              </w:rPr>
            </w:pPr>
            <w:r w:rsidRPr="00BF51BB">
              <w:t>Apply basic self-care strategies and techniques.</w:t>
            </w:r>
          </w:p>
        </w:tc>
        <w:tc>
          <w:tcPr>
            <w:tcW w:w="2755" w:type="dxa"/>
          </w:tcPr>
          <w:p w14:paraId="14AB1363" w14:textId="66F2376E" w:rsidR="004A2234" w:rsidRDefault="004A2234" w:rsidP="0026328C">
            <w:pPr>
              <w:pStyle w:val="Tabletext"/>
              <w:rPr>
                <w:rFonts w:cs="Arial"/>
                <w:szCs w:val="21"/>
              </w:rPr>
            </w:pPr>
            <w:r w:rsidRPr="00BF51BB">
              <w:t>Identify own or colleagues’ wellbeing needs and work with supervisor to build a physically and psychologically safe and culturally inclusive workplace.</w:t>
            </w:r>
          </w:p>
        </w:tc>
        <w:tc>
          <w:tcPr>
            <w:tcW w:w="2786" w:type="dxa"/>
          </w:tcPr>
          <w:p w14:paraId="0213680D" w14:textId="04F67810" w:rsidR="004A2234" w:rsidRDefault="004A2234" w:rsidP="0026328C">
            <w:pPr>
              <w:pStyle w:val="Tabletext"/>
              <w:rPr>
                <w:rFonts w:cs="Arial"/>
                <w:szCs w:val="21"/>
              </w:rPr>
            </w:pPr>
            <w:r w:rsidRPr="00BF51BB">
              <w:t>Apply their networking skills to build and maintain peer connections within their professional community. </w:t>
            </w:r>
          </w:p>
        </w:tc>
        <w:tc>
          <w:tcPr>
            <w:tcW w:w="2417" w:type="dxa"/>
          </w:tcPr>
          <w:p w14:paraId="26052C1A" w14:textId="7E68B508" w:rsidR="004A2234" w:rsidRPr="00BF51BB" w:rsidRDefault="004A2234" w:rsidP="0026328C">
            <w:pPr>
              <w:pStyle w:val="Tabletext"/>
            </w:pPr>
            <w:r w:rsidRPr="00BF51BB">
              <w:t>Apply career planning skills to identify and pursue opportunities for professional growth within their field. </w:t>
            </w:r>
          </w:p>
        </w:tc>
      </w:tr>
      <w:tr w:rsidR="004A2234" w14:paraId="72C1E491" w14:textId="1AC126FB" w:rsidTr="002A12D1">
        <w:trPr>
          <w:cnfStyle w:val="000000100000" w:firstRow="0" w:lastRow="0" w:firstColumn="0" w:lastColumn="0" w:oddVBand="0" w:evenVBand="0" w:oddHBand="1" w:evenHBand="0" w:firstRowFirstColumn="0" w:firstRowLastColumn="0" w:lastRowFirstColumn="0" w:lastRowLastColumn="0"/>
        </w:trPr>
        <w:tc>
          <w:tcPr>
            <w:tcW w:w="1824" w:type="dxa"/>
          </w:tcPr>
          <w:p w14:paraId="2B9BEED9" w14:textId="77777777" w:rsidR="004A2234" w:rsidRDefault="004A2234" w:rsidP="00754878">
            <w:pPr>
              <w:pStyle w:val="Tablecolhead"/>
              <w:rPr>
                <w:szCs w:val="21"/>
              </w:rPr>
            </w:pPr>
            <w:r w:rsidRPr="00BF51BB">
              <w:t>Professional judgement </w:t>
            </w:r>
          </w:p>
        </w:tc>
        <w:tc>
          <w:tcPr>
            <w:tcW w:w="2814" w:type="dxa"/>
          </w:tcPr>
          <w:p w14:paraId="1826B61A" w14:textId="54E3DB08" w:rsidR="004A2234" w:rsidRDefault="004A2234" w:rsidP="0026328C">
            <w:pPr>
              <w:pStyle w:val="Tabletext"/>
              <w:rPr>
                <w:rFonts w:cs="Arial"/>
                <w:szCs w:val="21"/>
              </w:rPr>
            </w:pPr>
            <w:r w:rsidRPr="00BF51BB">
              <w:t>Make informed decisions guided by self-assessment and reflection on their practice.</w:t>
            </w:r>
          </w:p>
        </w:tc>
        <w:tc>
          <w:tcPr>
            <w:tcW w:w="2814" w:type="dxa"/>
          </w:tcPr>
          <w:p w14:paraId="2024D0EC" w14:textId="486E2DE5" w:rsidR="004A2234" w:rsidRDefault="004A2234" w:rsidP="0026328C">
            <w:pPr>
              <w:pStyle w:val="Tabletext"/>
              <w:rPr>
                <w:rFonts w:cs="Arial"/>
                <w:szCs w:val="21"/>
              </w:rPr>
            </w:pPr>
            <w:r w:rsidRPr="00BF51BB">
              <w:t>Recognise early warning signs and make informed decisions about when and how to implement basic strategies to mitigate the effects of compassion fatigue, vicarious trauma, and burnout. </w:t>
            </w:r>
          </w:p>
        </w:tc>
        <w:tc>
          <w:tcPr>
            <w:tcW w:w="2755" w:type="dxa"/>
          </w:tcPr>
          <w:p w14:paraId="3F6FC088" w14:textId="4712F8A2" w:rsidR="004A2234" w:rsidRDefault="004A2234" w:rsidP="0026328C">
            <w:pPr>
              <w:pStyle w:val="Tabletext"/>
              <w:rPr>
                <w:rFonts w:cs="Arial"/>
                <w:szCs w:val="21"/>
              </w:rPr>
            </w:pPr>
            <w:r w:rsidRPr="00BF51BB">
              <w:t>Recognise where own or colleagues’ wellbeing and safety needs are being met or not met and make informed decisions to address needs.</w:t>
            </w:r>
          </w:p>
        </w:tc>
        <w:tc>
          <w:tcPr>
            <w:tcW w:w="2786" w:type="dxa"/>
          </w:tcPr>
          <w:p w14:paraId="3D39F03B" w14:textId="53FE71D7" w:rsidR="004A2234" w:rsidRDefault="004A2234" w:rsidP="0026328C">
            <w:pPr>
              <w:pStyle w:val="Tabletext"/>
              <w:rPr>
                <w:rFonts w:cs="Arial"/>
                <w:szCs w:val="21"/>
              </w:rPr>
            </w:pPr>
            <w:r w:rsidRPr="00BF51BB">
              <w:t>Make informed decisions on engaging with peers and utilising networks for support and development. </w:t>
            </w:r>
          </w:p>
        </w:tc>
        <w:tc>
          <w:tcPr>
            <w:tcW w:w="2417" w:type="dxa"/>
          </w:tcPr>
          <w:p w14:paraId="7F012A58" w14:textId="63621D5F" w:rsidR="004A2234" w:rsidRPr="00BF51BB" w:rsidRDefault="004A2234" w:rsidP="0026328C">
            <w:pPr>
              <w:pStyle w:val="Tabletext"/>
            </w:pPr>
            <w:r w:rsidRPr="00BF51BB">
              <w:t>Make informed decisions about their career development guided by an understanding of available pathways and opportunities. </w:t>
            </w:r>
          </w:p>
        </w:tc>
      </w:tr>
      <w:tr w:rsidR="004A2234" w14:paraId="4A887166" w14:textId="64F87C46" w:rsidTr="002A12D1">
        <w:tc>
          <w:tcPr>
            <w:tcW w:w="1824" w:type="dxa"/>
          </w:tcPr>
          <w:p w14:paraId="136A866A" w14:textId="77777777" w:rsidR="004A2234" w:rsidRDefault="004A2234" w:rsidP="00754878">
            <w:pPr>
              <w:pStyle w:val="Tablecolhead"/>
              <w:rPr>
                <w:szCs w:val="21"/>
              </w:rPr>
            </w:pPr>
            <w:r w:rsidRPr="00BF51BB">
              <w:t>Self-management</w:t>
            </w:r>
          </w:p>
        </w:tc>
        <w:tc>
          <w:tcPr>
            <w:tcW w:w="2814" w:type="dxa"/>
          </w:tcPr>
          <w:p w14:paraId="78B34E2C" w14:textId="6D4510E6" w:rsidR="004A2234" w:rsidRDefault="004A2234" w:rsidP="0026328C">
            <w:pPr>
              <w:pStyle w:val="Tabletext"/>
              <w:rPr>
                <w:rFonts w:cs="Arial"/>
                <w:szCs w:val="21"/>
              </w:rPr>
            </w:pPr>
            <w:r w:rsidRPr="00BF51BB">
              <w:t>Engage in regular self-reflection to monitor and improve their practice and professional growth. </w:t>
            </w:r>
          </w:p>
        </w:tc>
        <w:tc>
          <w:tcPr>
            <w:tcW w:w="2814" w:type="dxa"/>
          </w:tcPr>
          <w:p w14:paraId="11CADAA2" w14:textId="3BE2B444" w:rsidR="004A2234" w:rsidRDefault="004A2234" w:rsidP="0026328C">
            <w:pPr>
              <w:pStyle w:val="Tabletext"/>
              <w:rPr>
                <w:rFonts w:cs="Arial"/>
                <w:szCs w:val="21"/>
              </w:rPr>
            </w:pPr>
            <w:r w:rsidRPr="00BF51BB">
              <w:t>Monitor their stress levels and engage in regular self-reflection to maintain a level of resilience in the face of adversity. </w:t>
            </w:r>
          </w:p>
        </w:tc>
        <w:tc>
          <w:tcPr>
            <w:tcW w:w="2755" w:type="dxa"/>
          </w:tcPr>
          <w:p w14:paraId="2E323B04" w14:textId="0CD44833" w:rsidR="004A2234" w:rsidRDefault="004A2234" w:rsidP="0026328C">
            <w:pPr>
              <w:pStyle w:val="Tabletext"/>
              <w:rPr>
                <w:rFonts w:cs="Arial"/>
                <w:szCs w:val="21"/>
              </w:rPr>
            </w:pPr>
            <w:r w:rsidRPr="00BF51BB">
              <w:t>Monitor own wellbeing and safety, including cultural inclusion, and proactively identify strategies to support colleagues’ wellbeing and safety.</w:t>
            </w:r>
          </w:p>
        </w:tc>
        <w:tc>
          <w:tcPr>
            <w:tcW w:w="2786" w:type="dxa"/>
          </w:tcPr>
          <w:p w14:paraId="580ECAD7" w14:textId="7A35F073" w:rsidR="004A2234" w:rsidRDefault="004A2234" w:rsidP="0026328C">
            <w:pPr>
              <w:pStyle w:val="Tabletext"/>
              <w:rPr>
                <w:rFonts w:cs="Arial"/>
                <w:szCs w:val="21"/>
              </w:rPr>
            </w:pPr>
            <w:r w:rsidRPr="00BF51BB">
              <w:t>Critically reflect on and develop their network strategies to support their continuing professional development. </w:t>
            </w:r>
          </w:p>
        </w:tc>
        <w:tc>
          <w:tcPr>
            <w:tcW w:w="2417" w:type="dxa"/>
          </w:tcPr>
          <w:p w14:paraId="2BC46704" w14:textId="02565A27" w:rsidR="004A2234" w:rsidRPr="00BF51BB" w:rsidRDefault="004A2234" w:rsidP="0026328C">
            <w:pPr>
              <w:pStyle w:val="Tabletext"/>
            </w:pPr>
            <w:r w:rsidRPr="00BF51BB">
              <w:t>Reflect on their career progression and continually develop their career development strategies with supervisory support. </w:t>
            </w:r>
          </w:p>
        </w:tc>
      </w:tr>
    </w:tbl>
    <w:p w14:paraId="2A7389A2" w14:textId="77777777" w:rsidR="00280BFC" w:rsidRDefault="00280BFC" w:rsidP="00736904">
      <w:pPr>
        <w:spacing w:line="240" w:lineRule="auto"/>
        <w:textAlignment w:val="baseline"/>
        <w:rPr>
          <w:rFonts w:cs="Arial"/>
          <w:szCs w:val="21"/>
        </w:rPr>
      </w:pPr>
    </w:p>
    <w:p w14:paraId="224DA449" w14:textId="77777777" w:rsidR="00BB7D90" w:rsidRDefault="00BB7D90">
      <w:pPr>
        <w:spacing w:after="0" w:line="240" w:lineRule="auto"/>
        <w:rPr>
          <w:rFonts w:eastAsia="MS Gothic" w:cs="Arial"/>
          <w:bCs/>
          <w:color w:val="201547"/>
          <w:kern w:val="32"/>
          <w:sz w:val="44"/>
          <w:szCs w:val="44"/>
        </w:rPr>
        <w:sectPr w:rsidR="00BB7D90" w:rsidSect="001418DD">
          <w:headerReference w:type="even" r:id="rId35"/>
          <w:footerReference w:type="even" r:id="rId36"/>
          <w:footerReference w:type="default" r:id="rId37"/>
          <w:headerReference w:type="first" r:id="rId38"/>
          <w:footerReference w:type="first" r:id="rId39"/>
          <w:pgSz w:w="16838" w:h="11906" w:orient="landscape" w:code="9"/>
          <w:pgMar w:top="851" w:right="709" w:bottom="851" w:left="709" w:header="454" w:footer="567" w:gutter="0"/>
          <w:cols w:space="340"/>
          <w:docGrid w:linePitch="360"/>
        </w:sectPr>
      </w:pPr>
      <w:bookmarkStart w:id="41" w:name="_Toc176177723"/>
    </w:p>
    <w:p w14:paraId="5B8050B8" w14:textId="3397F5BF" w:rsidR="00EE5672" w:rsidRPr="00FE7F1B" w:rsidRDefault="003E2DF9" w:rsidP="002A5950">
      <w:pPr>
        <w:pStyle w:val="Heading1"/>
        <w:spacing w:before="0"/>
      </w:pPr>
      <w:bookmarkStart w:id="42" w:name="_Toc221790880"/>
      <w:r>
        <w:lastRenderedPageBreak/>
        <w:t xml:space="preserve">Appendix 1. </w:t>
      </w:r>
      <w:r w:rsidR="00EE5672" w:rsidRPr="00FE7F1B">
        <w:t xml:space="preserve">Graduate </w:t>
      </w:r>
      <w:r w:rsidR="002649B2">
        <w:t xml:space="preserve">individual </w:t>
      </w:r>
      <w:r w:rsidR="00E83F9C">
        <w:t>l</w:t>
      </w:r>
      <w:r w:rsidR="00EE5672" w:rsidRPr="00FE7F1B">
        <w:t xml:space="preserve">earning and </w:t>
      </w:r>
      <w:r w:rsidR="00E83F9C">
        <w:t>d</w:t>
      </w:r>
      <w:r w:rsidR="00EE5672" w:rsidRPr="00FE7F1B">
        <w:t xml:space="preserve">evelopment </w:t>
      </w:r>
      <w:r w:rsidR="00E83F9C">
        <w:t>p</w:t>
      </w:r>
      <w:r w:rsidR="00EE5672" w:rsidRPr="00FE7F1B">
        <w:t>lan</w:t>
      </w:r>
      <w:bookmarkEnd w:id="42"/>
    </w:p>
    <w:p w14:paraId="64A58EAA" w14:textId="2F4A6DDE" w:rsidR="00EE5672" w:rsidRPr="00A15116" w:rsidRDefault="00EE5672" w:rsidP="00EE5672">
      <w:pPr>
        <w:pStyle w:val="Body"/>
      </w:pPr>
      <w:r w:rsidRPr="00A15116">
        <w:t xml:space="preserve">A graduate learning and development plan outlines the learning and development opportunities the graduate will </w:t>
      </w:r>
      <w:r w:rsidR="00020979">
        <w:t>take part</w:t>
      </w:r>
      <w:r w:rsidR="00020979" w:rsidRPr="00A15116">
        <w:t xml:space="preserve"> </w:t>
      </w:r>
      <w:r w:rsidRPr="00A15116">
        <w:t>in</w:t>
      </w:r>
      <w:r w:rsidR="00E83F9C">
        <w:t xml:space="preserve">, </w:t>
      </w:r>
      <w:r>
        <w:t xml:space="preserve">including supervision. </w:t>
      </w:r>
      <w:r w:rsidRPr="00A15116">
        <w:t>It should include activities that address the graduate’s current knowledge and skills needs</w:t>
      </w:r>
      <w:r w:rsidR="00020979">
        <w:t>. It should plan</w:t>
      </w:r>
      <w:r w:rsidRPr="00A15116">
        <w:t xml:space="preserve"> for the medium and longer-term.</w:t>
      </w:r>
    </w:p>
    <w:p w14:paraId="4FF8571E" w14:textId="77777777" w:rsidR="00020979" w:rsidRDefault="00EE5672" w:rsidP="00EE5672">
      <w:pPr>
        <w:pStyle w:val="Body"/>
      </w:pPr>
      <w:r w:rsidRPr="00A15116">
        <w:t>This should be tailored to</w:t>
      </w:r>
      <w:r w:rsidR="00020979">
        <w:t>:</w:t>
      </w:r>
      <w:r w:rsidRPr="00A15116">
        <w:t xml:space="preserve"> </w:t>
      </w:r>
    </w:p>
    <w:p w14:paraId="0E36A638" w14:textId="77777777" w:rsidR="00020979" w:rsidRDefault="00EE5672" w:rsidP="00020979">
      <w:pPr>
        <w:pStyle w:val="Bullet1"/>
      </w:pPr>
      <w:r w:rsidRPr="00A15116">
        <w:t>graduate’s individual learning and competency development needs</w:t>
      </w:r>
    </w:p>
    <w:p w14:paraId="38CA25D6" w14:textId="33A33B3D" w:rsidR="00020979" w:rsidRDefault="00EE5672" w:rsidP="00020979">
      <w:pPr>
        <w:pStyle w:val="Bullet1"/>
      </w:pPr>
      <w:r w:rsidRPr="00A15116">
        <w:t>their career ambitions</w:t>
      </w:r>
    </w:p>
    <w:p w14:paraId="3E5EF835" w14:textId="18245254" w:rsidR="00EE5672" w:rsidRPr="00A15116" w:rsidRDefault="00EE5672" w:rsidP="008D66F6">
      <w:pPr>
        <w:pStyle w:val="Bullet1"/>
      </w:pPr>
      <w:r w:rsidRPr="00A15116">
        <w:t>organisation and sub-sector requirements.</w:t>
      </w:r>
    </w:p>
    <w:p w14:paraId="5C64EB09" w14:textId="7A17BA05" w:rsidR="00EE5672" w:rsidRPr="006844C1" w:rsidRDefault="00EE5672" w:rsidP="008D66F6">
      <w:pPr>
        <w:pStyle w:val="Bodyafterbullets"/>
      </w:pPr>
      <w:r w:rsidRPr="006844C1">
        <w:t>Employers may use whichever format they choose for the graduate learning and development plan such as a performance development plan. However, for the purposes of the graduate program evaluation, the dates</w:t>
      </w:r>
      <w:r w:rsidR="00E32C35">
        <w:t>,</w:t>
      </w:r>
      <w:r w:rsidRPr="006844C1">
        <w:t xml:space="preserve"> lengths</w:t>
      </w:r>
      <w:r w:rsidR="00E32C35">
        <w:t xml:space="preserve"> and format</w:t>
      </w:r>
      <w:r w:rsidRPr="006844C1">
        <w:t xml:space="preserve"> of supervision with the graduate should be recorded as part of the plan. </w:t>
      </w:r>
    </w:p>
    <w:p w14:paraId="6CC36B20" w14:textId="77777777" w:rsidR="00EE5672" w:rsidRPr="00A15116" w:rsidRDefault="00EE5672" w:rsidP="00EE5672">
      <w:pPr>
        <w:pStyle w:val="Body"/>
      </w:pPr>
      <w:r w:rsidRPr="00A15116">
        <w:t>It is recommended a graduate learning and development plan encompasses:</w:t>
      </w:r>
    </w:p>
    <w:p w14:paraId="1FF1A090" w14:textId="77777777" w:rsidR="00EE5672" w:rsidRPr="00A15116" w:rsidRDefault="00EE5672" w:rsidP="002A0FD2">
      <w:pPr>
        <w:pStyle w:val="Tablebullet1"/>
        <w:numPr>
          <w:ilvl w:val="0"/>
          <w:numId w:val="8"/>
        </w:numPr>
        <w:ind w:left="426" w:hanging="284"/>
      </w:pPr>
      <w:r w:rsidRPr="00A15116">
        <w:t>the graduate’s career goals and possible pathways to achieving these goals</w:t>
      </w:r>
    </w:p>
    <w:p w14:paraId="13A98A8F" w14:textId="77777777" w:rsidR="00EE5672" w:rsidRDefault="00EE5672" w:rsidP="002A0FD2">
      <w:pPr>
        <w:pStyle w:val="Tablebullet1"/>
        <w:numPr>
          <w:ilvl w:val="0"/>
          <w:numId w:val="8"/>
        </w:numPr>
        <w:ind w:left="426" w:hanging="284"/>
      </w:pPr>
      <w:r>
        <w:t xml:space="preserve">identification of </w:t>
      </w:r>
      <w:r w:rsidRPr="00A15116">
        <w:t>the knowledge</w:t>
      </w:r>
      <w:r>
        <w:t xml:space="preserve">, </w:t>
      </w:r>
      <w:r w:rsidRPr="00A15116">
        <w:t xml:space="preserve">capabilities and skills requirements to work effectively and successfully in the </w:t>
      </w:r>
      <w:r>
        <w:t xml:space="preserve">graduate’s current </w:t>
      </w:r>
      <w:r w:rsidRPr="00A15116">
        <w:t>role</w:t>
      </w:r>
    </w:p>
    <w:p w14:paraId="6A35460C" w14:textId="77777777" w:rsidR="00EE5672" w:rsidRDefault="00EE5672" w:rsidP="002A0FD2">
      <w:pPr>
        <w:pStyle w:val="Tablebullet1"/>
        <w:numPr>
          <w:ilvl w:val="0"/>
          <w:numId w:val="8"/>
        </w:numPr>
        <w:ind w:left="426" w:hanging="284"/>
      </w:pPr>
      <w:r>
        <w:t xml:space="preserve">assessment of the graduate’s </w:t>
      </w:r>
      <w:r w:rsidRPr="00A15116">
        <w:t>knowledge</w:t>
      </w:r>
      <w:r>
        <w:t xml:space="preserve">, </w:t>
      </w:r>
      <w:r w:rsidRPr="00A15116">
        <w:t>capabilities and skills</w:t>
      </w:r>
      <w:r>
        <w:t xml:space="preserve"> alongside the job requirements</w:t>
      </w:r>
    </w:p>
    <w:p w14:paraId="7F2B09B4" w14:textId="5989C7C8" w:rsidR="004927BA" w:rsidRDefault="004927BA" w:rsidP="002A0FD2">
      <w:pPr>
        <w:pStyle w:val="Tablebullet1"/>
        <w:numPr>
          <w:ilvl w:val="0"/>
          <w:numId w:val="8"/>
        </w:numPr>
        <w:ind w:left="426" w:hanging="284"/>
      </w:pPr>
      <w:r>
        <w:t xml:space="preserve">identification of graduate support and wellbeing needs, including </w:t>
      </w:r>
      <w:r w:rsidR="00BE5DE3">
        <w:t xml:space="preserve">how </w:t>
      </w:r>
      <w:r w:rsidR="00EA712A">
        <w:t xml:space="preserve">psychological </w:t>
      </w:r>
      <w:r w:rsidR="00F02BD0">
        <w:t xml:space="preserve">safety </w:t>
      </w:r>
      <w:r w:rsidR="00EA712A">
        <w:t xml:space="preserve">and </w:t>
      </w:r>
      <w:r>
        <w:t xml:space="preserve">cultural </w:t>
      </w:r>
      <w:r w:rsidR="006E1BF2">
        <w:t>wellbeing</w:t>
      </w:r>
      <w:r>
        <w:t>, and how these will be met over the course of the graduate year</w:t>
      </w:r>
    </w:p>
    <w:p w14:paraId="18CD19BF" w14:textId="27FBE0CD" w:rsidR="00EE5672" w:rsidRDefault="00EE5672" w:rsidP="002A0FD2">
      <w:pPr>
        <w:pStyle w:val="Tablebullet1"/>
        <w:numPr>
          <w:ilvl w:val="0"/>
          <w:numId w:val="8"/>
        </w:numPr>
        <w:ind w:left="426" w:hanging="284"/>
      </w:pPr>
      <w:r>
        <w:t xml:space="preserve">the graduate’s </w:t>
      </w:r>
      <w:r w:rsidRPr="00A15116">
        <w:t>immediate,</w:t>
      </w:r>
      <w:r>
        <w:t xml:space="preserve"> short-</w:t>
      </w:r>
      <w:r w:rsidRPr="00A15116">
        <w:t>medium and longer-</w:t>
      </w:r>
      <w:r>
        <w:t xml:space="preserve">term </w:t>
      </w:r>
      <w:r w:rsidRPr="003B7D4D">
        <w:t xml:space="preserve">learning and development </w:t>
      </w:r>
      <w:r>
        <w:t xml:space="preserve">goals and </w:t>
      </w:r>
      <w:r w:rsidRPr="003B7D4D">
        <w:t>needs</w:t>
      </w:r>
      <w:r>
        <w:t xml:space="preserve"> including goals that may be common across all employees in the organisation or program</w:t>
      </w:r>
      <w:r w:rsidR="00020979">
        <w:t>.</w:t>
      </w:r>
      <w:r>
        <w:t xml:space="preserve"> </w:t>
      </w:r>
      <w:r w:rsidR="00020979">
        <w:t>F</w:t>
      </w:r>
      <w:r>
        <w:t xml:space="preserve">or example, cultural </w:t>
      </w:r>
      <w:r w:rsidR="006E1BF2">
        <w:t>inclusion</w:t>
      </w:r>
      <w:r>
        <w:t>, health, safety and wellbeing accountabilities</w:t>
      </w:r>
    </w:p>
    <w:p w14:paraId="3A256D19" w14:textId="46109754" w:rsidR="00F9786F" w:rsidRDefault="00EE5672" w:rsidP="00AD0821">
      <w:pPr>
        <w:pStyle w:val="Tablebullet1"/>
        <w:numPr>
          <w:ilvl w:val="0"/>
          <w:numId w:val="8"/>
        </w:numPr>
        <w:ind w:left="426" w:hanging="284"/>
      </w:pPr>
      <w:r>
        <w:t xml:space="preserve">the </w:t>
      </w:r>
      <w:r w:rsidR="001F77D3">
        <w:t xml:space="preserve">professional </w:t>
      </w:r>
      <w:r>
        <w:t xml:space="preserve">learning and development activities* the graduate will undertake to achieve their goals, </w:t>
      </w:r>
      <w:r w:rsidRPr="003B7D4D">
        <w:t>sequence</w:t>
      </w:r>
      <w:r>
        <w:t>d</w:t>
      </w:r>
      <w:r w:rsidRPr="003B7D4D">
        <w:t xml:space="preserve"> </w:t>
      </w:r>
      <w:r>
        <w:t>by priority</w:t>
      </w:r>
      <w:r w:rsidR="00F9786F">
        <w:t xml:space="preserve">, for example, </w:t>
      </w:r>
      <w:r w:rsidR="00F9786F" w:rsidRPr="00A15116">
        <w:t xml:space="preserve">training, shadowing, group supervision </w:t>
      </w:r>
      <w:r w:rsidR="00F9786F">
        <w:t xml:space="preserve">and </w:t>
      </w:r>
      <w:r w:rsidR="00F9786F" w:rsidRPr="00A15116">
        <w:t>reflective practices</w:t>
      </w:r>
      <w:r w:rsidR="00F9786F">
        <w:t xml:space="preserve">. </w:t>
      </w:r>
      <w:r w:rsidR="00F9786F" w:rsidRPr="00F9786F">
        <w:t>These activities should include the activities offered to graduates participating in the Graduate Program as well as organisation-specific professional learning and development opportunities tailored to the graduate’s learning goals.</w:t>
      </w:r>
    </w:p>
    <w:p w14:paraId="282AABD4" w14:textId="5CBBC165" w:rsidR="00EE5672" w:rsidRPr="00A15116" w:rsidRDefault="00EE5672" w:rsidP="002A0FD2">
      <w:pPr>
        <w:pStyle w:val="Tablebullet1"/>
        <w:numPr>
          <w:ilvl w:val="0"/>
          <w:numId w:val="8"/>
        </w:numPr>
        <w:ind w:left="426" w:hanging="284"/>
      </w:pPr>
      <w:r>
        <w:t xml:space="preserve">resources and </w:t>
      </w:r>
      <w:r w:rsidRPr="00A15116">
        <w:t>supports that will help the graduate achieve their goals</w:t>
      </w:r>
      <w:r w:rsidR="00020979">
        <w:t>.</w:t>
      </w:r>
      <w:r w:rsidRPr="00A15116">
        <w:t xml:space="preserve"> </w:t>
      </w:r>
      <w:r w:rsidR="00020979">
        <w:t>F</w:t>
      </w:r>
      <w:r>
        <w:t xml:space="preserve">or example, </w:t>
      </w:r>
      <w:r w:rsidRPr="00A15116">
        <w:t>mentoring</w:t>
      </w:r>
      <w:r>
        <w:t>, buddying</w:t>
      </w:r>
    </w:p>
    <w:p w14:paraId="080EA79B" w14:textId="77777777" w:rsidR="00EE5672" w:rsidRPr="00A15116" w:rsidRDefault="00EE5672" w:rsidP="002A0FD2">
      <w:pPr>
        <w:pStyle w:val="Tablebullet1"/>
        <w:numPr>
          <w:ilvl w:val="0"/>
          <w:numId w:val="8"/>
        </w:numPr>
        <w:ind w:left="426" w:hanging="284"/>
      </w:pPr>
      <w:r w:rsidRPr="00A15116">
        <w:t>specific, measurable indicators of progress and success</w:t>
      </w:r>
      <w:r>
        <w:t xml:space="preserve"> for each goal</w:t>
      </w:r>
    </w:p>
    <w:p w14:paraId="354092A4" w14:textId="77777777" w:rsidR="00EE5672" w:rsidRDefault="00EE5672" w:rsidP="002A0FD2">
      <w:pPr>
        <w:pStyle w:val="Tablebullet1"/>
        <w:numPr>
          <w:ilvl w:val="0"/>
          <w:numId w:val="8"/>
        </w:numPr>
        <w:ind w:left="426" w:hanging="284"/>
        <w:rPr>
          <w:rFonts w:eastAsia="MS Gothic"/>
        </w:rPr>
      </w:pPr>
      <w:r>
        <w:t>the timeframe for the plan and the actions within the plan</w:t>
      </w:r>
    </w:p>
    <w:p w14:paraId="0946734D" w14:textId="77777777" w:rsidR="00EE5672" w:rsidRPr="005473E0" w:rsidRDefault="00EE5672" w:rsidP="002A0FD2">
      <w:pPr>
        <w:pStyle w:val="Tablebullet1"/>
        <w:numPr>
          <w:ilvl w:val="0"/>
          <w:numId w:val="8"/>
        </w:numPr>
        <w:ind w:left="426" w:hanging="284"/>
      </w:pPr>
      <w:r>
        <w:t>how and when the plan will be monitored, reviewed and evaluated.</w:t>
      </w:r>
    </w:p>
    <w:p w14:paraId="258DD2D4" w14:textId="77777777" w:rsidR="00AD0821" w:rsidRDefault="00AD0821" w:rsidP="00EE5672">
      <w:pPr>
        <w:pStyle w:val="Body"/>
      </w:pPr>
    </w:p>
    <w:p w14:paraId="23068EE7" w14:textId="44ACC7DA" w:rsidR="00EE5672" w:rsidRDefault="00AD0821" w:rsidP="00EE5672">
      <w:pPr>
        <w:pStyle w:val="Body"/>
        <w:sectPr w:rsidR="00EE5672" w:rsidSect="00A45592">
          <w:pgSz w:w="11906" w:h="16838" w:code="9"/>
          <w:pgMar w:top="1418" w:right="1304" w:bottom="709" w:left="1304" w:header="680" w:footer="567" w:gutter="0"/>
          <w:cols w:space="340"/>
          <w:docGrid w:linePitch="360"/>
        </w:sectPr>
      </w:pPr>
      <w:r>
        <w:t xml:space="preserve">See below for an example </w:t>
      </w:r>
      <w:r w:rsidR="007B5858">
        <w:t>Learning and Development Plan</w:t>
      </w:r>
      <w:r w:rsidR="00024855">
        <w:t xml:space="preserve">. The plan includes a </w:t>
      </w:r>
      <w:r w:rsidR="00FF4E94">
        <w:t xml:space="preserve">scheduled supervision record </w:t>
      </w:r>
      <w:r w:rsidR="00024855">
        <w:t xml:space="preserve">for the graduate and supervisor to refer to. </w:t>
      </w:r>
    </w:p>
    <w:p w14:paraId="4DA4EDB0" w14:textId="2DDF0736" w:rsidR="00EE5672" w:rsidRDefault="00EE5672" w:rsidP="0005726B">
      <w:pPr>
        <w:pStyle w:val="Heading2"/>
      </w:pPr>
      <w:bookmarkStart w:id="43" w:name="_Toc221790881"/>
      <w:r w:rsidRPr="006844C1">
        <w:lastRenderedPageBreak/>
        <w:t>Learning and development plan - [graduate</w:t>
      </w:r>
      <w:r w:rsidR="004927BA">
        <w:t xml:space="preserve"> name</w:t>
      </w:r>
      <w:r w:rsidRPr="006844C1">
        <w:t>]</w:t>
      </w:r>
      <w:bookmarkEnd w:id="43"/>
    </w:p>
    <w:p w14:paraId="7A12CDC7" w14:textId="38D5B840" w:rsidR="00DF2567" w:rsidRPr="00DF2567" w:rsidRDefault="00DF2567" w:rsidP="00DF2567">
      <w:pPr>
        <w:pStyle w:val="Heading3"/>
      </w:pPr>
      <w:r>
        <w:t xml:space="preserve">Key </w:t>
      </w:r>
      <w:r w:rsidR="00E83F9C">
        <w:t>d</w:t>
      </w:r>
      <w:r>
        <w:t xml:space="preserve">ates </w:t>
      </w:r>
    </w:p>
    <w:tbl>
      <w:tblPr>
        <w:tblStyle w:val="TableGrid"/>
        <w:tblW w:w="0" w:type="auto"/>
        <w:tblLook w:val="04A0" w:firstRow="1" w:lastRow="0" w:firstColumn="1" w:lastColumn="0" w:noHBand="0" w:noVBand="1"/>
      </w:tblPr>
      <w:tblGrid>
        <w:gridCol w:w="3397"/>
        <w:gridCol w:w="11162"/>
      </w:tblGrid>
      <w:tr w:rsidR="0005726B" w:rsidRPr="0005726B" w14:paraId="6439FC8D" w14:textId="0E7F115B" w:rsidTr="00AF6D6C">
        <w:tc>
          <w:tcPr>
            <w:tcW w:w="3397" w:type="dxa"/>
          </w:tcPr>
          <w:p w14:paraId="51C3EBCD" w14:textId="5EC7C0CC" w:rsidR="0005726B" w:rsidRPr="0005726B" w:rsidRDefault="0005726B" w:rsidP="0005726B">
            <w:pPr>
              <w:pStyle w:val="Tablecolhead"/>
            </w:pPr>
            <w:r w:rsidRPr="0005726B">
              <w:t>Date plan agreed</w:t>
            </w:r>
            <w:r w:rsidR="00315826">
              <w:t xml:space="preserve"> to</w:t>
            </w:r>
            <w:r w:rsidRPr="0005726B">
              <w:t>:</w:t>
            </w:r>
          </w:p>
        </w:tc>
        <w:tc>
          <w:tcPr>
            <w:tcW w:w="11162" w:type="dxa"/>
          </w:tcPr>
          <w:p w14:paraId="3BC98D0D" w14:textId="77777777" w:rsidR="0005726B" w:rsidRPr="0005726B" w:rsidRDefault="0005726B" w:rsidP="0005726B">
            <w:pPr>
              <w:pStyle w:val="Tabletext"/>
            </w:pPr>
          </w:p>
        </w:tc>
      </w:tr>
      <w:tr w:rsidR="0005726B" w:rsidRPr="0005726B" w14:paraId="066D204A" w14:textId="68A69F06" w:rsidTr="00AF6D6C">
        <w:tc>
          <w:tcPr>
            <w:tcW w:w="3397" w:type="dxa"/>
          </w:tcPr>
          <w:p w14:paraId="1F9A8856" w14:textId="3DC57030" w:rsidR="0005726B" w:rsidRPr="0005726B" w:rsidRDefault="0005726B" w:rsidP="0005726B">
            <w:pPr>
              <w:pStyle w:val="Tablecolhead"/>
            </w:pPr>
            <w:r w:rsidRPr="0005726B">
              <w:t>Monitoring frequency</w:t>
            </w:r>
            <w:r w:rsidR="00315826">
              <w:t xml:space="preserve"> of plan</w:t>
            </w:r>
            <w:r w:rsidRPr="0005726B">
              <w:t>:</w:t>
            </w:r>
          </w:p>
        </w:tc>
        <w:tc>
          <w:tcPr>
            <w:tcW w:w="11162" w:type="dxa"/>
          </w:tcPr>
          <w:p w14:paraId="5B2FA868" w14:textId="77777777" w:rsidR="0005726B" w:rsidRPr="0005726B" w:rsidRDefault="0005726B" w:rsidP="0005726B">
            <w:pPr>
              <w:pStyle w:val="Tabletext"/>
            </w:pPr>
          </w:p>
        </w:tc>
      </w:tr>
      <w:tr w:rsidR="0005726B" w:rsidRPr="0005726B" w14:paraId="77F7B25B" w14:textId="635607E0" w:rsidTr="00AF6D6C">
        <w:tc>
          <w:tcPr>
            <w:tcW w:w="3397" w:type="dxa"/>
          </w:tcPr>
          <w:p w14:paraId="237C7094" w14:textId="7FFE3820" w:rsidR="0005726B" w:rsidRPr="0005726B" w:rsidRDefault="0005726B" w:rsidP="0005726B">
            <w:pPr>
              <w:pStyle w:val="Tablecolhead"/>
              <w:rPr>
                <w:bCs/>
              </w:rPr>
            </w:pPr>
            <w:r w:rsidRPr="0005726B">
              <w:rPr>
                <w:bCs/>
              </w:rPr>
              <w:t xml:space="preserve">Review/evaluation </w:t>
            </w:r>
            <w:r w:rsidR="00315826">
              <w:rPr>
                <w:bCs/>
              </w:rPr>
              <w:t>of plan</w:t>
            </w:r>
            <w:r w:rsidRPr="0005726B">
              <w:rPr>
                <w:bCs/>
              </w:rPr>
              <w:t xml:space="preserve"> date:</w:t>
            </w:r>
          </w:p>
        </w:tc>
        <w:tc>
          <w:tcPr>
            <w:tcW w:w="11162" w:type="dxa"/>
          </w:tcPr>
          <w:p w14:paraId="767915E8" w14:textId="77777777" w:rsidR="0005726B" w:rsidRPr="0005726B" w:rsidRDefault="0005726B" w:rsidP="0005726B">
            <w:pPr>
              <w:pStyle w:val="Tabletext"/>
              <w:rPr>
                <w:bCs/>
              </w:rPr>
            </w:pPr>
          </w:p>
        </w:tc>
      </w:tr>
    </w:tbl>
    <w:p w14:paraId="3875F99B" w14:textId="55CFDF99" w:rsidR="00EE5672" w:rsidRDefault="0005726B" w:rsidP="0005726B">
      <w:pPr>
        <w:pStyle w:val="Heading3"/>
      </w:pPr>
      <w:r w:rsidRPr="0005726B">
        <w:t xml:space="preserve"> </w:t>
      </w:r>
      <w:r w:rsidRPr="003923F4">
        <w:t>Career plan</w:t>
      </w:r>
    </w:p>
    <w:tbl>
      <w:tblPr>
        <w:tblStyle w:val="TableGrid"/>
        <w:tblW w:w="14559" w:type="dxa"/>
        <w:tblLook w:val="04A0" w:firstRow="1" w:lastRow="0" w:firstColumn="1" w:lastColumn="0" w:noHBand="0" w:noVBand="1"/>
      </w:tblPr>
      <w:tblGrid>
        <w:gridCol w:w="3397"/>
        <w:gridCol w:w="11162"/>
      </w:tblGrid>
      <w:tr w:rsidR="0005726B" w:rsidRPr="0005726B" w14:paraId="01D7C405" w14:textId="77777777" w:rsidTr="00754878">
        <w:trPr>
          <w:trHeight w:val="1016"/>
        </w:trPr>
        <w:tc>
          <w:tcPr>
            <w:tcW w:w="3397" w:type="dxa"/>
          </w:tcPr>
          <w:p w14:paraId="67F35F15" w14:textId="635FF1CC" w:rsidR="0005726B" w:rsidRPr="00DF2567" w:rsidRDefault="0005726B" w:rsidP="00DF2567">
            <w:pPr>
              <w:pStyle w:val="Tablecolhead"/>
            </w:pPr>
            <w:r w:rsidRPr="008D66F6">
              <w:t>Career goals:</w:t>
            </w:r>
          </w:p>
        </w:tc>
        <w:tc>
          <w:tcPr>
            <w:tcW w:w="11162" w:type="dxa"/>
          </w:tcPr>
          <w:p w14:paraId="7E93A96D" w14:textId="77777777" w:rsidR="0005726B" w:rsidRPr="0005726B" w:rsidRDefault="0005726B">
            <w:pPr>
              <w:pStyle w:val="Tabletext"/>
            </w:pPr>
          </w:p>
        </w:tc>
      </w:tr>
      <w:tr w:rsidR="0005726B" w:rsidRPr="0005726B" w14:paraId="6E827D53" w14:textId="77777777" w:rsidTr="00754878">
        <w:trPr>
          <w:trHeight w:val="1127"/>
        </w:trPr>
        <w:tc>
          <w:tcPr>
            <w:tcW w:w="3397" w:type="dxa"/>
          </w:tcPr>
          <w:p w14:paraId="4D87AC63" w14:textId="6948E872" w:rsidR="0005726B" w:rsidRPr="00DF2567" w:rsidRDefault="0005726B" w:rsidP="00DF2567">
            <w:pPr>
              <w:pStyle w:val="Tablecolhead"/>
            </w:pPr>
            <w:r w:rsidRPr="008D66F6">
              <w:t>Possible pathways to achieving career goals:</w:t>
            </w:r>
          </w:p>
        </w:tc>
        <w:tc>
          <w:tcPr>
            <w:tcW w:w="11162" w:type="dxa"/>
          </w:tcPr>
          <w:p w14:paraId="68ED3120" w14:textId="77777777" w:rsidR="0005726B" w:rsidRPr="0005726B" w:rsidRDefault="0005726B">
            <w:pPr>
              <w:pStyle w:val="Tabletext"/>
            </w:pPr>
          </w:p>
        </w:tc>
      </w:tr>
    </w:tbl>
    <w:p w14:paraId="00961CB1" w14:textId="48AD72E8" w:rsidR="00B123B7" w:rsidRDefault="00C83D37" w:rsidP="00C83D37">
      <w:pPr>
        <w:pStyle w:val="Heading3"/>
      </w:pPr>
      <w:r>
        <w:t>Current role</w:t>
      </w:r>
    </w:p>
    <w:tbl>
      <w:tblPr>
        <w:tblStyle w:val="TableGrid"/>
        <w:tblW w:w="0" w:type="auto"/>
        <w:tblLook w:val="04A0" w:firstRow="1" w:lastRow="0" w:firstColumn="1" w:lastColumn="0" w:noHBand="0" w:noVBand="1"/>
      </w:tblPr>
      <w:tblGrid>
        <w:gridCol w:w="7279"/>
        <w:gridCol w:w="7280"/>
      </w:tblGrid>
      <w:tr w:rsidR="000A6FC2" w14:paraId="5C0F5A6C" w14:textId="77777777" w:rsidTr="00624427">
        <w:trPr>
          <w:tblHeader/>
        </w:trPr>
        <w:tc>
          <w:tcPr>
            <w:tcW w:w="7279" w:type="dxa"/>
          </w:tcPr>
          <w:p w14:paraId="6971563D" w14:textId="1B40F7E4" w:rsidR="000A6FC2" w:rsidRPr="006844C1" w:rsidRDefault="000A6FC2" w:rsidP="0070019A">
            <w:pPr>
              <w:pStyle w:val="Tablecolhead"/>
            </w:pPr>
            <w:r>
              <w:t>Item</w:t>
            </w:r>
          </w:p>
        </w:tc>
        <w:tc>
          <w:tcPr>
            <w:tcW w:w="7280" w:type="dxa"/>
          </w:tcPr>
          <w:p w14:paraId="3C0662F6" w14:textId="735817B5" w:rsidR="000A6FC2" w:rsidRDefault="000A6FC2" w:rsidP="000A6FC2">
            <w:pPr>
              <w:pStyle w:val="Tablecolhead"/>
            </w:pPr>
            <w:r>
              <w:t xml:space="preserve">Response </w:t>
            </w:r>
          </w:p>
        </w:tc>
      </w:tr>
      <w:tr w:rsidR="00A64432" w14:paraId="35716DBC" w14:textId="77777777" w:rsidTr="00754878">
        <w:trPr>
          <w:trHeight w:val="3259"/>
        </w:trPr>
        <w:tc>
          <w:tcPr>
            <w:tcW w:w="7279" w:type="dxa"/>
          </w:tcPr>
          <w:p w14:paraId="7BD7E310" w14:textId="1A4ACDC2" w:rsidR="00A64432" w:rsidRDefault="0070019A" w:rsidP="0070019A">
            <w:pPr>
              <w:pStyle w:val="Tablecolhead"/>
            </w:pPr>
            <w:r w:rsidRPr="006844C1">
              <w:t>Requirements (knowledge, capabilities, skills)</w:t>
            </w:r>
          </w:p>
        </w:tc>
        <w:tc>
          <w:tcPr>
            <w:tcW w:w="7280" w:type="dxa"/>
          </w:tcPr>
          <w:p w14:paraId="26FFD288" w14:textId="252944B5" w:rsidR="00624427" w:rsidRDefault="0070019A" w:rsidP="00A64432">
            <w:pPr>
              <w:pStyle w:val="Body"/>
            </w:pPr>
            <w:r>
              <w:t>For example:</w:t>
            </w:r>
            <w:r w:rsidRPr="0010316D">
              <w:t xml:space="preserve"> Working collaboratively - develop connections between people, establish good rapport, keep service users engaged, manage expectations</w:t>
            </w:r>
          </w:p>
          <w:p w14:paraId="4376A8BA" w14:textId="77777777" w:rsidR="00754878" w:rsidRDefault="00754878" w:rsidP="00A64432">
            <w:pPr>
              <w:pStyle w:val="Body"/>
            </w:pPr>
          </w:p>
          <w:p w14:paraId="6BE38998" w14:textId="77777777" w:rsidR="00754878" w:rsidRDefault="00754878" w:rsidP="00A64432">
            <w:pPr>
              <w:pStyle w:val="Body"/>
            </w:pPr>
          </w:p>
          <w:p w14:paraId="7D25532E" w14:textId="3684FD8D" w:rsidR="00B961F0" w:rsidRDefault="00B961F0" w:rsidP="00A64432">
            <w:pPr>
              <w:pStyle w:val="Body"/>
            </w:pPr>
            <w:r>
              <w:t>For example:</w:t>
            </w:r>
            <w:r w:rsidRPr="0010316D">
              <w:t xml:space="preserve"> Systems thinking - consider the wider context, break complex issues or situations into smaller parts to gain better insights and inform actions required</w:t>
            </w:r>
          </w:p>
          <w:p w14:paraId="242EE0C3" w14:textId="15113A19" w:rsidR="00B961F0" w:rsidRDefault="00B961F0" w:rsidP="00A64432">
            <w:pPr>
              <w:pStyle w:val="Body"/>
            </w:pPr>
          </w:p>
        </w:tc>
      </w:tr>
      <w:tr w:rsidR="00A64432" w14:paraId="56B9BB9D" w14:textId="77777777" w:rsidTr="00A64432">
        <w:tc>
          <w:tcPr>
            <w:tcW w:w="7279" w:type="dxa"/>
          </w:tcPr>
          <w:p w14:paraId="5B8B976B" w14:textId="64E47E62" w:rsidR="00A64432" w:rsidRDefault="00B961F0" w:rsidP="000A6FC2">
            <w:pPr>
              <w:pStyle w:val="Tablecolhead"/>
            </w:pPr>
            <w:r w:rsidRPr="006844C1">
              <w:lastRenderedPageBreak/>
              <w:t>Current proficiency level</w:t>
            </w:r>
          </w:p>
        </w:tc>
        <w:tc>
          <w:tcPr>
            <w:tcW w:w="7280" w:type="dxa"/>
          </w:tcPr>
          <w:p w14:paraId="153CC0B6" w14:textId="2B93E63A" w:rsidR="00A64432" w:rsidRDefault="00B961F0" w:rsidP="00A64432">
            <w:pPr>
              <w:pStyle w:val="Body"/>
            </w:pPr>
            <w:r>
              <w:t>For example:</w:t>
            </w:r>
            <w:r w:rsidRPr="0010316D">
              <w:t xml:space="preserve"> Foundational; applied, accomplished; leading</w:t>
            </w:r>
          </w:p>
        </w:tc>
      </w:tr>
      <w:tr w:rsidR="00A64432" w14:paraId="1221110C" w14:textId="77777777" w:rsidTr="00F124FB">
        <w:trPr>
          <w:trHeight w:val="6283"/>
        </w:trPr>
        <w:tc>
          <w:tcPr>
            <w:tcW w:w="7279" w:type="dxa"/>
          </w:tcPr>
          <w:p w14:paraId="2E5F6A66" w14:textId="452F4BA4" w:rsidR="00A64432" w:rsidRDefault="00FE7FC2" w:rsidP="000A6FC2">
            <w:pPr>
              <w:pStyle w:val="Tablecolhead"/>
            </w:pPr>
            <w:r w:rsidRPr="006844C1">
              <w:t>Learning and development goals</w:t>
            </w:r>
          </w:p>
        </w:tc>
        <w:tc>
          <w:tcPr>
            <w:tcW w:w="7280" w:type="dxa"/>
          </w:tcPr>
          <w:p w14:paraId="0BC26904" w14:textId="77777777" w:rsidR="00FE7FC2" w:rsidRDefault="00FE7FC2" w:rsidP="00F124FB">
            <w:pPr>
              <w:pStyle w:val="Tabletext"/>
              <w:spacing w:line="360" w:lineRule="auto"/>
            </w:pPr>
            <w:r w:rsidRPr="77F01D2C">
              <w:t>Immediate:</w:t>
            </w:r>
          </w:p>
          <w:p w14:paraId="3C437719" w14:textId="77777777" w:rsidR="00FE7FC2" w:rsidRDefault="00FE7FC2" w:rsidP="00F124FB">
            <w:pPr>
              <w:pStyle w:val="Tabletext"/>
              <w:spacing w:line="360" w:lineRule="auto"/>
            </w:pPr>
          </w:p>
          <w:p w14:paraId="033CE037" w14:textId="77777777" w:rsidR="00FE7FC2" w:rsidRDefault="00FE7FC2" w:rsidP="00F124FB">
            <w:pPr>
              <w:pStyle w:val="Tabletext"/>
              <w:spacing w:line="360" w:lineRule="auto"/>
            </w:pPr>
            <w:r w:rsidRPr="77F01D2C">
              <w:t>Short-medium term:</w:t>
            </w:r>
          </w:p>
          <w:p w14:paraId="51724132" w14:textId="77777777" w:rsidR="00FE7FC2" w:rsidRDefault="00FE7FC2" w:rsidP="00F124FB">
            <w:pPr>
              <w:pStyle w:val="Tabletext"/>
              <w:spacing w:line="360" w:lineRule="auto"/>
            </w:pPr>
          </w:p>
          <w:p w14:paraId="273C033E" w14:textId="77777777" w:rsidR="00FE7FC2" w:rsidRDefault="00FE7FC2" w:rsidP="00F124FB">
            <w:pPr>
              <w:pStyle w:val="Tabletext"/>
              <w:spacing w:line="360" w:lineRule="auto"/>
            </w:pPr>
            <w:r w:rsidRPr="77F01D2C">
              <w:t>Longer-term:</w:t>
            </w:r>
          </w:p>
          <w:p w14:paraId="4A36CBA8" w14:textId="77777777" w:rsidR="0035094E" w:rsidRDefault="0035094E" w:rsidP="00F124FB">
            <w:pPr>
              <w:pStyle w:val="Tabletext"/>
              <w:spacing w:line="360" w:lineRule="auto"/>
            </w:pPr>
          </w:p>
          <w:p w14:paraId="4B95CFD6" w14:textId="77777777" w:rsidR="0035094E" w:rsidRDefault="0035094E" w:rsidP="00F124FB">
            <w:pPr>
              <w:pStyle w:val="Tabletext"/>
              <w:spacing w:line="360" w:lineRule="auto"/>
            </w:pPr>
          </w:p>
          <w:p w14:paraId="6E99EC33" w14:textId="77777777" w:rsidR="00DF6511" w:rsidRDefault="00DF6511" w:rsidP="00F124FB">
            <w:pPr>
              <w:pStyle w:val="Tabletext"/>
              <w:spacing w:line="360" w:lineRule="auto"/>
            </w:pPr>
          </w:p>
          <w:p w14:paraId="0C2A145A" w14:textId="167055D8" w:rsidR="0035094E" w:rsidRDefault="0035094E" w:rsidP="00F124FB">
            <w:pPr>
              <w:pStyle w:val="Tabletext"/>
              <w:spacing w:line="360" w:lineRule="auto"/>
            </w:pPr>
            <w:r w:rsidRPr="0010316D">
              <w:t>Immediate</w:t>
            </w:r>
            <w:r>
              <w:t>:</w:t>
            </w:r>
          </w:p>
          <w:p w14:paraId="455B712D" w14:textId="77777777" w:rsidR="0035094E" w:rsidRDefault="0035094E" w:rsidP="00F124FB">
            <w:pPr>
              <w:pStyle w:val="Tabletext"/>
              <w:spacing w:line="360" w:lineRule="auto"/>
            </w:pPr>
          </w:p>
          <w:p w14:paraId="601192D4" w14:textId="77777777" w:rsidR="0035094E" w:rsidRDefault="0035094E" w:rsidP="00F124FB">
            <w:pPr>
              <w:pStyle w:val="Tabletext"/>
              <w:spacing w:line="360" w:lineRule="auto"/>
            </w:pPr>
            <w:r w:rsidRPr="0010316D">
              <w:t>Short-medium term</w:t>
            </w:r>
            <w:r>
              <w:t>:</w:t>
            </w:r>
          </w:p>
          <w:p w14:paraId="1D3AB3CC" w14:textId="77777777" w:rsidR="0035094E" w:rsidRDefault="0035094E" w:rsidP="00F124FB">
            <w:pPr>
              <w:pStyle w:val="Tabletext"/>
              <w:spacing w:line="360" w:lineRule="auto"/>
            </w:pPr>
          </w:p>
          <w:p w14:paraId="70105859" w14:textId="77777777" w:rsidR="0035094E" w:rsidRDefault="0035094E" w:rsidP="00F124FB">
            <w:pPr>
              <w:pStyle w:val="Tabletext"/>
              <w:spacing w:line="360" w:lineRule="auto"/>
            </w:pPr>
            <w:r w:rsidRPr="0010316D">
              <w:t>Longer-term</w:t>
            </w:r>
            <w:r>
              <w:t>:</w:t>
            </w:r>
          </w:p>
          <w:p w14:paraId="1D81A845" w14:textId="77777777" w:rsidR="00A64432" w:rsidRDefault="00A64432" w:rsidP="00A64432">
            <w:pPr>
              <w:pStyle w:val="Body"/>
            </w:pPr>
          </w:p>
        </w:tc>
      </w:tr>
      <w:tr w:rsidR="00A64432" w14:paraId="11E9EC43" w14:textId="77777777" w:rsidTr="00A768BB">
        <w:trPr>
          <w:trHeight w:val="1804"/>
        </w:trPr>
        <w:tc>
          <w:tcPr>
            <w:tcW w:w="7279" w:type="dxa"/>
          </w:tcPr>
          <w:p w14:paraId="1997B2C2" w14:textId="73D0EE51" w:rsidR="00A64432" w:rsidRDefault="0035094E" w:rsidP="000A6FC2">
            <w:pPr>
              <w:pStyle w:val="Tablecolhead"/>
            </w:pPr>
            <w:r w:rsidRPr="006844C1">
              <w:t>Learning and development activities to achieve goals</w:t>
            </w:r>
          </w:p>
        </w:tc>
        <w:tc>
          <w:tcPr>
            <w:tcW w:w="7280" w:type="dxa"/>
          </w:tcPr>
          <w:p w14:paraId="6BB17532" w14:textId="77777777" w:rsidR="007E0196" w:rsidRDefault="007E0196" w:rsidP="00A768BB">
            <w:pPr>
              <w:pStyle w:val="Body"/>
            </w:pPr>
          </w:p>
        </w:tc>
      </w:tr>
      <w:tr w:rsidR="00A64432" w14:paraId="18B6C4BC" w14:textId="77777777" w:rsidTr="00A768BB">
        <w:trPr>
          <w:trHeight w:val="1689"/>
        </w:trPr>
        <w:tc>
          <w:tcPr>
            <w:tcW w:w="7279" w:type="dxa"/>
          </w:tcPr>
          <w:p w14:paraId="56198BCC" w14:textId="32CFCBDC" w:rsidR="00A64432" w:rsidRDefault="0035094E" w:rsidP="000A6FC2">
            <w:pPr>
              <w:pStyle w:val="Tablecolhead"/>
            </w:pPr>
            <w:r w:rsidRPr="006844C1">
              <w:lastRenderedPageBreak/>
              <w:t>Resources and supports</w:t>
            </w:r>
          </w:p>
        </w:tc>
        <w:tc>
          <w:tcPr>
            <w:tcW w:w="7280" w:type="dxa"/>
          </w:tcPr>
          <w:p w14:paraId="2D14F990" w14:textId="77777777" w:rsidR="007E0196" w:rsidRDefault="007E0196" w:rsidP="00A768BB">
            <w:pPr>
              <w:pStyle w:val="Body"/>
            </w:pPr>
          </w:p>
        </w:tc>
      </w:tr>
      <w:tr w:rsidR="0035094E" w14:paraId="50E71F1C" w14:textId="77777777" w:rsidTr="00F124FB">
        <w:trPr>
          <w:trHeight w:val="1156"/>
        </w:trPr>
        <w:tc>
          <w:tcPr>
            <w:tcW w:w="7279" w:type="dxa"/>
          </w:tcPr>
          <w:p w14:paraId="55F522A2" w14:textId="13AE5173" w:rsidR="0035094E" w:rsidRPr="00A42670" w:rsidRDefault="0035094E" w:rsidP="00A42670">
            <w:pPr>
              <w:pStyle w:val="Tabletext"/>
              <w:rPr>
                <w:b/>
                <w:bCs/>
              </w:rPr>
            </w:pPr>
            <w:r w:rsidRPr="00A42670">
              <w:rPr>
                <w:b/>
                <w:bCs/>
              </w:rPr>
              <w:t>Indicators of goal achievement</w:t>
            </w:r>
          </w:p>
        </w:tc>
        <w:tc>
          <w:tcPr>
            <w:tcW w:w="7280" w:type="dxa"/>
          </w:tcPr>
          <w:p w14:paraId="383E80FC" w14:textId="77777777" w:rsidR="007E0196" w:rsidRDefault="007E0196" w:rsidP="00A768BB">
            <w:pPr>
              <w:pStyle w:val="Body"/>
            </w:pPr>
          </w:p>
        </w:tc>
      </w:tr>
      <w:tr w:rsidR="0035094E" w14:paraId="1A60E082" w14:textId="77777777" w:rsidTr="00A64432">
        <w:tc>
          <w:tcPr>
            <w:tcW w:w="7279" w:type="dxa"/>
          </w:tcPr>
          <w:p w14:paraId="221A5B33" w14:textId="654F81E0" w:rsidR="0035094E" w:rsidRPr="00A42670" w:rsidRDefault="0035094E" w:rsidP="00A42670">
            <w:pPr>
              <w:pStyle w:val="Tabletext"/>
              <w:rPr>
                <w:b/>
                <w:bCs/>
              </w:rPr>
            </w:pPr>
            <w:r w:rsidRPr="00A42670">
              <w:rPr>
                <w:b/>
                <w:bCs/>
              </w:rPr>
              <w:t>Timeframe for completion</w:t>
            </w:r>
          </w:p>
        </w:tc>
        <w:tc>
          <w:tcPr>
            <w:tcW w:w="7280" w:type="dxa"/>
          </w:tcPr>
          <w:p w14:paraId="68297B02" w14:textId="4EC6AC5E" w:rsidR="007E0196" w:rsidRDefault="007E0196" w:rsidP="00A64432">
            <w:pPr>
              <w:pStyle w:val="Body"/>
            </w:pPr>
          </w:p>
        </w:tc>
      </w:tr>
      <w:tr w:rsidR="0035094E" w14:paraId="2FABA269" w14:textId="77777777" w:rsidTr="00F124FB">
        <w:trPr>
          <w:trHeight w:val="1189"/>
        </w:trPr>
        <w:tc>
          <w:tcPr>
            <w:tcW w:w="7279" w:type="dxa"/>
          </w:tcPr>
          <w:p w14:paraId="4409711D" w14:textId="01C61C73" w:rsidR="0035094E" w:rsidRPr="00A42670" w:rsidRDefault="0035094E" w:rsidP="00A42670">
            <w:pPr>
              <w:pStyle w:val="Tabletext"/>
              <w:rPr>
                <w:b/>
                <w:bCs/>
              </w:rPr>
            </w:pPr>
            <w:r w:rsidRPr="00A42670">
              <w:rPr>
                <w:b/>
                <w:bCs/>
              </w:rPr>
              <w:t>Review date and outcome</w:t>
            </w:r>
          </w:p>
        </w:tc>
        <w:tc>
          <w:tcPr>
            <w:tcW w:w="7280" w:type="dxa"/>
          </w:tcPr>
          <w:p w14:paraId="39453915" w14:textId="77777777" w:rsidR="007E0196" w:rsidRDefault="007E0196" w:rsidP="00A64432">
            <w:pPr>
              <w:pStyle w:val="Body"/>
            </w:pPr>
          </w:p>
        </w:tc>
      </w:tr>
    </w:tbl>
    <w:p w14:paraId="41C6C513" w14:textId="3E1FDCB9" w:rsidR="0049416C" w:rsidRPr="00FD2812" w:rsidRDefault="009B26D2" w:rsidP="00FD2812">
      <w:pPr>
        <w:pStyle w:val="Heading3"/>
        <w:rPr>
          <w:rStyle w:val="ui-provider"/>
        </w:rPr>
      </w:pPr>
      <w:r w:rsidRPr="003923F4">
        <w:t>Support and wellbeing plan - including plan to ensure graduate psychological and cultural wellbeing</w:t>
      </w:r>
    </w:p>
    <w:tbl>
      <w:tblPr>
        <w:tblStyle w:val="TableGrid"/>
        <w:tblW w:w="14596" w:type="dxa"/>
        <w:tblLook w:val="04A0" w:firstRow="1" w:lastRow="0" w:firstColumn="1" w:lastColumn="0" w:noHBand="0" w:noVBand="1"/>
      </w:tblPr>
      <w:tblGrid>
        <w:gridCol w:w="7225"/>
        <w:gridCol w:w="7371"/>
      </w:tblGrid>
      <w:tr w:rsidR="00FD2812" w:rsidRPr="00140B1D" w14:paraId="03908077" w14:textId="77777777" w:rsidTr="004F53F3">
        <w:trPr>
          <w:tblHeader/>
        </w:trPr>
        <w:tc>
          <w:tcPr>
            <w:tcW w:w="7225" w:type="dxa"/>
          </w:tcPr>
          <w:p w14:paraId="39A069E6" w14:textId="62DD843D" w:rsidR="00FD2812" w:rsidRPr="00A42670" w:rsidRDefault="00FD2812" w:rsidP="00FD2812">
            <w:pPr>
              <w:pStyle w:val="Tablecolhead"/>
            </w:pPr>
            <w:r>
              <w:t>Item</w:t>
            </w:r>
          </w:p>
        </w:tc>
        <w:tc>
          <w:tcPr>
            <w:tcW w:w="7371" w:type="dxa"/>
          </w:tcPr>
          <w:p w14:paraId="5A0B6E3A" w14:textId="0C8462A6" w:rsidR="00FD2812" w:rsidRPr="008D66F6" w:rsidRDefault="00FD2812" w:rsidP="00FD2812">
            <w:pPr>
              <w:pStyle w:val="Tablecolhead"/>
              <w:rPr>
                <w:bCs/>
              </w:rPr>
            </w:pPr>
            <w:r>
              <w:rPr>
                <w:bCs/>
              </w:rPr>
              <w:t xml:space="preserve">Response </w:t>
            </w:r>
          </w:p>
        </w:tc>
      </w:tr>
      <w:tr w:rsidR="0049416C" w:rsidRPr="00140B1D" w14:paraId="2D037359" w14:textId="7CEC7708" w:rsidTr="00A42670">
        <w:tc>
          <w:tcPr>
            <w:tcW w:w="7225" w:type="dxa"/>
          </w:tcPr>
          <w:p w14:paraId="1E0F8A0E" w14:textId="291A74CF" w:rsidR="0049416C" w:rsidRPr="008D66F6" w:rsidRDefault="004C0821" w:rsidP="00A42670">
            <w:pPr>
              <w:pStyle w:val="Tablecolhead"/>
              <w:rPr>
                <w:b w:val="0"/>
                <w:bCs/>
              </w:rPr>
            </w:pPr>
            <w:r w:rsidRPr="00A42670">
              <w:t>Graduate s</w:t>
            </w:r>
            <w:r w:rsidR="0049416C" w:rsidRPr="008D66F6">
              <w:rPr>
                <w:b w:val="0"/>
                <w:bCs/>
              </w:rPr>
              <w:t>upport</w:t>
            </w:r>
            <w:r w:rsidRPr="008D66F6">
              <w:rPr>
                <w:b w:val="0"/>
                <w:bCs/>
              </w:rPr>
              <w:t xml:space="preserve">, </w:t>
            </w:r>
            <w:r w:rsidR="0049416C" w:rsidRPr="008D66F6">
              <w:rPr>
                <w:b w:val="0"/>
                <w:bCs/>
              </w:rPr>
              <w:t xml:space="preserve">wellbeing </w:t>
            </w:r>
            <w:r w:rsidRPr="008D66F6">
              <w:rPr>
                <w:b w:val="0"/>
                <w:bCs/>
              </w:rPr>
              <w:t xml:space="preserve">and safety </w:t>
            </w:r>
            <w:r w:rsidR="0049416C" w:rsidRPr="008D66F6">
              <w:rPr>
                <w:b w:val="0"/>
                <w:bCs/>
              </w:rPr>
              <w:t>needs:</w:t>
            </w:r>
          </w:p>
          <w:p w14:paraId="552FFCD6" w14:textId="77777777" w:rsidR="0049416C" w:rsidRPr="00A42670" w:rsidRDefault="0049416C" w:rsidP="00A42670">
            <w:pPr>
              <w:pStyle w:val="Tablecolhead"/>
            </w:pPr>
          </w:p>
        </w:tc>
        <w:tc>
          <w:tcPr>
            <w:tcW w:w="7371" w:type="dxa"/>
          </w:tcPr>
          <w:p w14:paraId="6FA0756D" w14:textId="77777777" w:rsidR="00A42670" w:rsidRPr="008D66F6" w:rsidRDefault="00A42670" w:rsidP="008D66F6">
            <w:pPr>
              <w:pStyle w:val="Tabletext"/>
              <w:rPr>
                <w:b/>
                <w:bCs/>
              </w:rPr>
            </w:pPr>
          </w:p>
        </w:tc>
      </w:tr>
      <w:tr w:rsidR="00583440" w:rsidRPr="00140B1D" w14:paraId="0F284E7A" w14:textId="732AD6E5" w:rsidTr="00A42670">
        <w:trPr>
          <w:trHeight w:val="962"/>
        </w:trPr>
        <w:tc>
          <w:tcPr>
            <w:tcW w:w="7225" w:type="dxa"/>
          </w:tcPr>
          <w:p w14:paraId="3D04258E" w14:textId="123209CF" w:rsidR="00583440" w:rsidRPr="008D66F6" w:rsidRDefault="00583440" w:rsidP="00A42670">
            <w:pPr>
              <w:pStyle w:val="Tablecolhead"/>
              <w:rPr>
                <w:b w:val="0"/>
                <w:bCs/>
              </w:rPr>
            </w:pPr>
            <w:r w:rsidRPr="00A42670">
              <w:t>Strategies to address graduate support, safety (physical, psychological and cultural) and wellbeing needs:</w:t>
            </w:r>
          </w:p>
          <w:p w14:paraId="5BB378A6" w14:textId="56ADA7A2" w:rsidR="00583440" w:rsidRPr="00A42670" w:rsidRDefault="00583440" w:rsidP="00A42670">
            <w:pPr>
              <w:pStyle w:val="Tablecolhead"/>
            </w:pPr>
          </w:p>
        </w:tc>
        <w:tc>
          <w:tcPr>
            <w:tcW w:w="7371" w:type="dxa"/>
          </w:tcPr>
          <w:p w14:paraId="124FF5D0" w14:textId="77777777" w:rsidR="00A42670" w:rsidRPr="008D66F6" w:rsidRDefault="00A42670" w:rsidP="008D66F6">
            <w:pPr>
              <w:pStyle w:val="Tabletext"/>
              <w:rPr>
                <w:b/>
                <w:bCs/>
              </w:rPr>
            </w:pPr>
          </w:p>
        </w:tc>
      </w:tr>
    </w:tbl>
    <w:p w14:paraId="109075FF" w14:textId="3722F19C" w:rsidR="00FD2812" w:rsidRPr="006844C1" w:rsidRDefault="00FD2812" w:rsidP="00E27CB8">
      <w:pPr>
        <w:pStyle w:val="Heading3"/>
        <w:rPr>
          <w:rStyle w:val="ui-provider"/>
          <w:color w:val="000000" w:themeColor="text1"/>
        </w:rPr>
      </w:pPr>
      <w:r>
        <w:t>S</w:t>
      </w:r>
      <w:r w:rsidRPr="003923F4">
        <w:t>cheduled supervision record</w:t>
      </w:r>
    </w:p>
    <w:p w14:paraId="28AE274F" w14:textId="77777777" w:rsidR="0049416C" w:rsidRPr="004A7C13" w:rsidRDefault="0049416C" w:rsidP="0049416C">
      <w:pPr>
        <w:spacing w:after="0" w:line="240" w:lineRule="auto"/>
        <w:rPr>
          <w:sz w:val="2"/>
          <w:szCs w:val="2"/>
        </w:rPr>
      </w:pPr>
    </w:p>
    <w:tbl>
      <w:tblPr>
        <w:tblStyle w:val="TableGrid"/>
        <w:tblW w:w="14737" w:type="dxa"/>
        <w:tblLook w:val="04A0" w:firstRow="1" w:lastRow="0" w:firstColumn="1" w:lastColumn="0" w:noHBand="0" w:noVBand="1"/>
      </w:tblPr>
      <w:tblGrid>
        <w:gridCol w:w="2547"/>
        <w:gridCol w:w="5386"/>
        <w:gridCol w:w="2690"/>
        <w:gridCol w:w="4114"/>
      </w:tblGrid>
      <w:tr w:rsidR="0049416C" w:rsidRPr="00FF4A73" w14:paraId="6DD43E4F" w14:textId="77777777" w:rsidTr="00D32399">
        <w:trPr>
          <w:tblHeader/>
        </w:trPr>
        <w:tc>
          <w:tcPr>
            <w:tcW w:w="2547" w:type="dxa"/>
          </w:tcPr>
          <w:p w14:paraId="155912ED" w14:textId="5E1A9170" w:rsidR="0049416C" w:rsidRPr="006844C1" w:rsidRDefault="0049416C" w:rsidP="008D66F6">
            <w:pPr>
              <w:pStyle w:val="Tablecolhead"/>
            </w:pPr>
            <w:r w:rsidRPr="006844C1">
              <w:t xml:space="preserve">Supervision </w:t>
            </w:r>
            <w:r w:rsidRPr="00504B5C">
              <w:t>date</w:t>
            </w:r>
          </w:p>
        </w:tc>
        <w:tc>
          <w:tcPr>
            <w:tcW w:w="5386" w:type="dxa"/>
          </w:tcPr>
          <w:p w14:paraId="1537C2A0" w14:textId="77777777" w:rsidR="0049416C" w:rsidRPr="006844C1" w:rsidRDefault="0049416C" w:rsidP="008D66F6">
            <w:pPr>
              <w:pStyle w:val="Tablecolhead"/>
            </w:pPr>
            <w:r>
              <w:t>Supervision method e.g. formal, informal, group, live</w:t>
            </w:r>
          </w:p>
        </w:tc>
        <w:tc>
          <w:tcPr>
            <w:tcW w:w="2690" w:type="dxa"/>
          </w:tcPr>
          <w:p w14:paraId="17323444" w14:textId="77777777" w:rsidR="0049416C" w:rsidRPr="006844C1" w:rsidRDefault="0049416C" w:rsidP="008D66F6">
            <w:pPr>
              <w:pStyle w:val="Tablecolhead"/>
            </w:pPr>
            <w:r w:rsidRPr="006844C1">
              <w:t>Length of supervision</w:t>
            </w:r>
          </w:p>
        </w:tc>
        <w:tc>
          <w:tcPr>
            <w:tcW w:w="4114" w:type="dxa"/>
          </w:tcPr>
          <w:p w14:paraId="7C0BDAC2" w14:textId="77777777" w:rsidR="0049416C" w:rsidRPr="006844C1" w:rsidRDefault="0049416C" w:rsidP="008D66F6">
            <w:pPr>
              <w:pStyle w:val="Tablecolhead"/>
            </w:pPr>
            <w:r w:rsidRPr="006844C1">
              <w:t>Supervisor</w:t>
            </w:r>
          </w:p>
        </w:tc>
      </w:tr>
      <w:tr w:rsidR="0049416C" w:rsidRPr="00FF4A73" w14:paraId="539F9248" w14:textId="77777777">
        <w:trPr>
          <w:trHeight w:val="322"/>
        </w:trPr>
        <w:tc>
          <w:tcPr>
            <w:tcW w:w="2547" w:type="dxa"/>
          </w:tcPr>
          <w:p w14:paraId="02674408" w14:textId="77777777" w:rsidR="0049416C" w:rsidRPr="006844C1" w:rsidRDefault="0049416C" w:rsidP="008D66F6">
            <w:pPr>
              <w:pStyle w:val="Tabletext"/>
            </w:pPr>
          </w:p>
        </w:tc>
        <w:tc>
          <w:tcPr>
            <w:tcW w:w="5386" w:type="dxa"/>
          </w:tcPr>
          <w:p w14:paraId="4EA9869A" w14:textId="77777777" w:rsidR="0049416C" w:rsidRPr="006844C1" w:rsidRDefault="0049416C" w:rsidP="008D66F6">
            <w:pPr>
              <w:pStyle w:val="Tabletext"/>
            </w:pPr>
          </w:p>
        </w:tc>
        <w:tc>
          <w:tcPr>
            <w:tcW w:w="2690" w:type="dxa"/>
          </w:tcPr>
          <w:p w14:paraId="589D956B" w14:textId="77777777" w:rsidR="0049416C" w:rsidRPr="006844C1" w:rsidRDefault="0049416C" w:rsidP="008D66F6">
            <w:pPr>
              <w:pStyle w:val="Tabletext"/>
            </w:pPr>
          </w:p>
        </w:tc>
        <w:tc>
          <w:tcPr>
            <w:tcW w:w="4114" w:type="dxa"/>
          </w:tcPr>
          <w:p w14:paraId="307A01B0" w14:textId="77777777" w:rsidR="0049416C" w:rsidRPr="006844C1" w:rsidRDefault="0049416C" w:rsidP="008D66F6">
            <w:pPr>
              <w:pStyle w:val="Tabletext"/>
            </w:pPr>
          </w:p>
        </w:tc>
      </w:tr>
      <w:tr w:rsidR="0049416C" w:rsidRPr="00FF4A73" w14:paraId="051F00ED" w14:textId="77777777">
        <w:trPr>
          <w:trHeight w:val="322"/>
        </w:trPr>
        <w:tc>
          <w:tcPr>
            <w:tcW w:w="2547" w:type="dxa"/>
          </w:tcPr>
          <w:p w14:paraId="2BBBA9BA" w14:textId="77777777" w:rsidR="0049416C" w:rsidRPr="00FF4A73" w:rsidRDefault="0049416C" w:rsidP="008D66F6">
            <w:pPr>
              <w:pStyle w:val="Tabletext"/>
            </w:pPr>
          </w:p>
        </w:tc>
        <w:tc>
          <w:tcPr>
            <w:tcW w:w="5386" w:type="dxa"/>
          </w:tcPr>
          <w:p w14:paraId="596B08AE" w14:textId="77777777" w:rsidR="0049416C" w:rsidRPr="00FF4A73" w:rsidRDefault="0049416C" w:rsidP="008D66F6">
            <w:pPr>
              <w:pStyle w:val="Tabletext"/>
            </w:pPr>
          </w:p>
        </w:tc>
        <w:tc>
          <w:tcPr>
            <w:tcW w:w="2690" w:type="dxa"/>
          </w:tcPr>
          <w:p w14:paraId="7A38D951" w14:textId="77777777" w:rsidR="0049416C" w:rsidRPr="00FF4A73" w:rsidRDefault="0049416C" w:rsidP="008D66F6">
            <w:pPr>
              <w:pStyle w:val="Tabletext"/>
            </w:pPr>
          </w:p>
        </w:tc>
        <w:tc>
          <w:tcPr>
            <w:tcW w:w="4114" w:type="dxa"/>
          </w:tcPr>
          <w:p w14:paraId="71F5FE05" w14:textId="77777777" w:rsidR="0049416C" w:rsidRPr="00FF4A73" w:rsidRDefault="0049416C" w:rsidP="008D66F6">
            <w:pPr>
              <w:pStyle w:val="Tabletext"/>
            </w:pPr>
          </w:p>
        </w:tc>
      </w:tr>
      <w:tr w:rsidR="0049416C" w:rsidRPr="00FF4A73" w14:paraId="4943A9F2" w14:textId="77777777">
        <w:trPr>
          <w:trHeight w:val="322"/>
        </w:trPr>
        <w:tc>
          <w:tcPr>
            <w:tcW w:w="2547" w:type="dxa"/>
          </w:tcPr>
          <w:p w14:paraId="143AE724" w14:textId="77777777" w:rsidR="0049416C" w:rsidRPr="00FF4A73" w:rsidRDefault="0049416C" w:rsidP="008D66F6">
            <w:pPr>
              <w:pStyle w:val="Tabletext"/>
            </w:pPr>
          </w:p>
        </w:tc>
        <w:tc>
          <w:tcPr>
            <w:tcW w:w="5386" w:type="dxa"/>
          </w:tcPr>
          <w:p w14:paraId="32C20833" w14:textId="77777777" w:rsidR="0049416C" w:rsidRPr="00FF4A73" w:rsidRDefault="0049416C" w:rsidP="008D66F6">
            <w:pPr>
              <w:pStyle w:val="Tabletext"/>
            </w:pPr>
          </w:p>
        </w:tc>
        <w:tc>
          <w:tcPr>
            <w:tcW w:w="2690" w:type="dxa"/>
          </w:tcPr>
          <w:p w14:paraId="58C1683D" w14:textId="77777777" w:rsidR="0049416C" w:rsidRPr="00FF4A73" w:rsidRDefault="0049416C" w:rsidP="008D66F6">
            <w:pPr>
              <w:pStyle w:val="Tabletext"/>
            </w:pPr>
          </w:p>
        </w:tc>
        <w:tc>
          <w:tcPr>
            <w:tcW w:w="4114" w:type="dxa"/>
          </w:tcPr>
          <w:p w14:paraId="0EC8D297" w14:textId="77777777" w:rsidR="0049416C" w:rsidRPr="00FF4A73" w:rsidRDefault="0049416C" w:rsidP="008D66F6">
            <w:pPr>
              <w:pStyle w:val="Tabletext"/>
            </w:pPr>
          </w:p>
        </w:tc>
      </w:tr>
      <w:tr w:rsidR="00583440" w:rsidRPr="00FF4A73" w14:paraId="09FCD0E5" w14:textId="77777777">
        <w:trPr>
          <w:trHeight w:val="322"/>
        </w:trPr>
        <w:tc>
          <w:tcPr>
            <w:tcW w:w="2547" w:type="dxa"/>
          </w:tcPr>
          <w:p w14:paraId="791A5AAE" w14:textId="77777777" w:rsidR="00583440" w:rsidRPr="00FF4A73" w:rsidRDefault="00583440" w:rsidP="008D66F6">
            <w:pPr>
              <w:pStyle w:val="Tabletext"/>
            </w:pPr>
          </w:p>
        </w:tc>
        <w:tc>
          <w:tcPr>
            <w:tcW w:w="5386" w:type="dxa"/>
          </w:tcPr>
          <w:p w14:paraId="0315B130" w14:textId="77777777" w:rsidR="00583440" w:rsidRPr="00FF4A73" w:rsidRDefault="00583440" w:rsidP="008D66F6">
            <w:pPr>
              <w:pStyle w:val="Tabletext"/>
            </w:pPr>
          </w:p>
        </w:tc>
        <w:tc>
          <w:tcPr>
            <w:tcW w:w="2690" w:type="dxa"/>
          </w:tcPr>
          <w:p w14:paraId="723B282B" w14:textId="77777777" w:rsidR="00583440" w:rsidRPr="00FF4A73" w:rsidRDefault="00583440" w:rsidP="008D66F6">
            <w:pPr>
              <w:pStyle w:val="Tabletext"/>
            </w:pPr>
          </w:p>
        </w:tc>
        <w:tc>
          <w:tcPr>
            <w:tcW w:w="4114" w:type="dxa"/>
          </w:tcPr>
          <w:p w14:paraId="6281007E" w14:textId="77777777" w:rsidR="00583440" w:rsidRPr="00FF4A73" w:rsidRDefault="00583440" w:rsidP="008D66F6">
            <w:pPr>
              <w:pStyle w:val="Tabletext"/>
            </w:pPr>
          </w:p>
        </w:tc>
      </w:tr>
      <w:tr w:rsidR="0049416C" w:rsidRPr="00FF4A73" w14:paraId="61EC7831" w14:textId="77777777">
        <w:trPr>
          <w:trHeight w:val="322"/>
        </w:trPr>
        <w:tc>
          <w:tcPr>
            <w:tcW w:w="2547" w:type="dxa"/>
          </w:tcPr>
          <w:p w14:paraId="43DB8081" w14:textId="77777777" w:rsidR="0049416C" w:rsidRPr="00FF4A73" w:rsidRDefault="0049416C" w:rsidP="008D66F6">
            <w:pPr>
              <w:pStyle w:val="Tabletext"/>
            </w:pPr>
          </w:p>
        </w:tc>
        <w:tc>
          <w:tcPr>
            <w:tcW w:w="5386" w:type="dxa"/>
          </w:tcPr>
          <w:p w14:paraId="56DDBBAA" w14:textId="77777777" w:rsidR="0049416C" w:rsidRPr="00FF4A73" w:rsidRDefault="0049416C" w:rsidP="008D66F6">
            <w:pPr>
              <w:pStyle w:val="Tabletext"/>
            </w:pPr>
          </w:p>
        </w:tc>
        <w:tc>
          <w:tcPr>
            <w:tcW w:w="2690" w:type="dxa"/>
          </w:tcPr>
          <w:p w14:paraId="13754AB1" w14:textId="77777777" w:rsidR="0049416C" w:rsidRPr="00FF4A73" w:rsidRDefault="0049416C" w:rsidP="008D66F6">
            <w:pPr>
              <w:pStyle w:val="Tabletext"/>
            </w:pPr>
          </w:p>
        </w:tc>
        <w:tc>
          <w:tcPr>
            <w:tcW w:w="4114" w:type="dxa"/>
          </w:tcPr>
          <w:p w14:paraId="15BF2B4A" w14:textId="77777777" w:rsidR="0049416C" w:rsidRPr="00FF4A73" w:rsidRDefault="0049416C" w:rsidP="008D66F6">
            <w:pPr>
              <w:pStyle w:val="Tabletext"/>
            </w:pPr>
          </w:p>
        </w:tc>
      </w:tr>
    </w:tbl>
    <w:p w14:paraId="07AEEBAA" w14:textId="77777777" w:rsidR="00504B5C" w:rsidRDefault="00504B5C" w:rsidP="00A45592">
      <w:pPr>
        <w:pStyle w:val="Body"/>
      </w:pPr>
    </w:p>
    <w:p w14:paraId="246C007A" w14:textId="77777777" w:rsidR="00504B5C" w:rsidRDefault="00504B5C">
      <w:pPr>
        <w:spacing w:after="0" w:line="240" w:lineRule="auto"/>
        <w:rPr>
          <w:rFonts w:eastAsia="MS Gothic" w:cs="Arial"/>
          <w:bCs/>
          <w:color w:val="201547"/>
          <w:kern w:val="32"/>
          <w:sz w:val="44"/>
          <w:szCs w:val="44"/>
        </w:rPr>
      </w:pPr>
      <w:r>
        <w:br w:type="page"/>
      </w:r>
    </w:p>
    <w:p w14:paraId="11E7445B" w14:textId="2837EAF7" w:rsidR="00945C45" w:rsidRDefault="007D68A7" w:rsidP="00945C45">
      <w:pPr>
        <w:pStyle w:val="Heading1"/>
      </w:pPr>
      <w:bookmarkStart w:id="44" w:name="_Toc221790882"/>
      <w:r>
        <w:lastRenderedPageBreak/>
        <w:t xml:space="preserve">Appendix 2. </w:t>
      </w:r>
      <w:r w:rsidR="00945C45">
        <w:t xml:space="preserve">Specialist </w:t>
      </w:r>
      <w:r w:rsidR="00E83F9C">
        <w:t>s</w:t>
      </w:r>
      <w:r w:rsidR="00514FEA">
        <w:t>ubsector/</w:t>
      </w:r>
      <w:r w:rsidR="00E83F9C">
        <w:t>r</w:t>
      </w:r>
      <w:r w:rsidR="00514FEA">
        <w:t xml:space="preserve">ole - </w:t>
      </w:r>
      <w:r w:rsidR="00E83F9C">
        <w:t>l</w:t>
      </w:r>
      <w:r w:rsidR="00945C45">
        <w:t xml:space="preserve">earning </w:t>
      </w:r>
      <w:r w:rsidR="00E83F9C">
        <w:t>o</w:t>
      </w:r>
      <w:r w:rsidR="00945C45">
        <w:t xml:space="preserve">utcomes </w:t>
      </w:r>
      <w:r w:rsidR="00E83F9C">
        <w:t>t</w:t>
      </w:r>
      <w:r w:rsidR="00945C45">
        <w:t>emplate</w:t>
      </w:r>
      <w:bookmarkEnd w:id="41"/>
      <w:bookmarkEnd w:id="44"/>
    </w:p>
    <w:p w14:paraId="669D8027" w14:textId="24CC02E3" w:rsidR="00945C45" w:rsidRPr="00A36FB6" w:rsidRDefault="00945C45" w:rsidP="00623AB5">
      <w:pPr>
        <w:pStyle w:val="Body"/>
        <w:rPr>
          <w:rFonts w:cs="Arial"/>
        </w:rPr>
      </w:pPr>
      <w:r w:rsidRPr="00A36FB6">
        <w:rPr>
          <w:rFonts w:cs="Arial"/>
        </w:rPr>
        <w:t>Consider how each learning domain and its associated learning areas relate to your specific role and practice setting. Also consider how the learning domain and associated learning areas link to your subsector’s capability framework. Document your specialist learning outcomes fo</w:t>
      </w:r>
      <w:r w:rsidR="007B3924">
        <w:rPr>
          <w:rFonts w:cs="Arial"/>
        </w:rPr>
        <w:t>r relevant</w:t>
      </w:r>
      <w:r w:rsidRPr="00A36FB6">
        <w:rPr>
          <w:rFonts w:cs="Arial"/>
        </w:rPr>
        <w:t xml:space="preserve"> learning area</w:t>
      </w:r>
      <w:r w:rsidR="007B3924">
        <w:rPr>
          <w:rFonts w:cs="Arial"/>
        </w:rPr>
        <w:t>s</w:t>
      </w:r>
      <w:r w:rsidR="00020979">
        <w:rPr>
          <w:rFonts w:cs="Arial"/>
        </w:rPr>
        <w:t>.</w:t>
      </w:r>
      <w:r w:rsidR="00D8753F">
        <w:rPr>
          <w:rFonts w:cs="Arial"/>
        </w:rPr>
        <w:t xml:space="preserve"> </w:t>
      </w:r>
      <w:r w:rsidR="00020979">
        <w:rPr>
          <w:rFonts w:cs="Arial"/>
        </w:rPr>
        <w:t>I</w:t>
      </w:r>
      <w:r w:rsidR="006A2D55">
        <w:rPr>
          <w:rFonts w:cs="Arial"/>
        </w:rPr>
        <w:t xml:space="preserve">nclude the most important learning outcomes </w:t>
      </w:r>
      <w:r w:rsidR="00D8753F">
        <w:rPr>
          <w:rFonts w:cs="Arial"/>
        </w:rPr>
        <w:t>in your individual Learning and Development Plan</w:t>
      </w:r>
      <w:r w:rsidR="00E87A8E">
        <w:rPr>
          <w:rFonts w:cs="Arial"/>
        </w:rPr>
        <w:t xml:space="preserve"> (Appendix 1)</w:t>
      </w:r>
      <w:r w:rsidR="001F3876">
        <w:rPr>
          <w:rFonts w:cs="Arial"/>
        </w:rPr>
        <w:t>.</w:t>
      </w:r>
      <w:r w:rsidRPr="00A36FB6">
        <w:rPr>
          <w:rFonts w:cs="Arial"/>
        </w:rPr>
        <w:t xml:space="preserve"> </w:t>
      </w:r>
      <w:r w:rsidR="00514FEA" w:rsidRPr="00A36FB6">
        <w:rPr>
          <w:rFonts w:cs="Arial"/>
        </w:rPr>
        <w:t>Refer to</w:t>
      </w:r>
      <w:r w:rsidRPr="00A36FB6">
        <w:rPr>
          <w:rFonts w:cs="Arial"/>
        </w:rPr>
        <w:t xml:space="preserve"> Appendi</w:t>
      </w:r>
      <w:r w:rsidR="00F60EED" w:rsidRPr="00A36FB6">
        <w:rPr>
          <w:rFonts w:cs="Arial"/>
        </w:rPr>
        <w:t xml:space="preserve">x </w:t>
      </w:r>
      <w:r w:rsidR="00547A07">
        <w:rPr>
          <w:rFonts w:cs="Arial"/>
        </w:rPr>
        <w:t>3</w:t>
      </w:r>
      <w:r w:rsidR="007769CA" w:rsidRPr="00A36FB6">
        <w:rPr>
          <w:rFonts w:cs="Arial"/>
        </w:rPr>
        <w:t xml:space="preserve"> </w:t>
      </w:r>
      <w:r w:rsidRPr="00A36FB6">
        <w:rPr>
          <w:rFonts w:cs="Arial"/>
        </w:rPr>
        <w:t>for</w:t>
      </w:r>
      <w:r w:rsidR="00DD4320" w:rsidRPr="00A36FB6">
        <w:rPr>
          <w:rFonts w:cs="Arial"/>
        </w:rPr>
        <w:t xml:space="preserve"> </w:t>
      </w:r>
      <w:r w:rsidR="00E87A8E">
        <w:rPr>
          <w:rFonts w:cs="Arial"/>
        </w:rPr>
        <w:t xml:space="preserve">working </w:t>
      </w:r>
      <w:r w:rsidRPr="00A36FB6">
        <w:rPr>
          <w:rFonts w:cs="Arial"/>
        </w:rPr>
        <w:t>examples</w:t>
      </w:r>
      <w:r w:rsidR="00E87A8E">
        <w:rPr>
          <w:rFonts w:cs="Arial"/>
        </w:rPr>
        <w:t xml:space="preserve"> of the development of specialist learning outcomes for roles in different subsectors</w:t>
      </w:r>
      <w:r w:rsidRPr="00A36FB6">
        <w:rPr>
          <w:rFonts w:cs="Arial"/>
        </w:rPr>
        <w:t>.</w:t>
      </w:r>
    </w:p>
    <w:p w14:paraId="01734BF7" w14:textId="15CC2376" w:rsidR="002051EE" w:rsidRDefault="002051EE" w:rsidP="002051EE">
      <w:pPr>
        <w:pStyle w:val="Heading2"/>
      </w:pPr>
      <w:bookmarkStart w:id="45" w:name="_Toc221790883"/>
      <w:r>
        <w:t xml:space="preserve">Learning Domain: </w:t>
      </w:r>
      <w:r w:rsidRPr="003923F4">
        <w:t>Sector and organisational contexts of practice</w:t>
      </w:r>
      <w:bookmarkEnd w:id="45"/>
      <w:r>
        <w:t xml:space="preserve"> </w:t>
      </w:r>
    </w:p>
    <w:tbl>
      <w:tblPr>
        <w:tblStyle w:val="CASSGP"/>
        <w:tblW w:w="14737" w:type="dxa"/>
        <w:tblLook w:val="04A0" w:firstRow="1" w:lastRow="0" w:firstColumn="1" w:lastColumn="0" w:noHBand="0" w:noVBand="1"/>
      </w:tblPr>
      <w:tblGrid>
        <w:gridCol w:w="7368"/>
        <w:gridCol w:w="7369"/>
      </w:tblGrid>
      <w:tr w:rsidR="001A66D1" w14:paraId="5DD23097" w14:textId="77777777" w:rsidTr="00CA22B2">
        <w:trPr>
          <w:cnfStyle w:val="100000000000" w:firstRow="1" w:lastRow="0" w:firstColumn="0" w:lastColumn="0" w:oddVBand="0" w:evenVBand="0" w:oddHBand="0" w:evenHBand="0" w:firstRowFirstColumn="0" w:firstRowLastColumn="0" w:lastRowFirstColumn="0" w:lastRowLastColumn="0"/>
          <w:tblHeader/>
        </w:trPr>
        <w:tc>
          <w:tcPr>
            <w:tcW w:w="7368" w:type="dxa"/>
          </w:tcPr>
          <w:p w14:paraId="2540CCDE" w14:textId="003F1242" w:rsidR="001A66D1" w:rsidRPr="00967D32" w:rsidRDefault="001A66D1" w:rsidP="001A66D1">
            <w:pPr>
              <w:pStyle w:val="Tablecolheadwhite"/>
              <w:rPr>
                <w:b/>
                <w:bCs/>
              </w:rPr>
            </w:pPr>
            <w:r w:rsidRPr="00967D32">
              <w:rPr>
                <w:b/>
                <w:bCs/>
              </w:rPr>
              <w:t>Learning Areas</w:t>
            </w:r>
          </w:p>
        </w:tc>
        <w:tc>
          <w:tcPr>
            <w:tcW w:w="7369" w:type="dxa"/>
          </w:tcPr>
          <w:p w14:paraId="420031DF" w14:textId="32685965" w:rsidR="001A66D1" w:rsidRPr="00967D32" w:rsidRDefault="001A66D1" w:rsidP="001A66D1">
            <w:pPr>
              <w:pStyle w:val="Tablecolheadwhite"/>
              <w:rPr>
                <w:b/>
                <w:bCs/>
              </w:rPr>
            </w:pPr>
            <w:r w:rsidRPr="00967D32">
              <w:rPr>
                <w:b/>
                <w:bCs/>
              </w:rPr>
              <w:t>Specialist Learning Outcomes</w:t>
            </w:r>
          </w:p>
        </w:tc>
      </w:tr>
      <w:tr w:rsidR="00E57BAA" w14:paraId="01FCFCB2" w14:textId="77777777" w:rsidTr="001A66D1">
        <w:trPr>
          <w:cnfStyle w:val="000000100000" w:firstRow="0" w:lastRow="0" w:firstColumn="0" w:lastColumn="0" w:oddVBand="0" w:evenVBand="0" w:oddHBand="1" w:evenHBand="0" w:firstRowFirstColumn="0" w:firstRowLastColumn="0" w:lastRowFirstColumn="0" w:lastRowLastColumn="0"/>
        </w:trPr>
        <w:tc>
          <w:tcPr>
            <w:tcW w:w="7368" w:type="dxa"/>
          </w:tcPr>
          <w:p w14:paraId="639F00B9" w14:textId="7BDB7D74" w:rsidR="00E57BAA" w:rsidRPr="00EE53DC" w:rsidRDefault="00E57BAA" w:rsidP="00E57BAA">
            <w:pPr>
              <w:pStyle w:val="Body"/>
              <w:rPr>
                <w:szCs w:val="21"/>
              </w:rPr>
            </w:pPr>
            <w:r w:rsidRPr="00EE53DC">
              <w:rPr>
                <w:rFonts w:cs="Arial"/>
                <w:b/>
                <w:bCs/>
                <w:szCs w:val="21"/>
              </w:rPr>
              <w:t>Whole of system literacy</w:t>
            </w:r>
          </w:p>
        </w:tc>
        <w:tc>
          <w:tcPr>
            <w:tcW w:w="7369" w:type="dxa"/>
          </w:tcPr>
          <w:p w14:paraId="1E38DCB2" w14:textId="77777777" w:rsidR="00E57BAA" w:rsidRPr="00EE53DC" w:rsidRDefault="00E57BAA" w:rsidP="00E57BAA">
            <w:pPr>
              <w:pStyle w:val="Tablebullet1"/>
              <w:rPr>
                <w:szCs w:val="21"/>
              </w:rPr>
            </w:pPr>
          </w:p>
          <w:p w14:paraId="65EB9A50" w14:textId="77777777" w:rsidR="00E57BAA" w:rsidRPr="00EE53DC" w:rsidRDefault="00E57BAA" w:rsidP="00E57BAA">
            <w:pPr>
              <w:pStyle w:val="Tablebullet1"/>
              <w:rPr>
                <w:szCs w:val="21"/>
              </w:rPr>
            </w:pPr>
          </w:p>
        </w:tc>
      </w:tr>
      <w:tr w:rsidR="00E57BAA" w14:paraId="22D96BB3" w14:textId="77777777" w:rsidTr="001A66D1">
        <w:tc>
          <w:tcPr>
            <w:tcW w:w="7368" w:type="dxa"/>
          </w:tcPr>
          <w:p w14:paraId="6176DE80" w14:textId="2E68C1C1" w:rsidR="00E57BAA" w:rsidRPr="00EE53DC" w:rsidRDefault="00E57BAA" w:rsidP="00E57BAA">
            <w:pPr>
              <w:pStyle w:val="Body"/>
              <w:rPr>
                <w:szCs w:val="21"/>
              </w:rPr>
            </w:pPr>
            <w:r w:rsidRPr="00EE53DC">
              <w:rPr>
                <w:rFonts w:cs="Arial"/>
                <w:b/>
                <w:bCs/>
                <w:szCs w:val="21"/>
              </w:rPr>
              <w:t>Roles and functions of different services and programs</w:t>
            </w:r>
          </w:p>
        </w:tc>
        <w:tc>
          <w:tcPr>
            <w:tcW w:w="7369" w:type="dxa"/>
          </w:tcPr>
          <w:p w14:paraId="4B36E631" w14:textId="77777777" w:rsidR="00E57BAA" w:rsidRPr="00EE53DC" w:rsidRDefault="00E57BAA" w:rsidP="00280706">
            <w:pPr>
              <w:pStyle w:val="Tablebullet1"/>
              <w:rPr>
                <w:szCs w:val="21"/>
              </w:rPr>
            </w:pPr>
          </w:p>
          <w:p w14:paraId="2842CA4B" w14:textId="77777777" w:rsidR="00E57BAA" w:rsidRPr="00EE53DC" w:rsidRDefault="00E57BAA" w:rsidP="00280706">
            <w:pPr>
              <w:pStyle w:val="Tablebullet1"/>
              <w:rPr>
                <w:szCs w:val="21"/>
              </w:rPr>
            </w:pPr>
          </w:p>
        </w:tc>
      </w:tr>
      <w:tr w:rsidR="00E57BAA" w14:paraId="1F5B2CF4" w14:textId="77777777" w:rsidTr="001A66D1">
        <w:trPr>
          <w:cnfStyle w:val="000000100000" w:firstRow="0" w:lastRow="0" w:firstColumn="0" w:lastColumn="0" w:oddVBand="0" w:evenVBand="0" w:oddHBand="1" w:evenHBand="0" w:firstRowFirstColumn="0" w:firstRowLastColumn="0" w:lastRowFirstColumn="0" w:lastRowLastColumn="0"/>
        </w:trPr>
        <w:tc>
          <w:tcPr>
            <w:tcW w:w="7368" w:type="dxa"/>
          </w:tcPr>
          <w:p w14:paraId="1CA02FC8" w14:textId="03DDD146" w:rsidR="00E57BAA" w:rsidRPr="00EE53DC" w:rsidRDefault="00E57BAA" w:rsidP="00E57BAA">
            <w:pPr>
              <w:pStyle w:val="Body"/>
              <w:rPr>
                <w:szCs w:val="21"/>
              </w:rPr>
            </w:pPr>
            <w:r w:rsidRPr="00EE53DC">
              <w:rPr>
                <w:rFonts w:cs="Arial"/>
                <w:b/>
                <w:bCs/>
                <w:szCs w:val="21"/>
              </w:rPr>
              <w:t>Legal frameworks and obligations</w:t>
            </w:r>
          </w:p>
        </w:tc>
        <w:tc>
          <w:tcPr>
            <w:tcW w:w="7369" w:type="dxa"/>
          </w:tcPr>
          <w:p w14:paraId="5FC5E54B" w14:textId="77777777" w:rsidR="00E57BAA" w:rsidRPr="00EE53DC" w:rsidRDefault="00E57BAA" w:rsidP="00280706">
            <w:pPr>
              <w:pStyle w:val="Tablebullet1"/>
              <w:rPr>
                <w:szCs w:val="21"/>
              </w:rPr>
            </w:pPr>
          </w:p>
          <w:p w14:paraId="4855D1B7" w14:textId="77777777" w:rsidR="00280706" w:rsidRPr="00EE53DC" w:rsidRDefault="00280706" w:rsidP="00280706">
            <w:pPr>
              <w:pStyle w:val="Tablebullet1"/>
              <w:rPr>
                <w:szCs w:val="21"/>
              </w:rPr>
            </w:pPr>
          </w:p>
        </w:tc>
      </w:tr>
      <w:tr w:rsidR="00E57BAA" w14:paraId="084278E0" w14:textId="77777777" w:rsidTr="001A66D1">
        <w:tc>
          <w:tcPr>
            <w:tcW w:w="7368" w:type="dxa"/>
          </w:tcPr>
          <w:p w14:paraId="3F4CAAF8" w14:textId="6FB21AD5" w:rsidR="00E57BAA" w:rsidRPr="00EE53DC" w:rsidRDefault="00E57BAA" w:rsidP="00E57BAA">
            <w:pPr>
              <w:pStyle w:val="Body"/>
              <w:rPr>
                <w:szCs w:val="21"/>
              </w:rPr>
            </w:pPr>
            <w:r w:rsidRPr="00EE53DC">
              <w:rPr>
                <w:rFonts w:cs="Arial"/>
                <w:b/>
                <w:bCs/>
                <w:szCs w:val="21"/>
              </w:rPr>
              <w:t>Service user groups and communities</w:t>
            </w:r>
          </w:p>
        </w:tc>
        <w:tc>
          <w:tcPr>
            <w:tcW w:w="7369" w:type="dxa"/>
          </w:tcPr>
          <w:p w14:paraId="2E391F54" w14:textId="77777777" w:rsidR="00E57BAA" w:rsidRPr="00EE53DC" w:rsidRDefault="00E57BAA" w:rsidP="00280706">
            <w:pPr>
              <w:pStyle w:val="Tablebullet1"/>
              <w:rPr>
                <w:szCs w:val="21"/>
              </w:rPr>
            </w:pPr>
          </w:p>
          <w:p w14:paraId="7B47B046" w14:textId="77777777" w:rsidR="00280706" w:rsidRPr="00EE53DC" w:rsidRDefault="00280706" w:rsidP="00280706">
            <w:pPr>
              <w:pStyle w:val="Tablebullet1"/>
              <w:rPr>
                <w:szCs w:val="21"/>
              </w:rPr>
            </w:pPr>
          </w:p>
        </w:tc>
      </w:tr>
      <w:tr w:rsidR="00E57BAA" w14:paraId="6409572F" w14:textId="77777777" w:rsidTr="001A66D1">
        <w:trPr>
          <w:cnfStyle w:val="000000100000" w:firstRow="0" w:lastRow="0" w:firstColumn="0" w:lastColumn="0" w:oddVBand="0" w:evenVBand="0" w:oddHBand="1" w:evenHBand="0" w:firstRowFirstColumn="0" w:firstRowLastColumn="0" w:lastRowFirstColumn="0" w:lastRowLastColumn="0"/>
        </w:trPr>
        <w:tc>
          <w:tcPr>
            <w:tcW w:w="7368" w:type="dxa"/>
          </w:tcPr>
          <w:p w14:paraId="36A35812" w14:textId="1EBC4442" w:rsidR="00E57BAA" w:rsidRPr="00EE53DC" w:rsidRDefault="00E57BAA" w:rsidP="00E57BAA">
            <w:pPr>
              <w:pStyle w:val="Body"/>
              <w:rPr>
                <w:szCs w:val="21"/>
              </w:rPr>
            </w:pPr>
            <w:r w:rsidRPr="00EE53DC">
              <w:rPr>
                <w:rFonts w:cs="Arial"/>
                <w:b/>
                <w:bCs/>
                <w:szCs w:val="21"/>
              </w:rPr>
              <w:t>Aboriginal self-determination</w:t>
            </w:r>
          </w:p>
        </w:tc>
        <w:tc>
          <w:tcPr>
            <w:tcW w:w="7369" w:type="dxa"/>
          </w:tcPr>
          <w:p w14:paraId="501F2DF7" w14:textId="77777777" w:rsidR="00E57BAA" w:rsidRPr="00EE53DC" w:rsidRDefault="00E57BAA" w:rsidP="00280706">
            <w:pPr>
              <w:pStyle w:val="Tablebullet1"/>
              <w:rPr>
                <w:szCs w:val="21"/>
              </w:rPr>
            </w:pPr>
          </w:p>
          <w:p w14:paraId="33767F95" w14:textId="77777777" w:rsidR="00280706" w:rsidRPr="00EE53DC" w:rsidRDefault="00280706" w:rsidP="00280706">
            <w:pPr>
              <w:pStyle w:val="Tablebullet1"/>
              <w:rPr>
                <w:szCs w:val="21"/>
              </w:rPr>
            </w:pPr>
          </w:p>
        </w:tc>
      </w:tr>
    </w:tbl>
    <w:p w14:paraId="34795D30" w14:textId="77777777" w:rsidR="002051EE" w:rsidRPr="002051EE" w:rsidRDefault="002051EE" w:rsidP="002051EE">
      <w:pPr>
        <w:pStyle w:val="Body"/>
      </w:pPr>
    </w:p>
    <w:p w14:paraId="55200223" w14:textId="256D14E0" w:rsidR="002051EE" w:rsidRDefault="002051EE" w:rsidP="002051EE">
      <w:pPr>
        <w:pStyle w:val="Heading2"/>
        <w:rPr>
          <w:rFonts w:cs="Arial"/>
          <w:szCs w:val="21"/>
        </w:rPr>
      </w:pPr>
      <w:bookmarkStart w:id="46" w:name="_Toc221790884"/>
      <w:r>
        <w:t xml:space="preserve">Learning Domain: </w:t>
      </w:r>
      <w:r w:rsidRPr="003923F4">
        <w:rPr>
          <w:rFonts w:cs="Arial"/>
          <w:szCs w:val="21"/>
        </w:rPr>
        <w:t>Professional communication and engagement</w:t>
      </w:r>
      <w:bookmarkEnd w:id="46"/>
    </w:p>
    <w:tbl>
      <w:tblPr>
        <w:tblStyle w:val="CASSGP"/>
        <w:tblW w:w="14737" w:type="dxa"/>
        <w:tblLook w:val="04A0" w:firstRow="1" w:lastRow="0" w:firstColumn="1" w:lastColumn="0" w:noHBand="0" w:noVBand="1"/>
      </w:tblPr>
      <w:tblGrid>
        <w:gridCol w:w="7368"/>
        <w:gridCol w:w="7369"/>
      </w:tblGrid>
      <w:tr w:rsidR="00E3005B" w14:paraId="278174E5" w14:textId="77777777" w:rsidTr="00CA22B2">
        <w:trPr>
          <w:cnfStyle w:val="100000000000" w:firstRow="1" w:lastRow="0" w:firstColumn="0" w:lastColumn="0" w:oddVBand="0" w:evenVBand="0" w:oddHBand="0" w:evenHBand="0" w:firstRowFirstColumn="0" w:firstRowLastColumn="0" w:lastRowFirstColumn="0" w:lastRowLastColumn="0"/>
          <w:tblHeader/>
        </w:trPr>
        <w:tc>
          <w:tcPr>
            <w:tcW w:w="7368" w:type="dxa"/>
          </w:tcPr>
          <w:p w14:paraId="49BC9D87" w14:textId="77777777" w:rsidR="00E3005B" w:rsidRPr="00967D32" w:rsidRDefault="00E3005B" w:rsidP="00752499">
            <w:pPr>
              <w:pStyle w:val="Tablecolheadwhite"/>
              <w:rPr>
                <w:b/>
                <w:bCs/>
              </w:rPr>
            </w:pPr>
            <w:r w:rsidRPr="00967D32">
              <w:rPr>
                <w:b/>
                <w:bCs/>
              </w:rPr>
              <w:t>Learning Areas</w:t>
            </w:r>
          </w:p>
        </w:tc>
        <w:tc>
          <w:tcPr>
            <w:tcW w:w="7369" w:type="dxa"/>
          </w:tcPr>
          <w:p w14:paraId="63F42021" w14:textId="77777777" w:rsidR="00E3005B" w:rsidRPr="00967D32" w:rsidRDefault="00E3005B" w:rsidP="00752499">
            <w:pPr>
              <w:pStyle w:val="Tablecolheadwhite"/>
              <w:rPr>
                <w:b/>
                <w:bCs/>
              </w:rPr>
            </w:pPr>
            <w:r w:rsidRPr="00967D32">
              <w:rPr>
                <w:b/>
                <w:bCs/>
              </w:rPr>
              <w:t>Specialist Learning Outcomes</w:t>
            </w:r>
          </w:p>
        </w:tc>
      </w:tr>
      <w:tr w:rsidR="00453792" w14:paraId="59E56E6C" w14:textId="77777777" w:rsidTr="00752499">
        <w:trPr>
          <w:cnfStyle w:val="000000100000" w:firstRow="0" w:lastRow="0" w:firstColumn="0" w:lastColumn="0" w:oddVBand="0" w:evenVBand="0" w:oddHBand="1" w:evenHBand="0" w:firstRowFirstColumn="0" w:firstRowLastColumn="0" w:lastRowFirstColumn="0" w:lastRowLastColumn="0"/>
        </w:trPr>
        <w:tc>
          <w:tcPr>
            <w:tcW w:w="7368" w:type="dxa"/>
          </w:tcPr>
          <w:p w14:paraId="2C6E460A" w14:textId="40C498E3" w:rsidR="00453792" w:rsidRPr="00EE53DC" w:rsidRDefault="00453792" w:rsidP="00453792">
            <w:pPr>
              <w:pStyle w:val="Body"/>
              <w:rPr>
                <w:szCs w:val="21"/>
              </w:rPr>
            </w:pPr>
            <w:r w:rsidRPr="00EE53DC">
              <w:rPr>
                <w:rFonts w:cs="Arial"/>
                <w:b/>
                <w:bCs/>
                <w:szCs w:val="21"/>
              </w:rPr>
              <w:t>Engaging effectively with people individually and in groups</w:t>
            </w:r>
          </w:p>
        </w:tc>
        <w:tc>
          <w:tcPr>
            <w:tcW w:w="7369" w:type="dxa"/>
          </w:tcPr>
          <w:p w14:paraId="1D81C71A" w14:textId="77777777" w:rsidR="00453792" w:rsidRPr="00EE53DC" w:rsidRDefault="00453792" w:rsidP="00280706">
            <w:pPr>
              <w:pStyle w:val="Tablebullet1"/>
              <w:rPr>
                <w:szCs w:val="21"/>
              </w:rPr>
            </w:pPr>
          </w:p>
          <w:p w14:paraId="16BFDF47" w14:textId="77777777" w:rsidR="00453792" w:rsidRPr="00EE53DC" w:rsidRDefault="00453792" w:rsidP="00280706">
            <w:pPr>
              <w:pStyle w:val="Tablebullet1"/>
              <w:rPr>
                <w:szCs w:val="21"/>
              </w:rPr>
            </w:pPr>
          </w:p>
        </w:tc>
      </w:tr>
      <w:tr w:rsidR="00453792" w14:paraId="63BC4360" w14:textId="77777777" w:rsidTr="00752499">
        <w:tc>
          <w:tcPr>
            <w:tcW w:w="7368" w:type="dxa"/>
          </w:tcPr>
          <w:p w14:paraId="24333B50" w14:textId="512A2331" w:rsidR="00453792" w:rsidRPr="00EE53DC" w:rsidRDefault="00453792" w:rsidP="00453792">
            <w:pPr>
              <w:pStyle w:val="Body"/>
              <w:rPr>
                <w:szCs w:val="21"/>
              </w:rPr>
            </w:pPr>
            <w:r w:rsidRPr="00EE53DC">
              <w:rPr>
                <w:rFonts w:cs="Arial"/>
                <w:b/>
                <w:bCs/>
                <w:szCs w:val="21"/>
              </w:rPr>
              <w:t>Working towards change with service users</w:t>
            </w:r>
          </w:p>
        </w:tc>
        <w:tc>
          <w:tcPr>
            <w:tcW w:w="7369" w:type="dxa"/>
          </w:tcPr>
          <w:p w14:paraId="36E33DC3" w14:textId="77777777" w:rsidR="00453792" w:rsidRPr="00EE53DC" w:rsidRDefault="00453792" w:rsidP="00280706">
            <w:pPr>
              <w:pStyle w:val="Tablebullet1"/>
              <w:rPr>
                <w:szCs w:val="21"/>
              </w:rPr>
            </w:pPr>
          </w:p>
          <w:p w14:paraId="5C7731BF" w14:textId="77777777" w:rsidR="00280706" w:rsidRPr="00EE53DC" w:rsidRDefault="00280706" w:rsidP="00280706">
            <w:pPr>
              <w:pStyle w:val="Tablebullet1"/>
              <w:rPr>
                <w:szCs w:val="21"/>
              </w:rPr>
            </w:pPr>
          </w:p>
        </w:tc>
      </w:tr>
      <w:tr w:rsidR="00453792" w14:paraId="2C79A255" w14:textId="77777777" w:rsidTr="00752499">
        <w:trPr>
          <w:cnfStyle w:val="000000100000" w:firstRow="0" w:lastRow="0" w:firstColumn="0" w:lastColumn="0" w:oddVBand="0" w:evenVBand="0" w:oddHBand="1" w:evenHBand="0" w:firstRowFirstColumn="0" w:firstRowLastColumn="0" w:lastRowFirstColumn="0" w:lastRowLastColumn="0"/>
        </w:trPr>
        <w:tc>
          <w:tcPr>
            <w:tcW w:w="7368" w:type="dxa"/>
          </w:tcPr>
          <w:p w14:paraId="7C320306" w14:textId="5894E9C3" w:rsidR="00453792" w:rsidRPr="00EE53DC" w:rsidRDefault="00453792" w:rsidP="00453792">
            <w:pPr>
              <w:pStyle w:val="Body"/>
              <w:rPr>
                <w:szCs w:val="21"/>
              </w:rPr>
            </w:pPr>
            <w:r w:rsidRPr="00EE53DC">
              <w:rPr>
                <w:rFonts w:cs="Arial"/>
                <w:b/>
                <w:bCs/>
                <w:szCs w:val="21"/>
              </w:rPr>
              <w:t>Working with involuntary and/or reluctant service users</w:t>
            </w:r>
          </w:p>
        </w:tc>
        <w:tc>
          <w:tcPr>
            <w:tcW w:w="7369" w:type="dxa"/>
          </w:tcPr>
          <w:p w14:paraId="1838EC41" w14:textId="77777777" w:rsidR="00453792" w:rsidRPr="00EE53DC" w:rsidRDefault="00453792" w:rsidP="00280706">
            <w:pPr>
              <w:pStyle w:val="Tablebullet1"/>
              <w:rPr>
                <w:szCs w:val="21"/>
              </w:rPr>
            </w:pPr>
          </w:p>
          <w:p w14:paraId="25AB0208" w14:textId="77777777" w:rsidR="00280706" w:rsidRPr="00EE53DC" w:rsidRDefault="00280706" w:rsidP="00280706">
            <w:pPr>
              <w:pStyle w:val="Tablebullet1"/>
              <w:rPr>
                <w:szCs w:val="21"/>
              </w:rPr>
            </w:pPr>
          </w:p>
        </w:tc>
      </w:tr>
      <w:tr w:rsidR="00453792" w14:paraId="2607124B" w14:textId="77777777" w:rsidTr="00752499">
        <w:tc>
          <w:tcPr>
            <w:tcW w:w="7368" w:type="dxa"/>
          </w:tcPr>
          <w:p w14:paraId="51CA17F3" w14:textId="63D8CB4F" w:rsidR="00453792" w:rsidRPr="00EE53DC" w:rsidRDefault="00453792" w:rsidP="00453792">
            <w:pPr>
              <w:pStyle w:val="Body"/>
              <w:rPr>
                <w:szCs w:val="21"/>
              </w:rPr>
            </w:pPr>
            <w:r w:rsidRPr="00EE53DC">
              <w:rPr>
                <w:rFonts w:cs="Arial"/>
                <w:b/>
                <w:bCs/>
                <w:szCs w:val="21"/>
              </w:rPr>
              <w:lastRenderedPageBreak/>
              <w:t>Effective documentation</w:t>
            </w:r>
          </w:p>
        </w:tc>
        <w:tc>
          <w:tcPr>
            <w:tcW w:w="7369" w:type="dxa"/>
          </w:tcPr>
          <w:p w14:paraId="5105A2A3" w14:textId="77777777" w:rsidR="00453792" w:rsidRPr="00EE53DC" w:rsidRDefault="00453792" w:rsidP="00280706">
            <w:pPr>
              <w:pStyle w:val="Tablebullet1"/>
              <w:rPr>
                <w:szCs w:val="21"/>
              </w:rPr>
            </w:pPr>
          </w:p>
          <w:p w14:paraId="603D2D7E" w14:textId="77777777" w:rsidR="00453792" w:rsidRPr="00EE53DC" w:rsidRDefault="00453792" w:rsidP="00280706">
            <w:pPr>
              <w:pStyle w:val="Tablebullet1"/>
              <w:rPr>
                <w:szCs w:val="21"/>
              </w:rPr>
            </w:pPr>
          </w:p>
        </w:tc>
      </w:tr>
    </w:tbl>
    <w:p w14:paraId="64F89C2B" w14:textId="02782D13" w:rsidR="002051EE" w:rsidRDefault="002051EE" w:rsidP="002051EE">
      <w:pPr>
        <w:pStyle w:val="Heading2"/>
        <w:rPr>
          <w:rFonts w:cs="Arial"/>
          <w:szCs w:val="21"/>
        </w:rPr>
      </w:pPr>
      <w:bookmarkStart w:id="47" w:name="_Toc221790885"/>
      <w:r>
        <w:t xml:space="preserve">Learning Domain: </w:t>
      </w:r>
      <w:r w:rsidRPr="003923F4">
        <w:rPr>
          <w:rFonts w:cs="Arial"/>
          <w:szCs w:val="21"/>
        </w:rPr>
        <w:t>Evidence and expertise informed practice</w:t>
      </w:r>
      <w:bookmarkEnd w:id="47"/>
    </w:p>
    <w:tbl>
      <w:tblPr>
        <w:tblStyle w:val="CASSGP"/>
        <w:tblW w:w="14737" w:type="dxa"/>
        <w:tblLook w:val="04A0" w:firstRow="1" w:lastRow="0" w:firstColumn="1" w:lastColumn="0" w:noHBand="0" w:noVBand="1"/>
      </w:tblPr>
      <w:tblGrid>
        <w:gridCol w:w="7368"/>
        <w:gridCol w:w="7369"/>
      </w:tblGrid>
      <w:tr w:rsidR="00E3005B" w14:paraId="3CEE270A" w14:textId="77777777" w:rsidTr="00CA22B2">
        <w:trPr>
          <w:cnfStyle w:val="100000000000" w:firstRow="1" w:lastRow="0" w:firstColumn="0" w:lastColumn="0" w:oddVBand="0" w:evenVBand="0" w:oddHBand="0" w:evenHBand="0" w:firstRowFirstColumn="0" w:firstRowLastColumn="0" w:lastRowFirstColumn="0" w:lastRowLastColumn="0"/>
          <w:tblHeader/>
        </w:trPr>
        <w:tc>
          <w:tcPr>
            <w:tcW w:w="7368" w:type="dxa"/>
          </w:tcPr>
          <w:p w14:paraId="0F949489" w14:textId="77777777" w:rsidR="00E3005B" w:rsidRPr="00967D32" w:rsidRDefault="00E3005B" w:rsidP="00752499">
            <w:pPr>
              <w:pStyle w:val="Tablecolheadwhite"/>
              <w:rPr>
                <w:b/>
                <w:bCs/>
                <w:szCs w:val="21"/>
              </w:rPr>
            </w:pPr>
            <w:r w:rsidRPr="00967D32">
              <w:rPr>
                <w:b/>
                <w:bCs/>
                <w:szCs w:val="21"/>
              </w:rPr>
              <w:t>Learning Areas</w:t>
            </w:r>
          </w:p>
        </w:tc>
        <w:tc>
          <w:tcPr>
            <w:tcW w:w="7369" w:type="dxa"/>
          </w:tcPr>
          <w:p w14:paraId="5212F92D" w14:textId="77777777" w:rsidR="00E3005B" w:rsidRPr="00967D32" w:rsidRDefault="00E3005B" w:rsidP="00752499">
            <w:pPr>
              <w:pStyle w:val="Tablecolheadwhite"/>
              <w:rPr>
                <w:b/>
                <w:bCs/>
                <w:szCs w:val="21"/>
              </w:rPr>
            </w:pPr>
            <w:r w:rsidRPr="00967D32">
              <w:rPr>
                <w:b/>
                <w:bCs/>
                <w:szCs w:val="21"/>
              </w:rPr>
              <w:t>Specialist Learning Outcomes</w:t>
            </w:r>
          </w:p>
        </w:tc>
      </w:tr>
      <w:tr w:rsidR="00E3005B" w14:paraId="52BDA130" w14:textId="77777777" w:rsidTr="00752499">
        <w:trPr>
          <w:cnfStyle w:val="000000100000" w:firstRow="0" w:lastRow="0" w:firstColumn="0" w:lastColumn="0" w:oddVBand="0" w:evenVBand="0" w:oddHBand="1" w:evenHBand="0" w:firstRowFirstColumn="0" w:firstRowLastColumn="0" w:lastRowFirstColumn="0" w:lastRowLastColumn="0"/>
        </w:trPr>
        <w:tc>
          <w:tcPr>
            <w:tcW w:w="7368" w:type="dxa"/>
          </w:tcPr>
          <w:p w14:paraId="175C6F7F" w14:textId="28DF91ED" w:rsidR="00E3005B" w:rsidRPr="00EE53DC" w:rsidRDefault="003F31BF" w:rsidP="00752499">
            <w:pPr>
              <w:pStyle w:val="Body"/>
              <w:rPr>
                <w:szCs w:val="21"/>
              </w:rPr>
            </w:pPr>
            <w:r w:rsidRPr="00EE53DC">
              <w:rPr>
                <w:rFonts w:cs="Arial"/>
                <w:b/>
                <w:bCs/>
                <w:szCs w:val="21"/>
              </w:rPr>
              <w:t>Sourcing and appraising evidence and expertise for practice</w:t>
            </w:r>
          </w:p>
        </w:tc>
        <w:tc>
          <w:tcPr>
            <w:tcW w:w="7369" w:type="dxa"/>
          </w:tcPr>
          <w:p w14:paraId="502E0BD7" w14:textId="77777777" w:rsidR="00E3005B" w:rsidRPr="00EE53DC" w:rsidRDefault="00E3005B" w:rsidP="00280706">
            <w:pPr>
              <w:pStyle w:val="Tablebullet1"/>
              <w:rPr>
                <w:szCs w:val="21"/>
              </w:rPr>
            </w:pPr>
          </w:p>
          <w:p w14:paraId="1189137F" w14:textId="77777777" w:rsidR="00E3005B" w:rsidRPr="00EE53DC" w:rsidRDefault="00E3005B" w:rsidP="00280706">
            <w:pPr>
              <w:pStyle w:val="Tablebullet1"/>
              <w:rPr>
                <w:szCs w:val="21"/>
              </w:rPr>
            </w:pPr>
          </w:p>
        </w:tc>
      </w:tr>
      <w:tr w:rsidR="00E3005B" w14:paraId="55C33FDD" w14:textId="77777777" w:rsidTr="00752499">
        <w:tc>
          <w:tcPr>
            <w:tcW w:w="7368" w:type="dxa"/>
          </w:tcPr>
          <w:p w14:paraId="47312C60" w14:textId="77777777" w:rsidR="003F31BF" w:rsidRPr="00EE53DC" w:rsidRDefault="003F31BF" w:rsidP="003F31BF">
            <w:pPr>
              <w:spacing w:before="60" w:after="60"/>
              <w:textAlignment w:val="baseline"/>
              <w:rPr>
                <w:rFonts w:cs="Arial"/>
                <w:b/>
                <w:bCs/>
                <w:szCs w:val="21"/>
              </w:rPr>
            </w:pPr>
            <w:r w:rsidRPr="00EE53DC">
              <w:rPr>
                <w:rFonts w:cs="Arial"/>
                <w:b/>
                <w:bCs/>
                <w:szCs w:val="21"/>
              </w:rPr>
              <w:t>Integrating professional knowledge for practice</w:t>
            </w:r>
          </w:p>
          <w:p w14:paraId="44803F4F" w14:textId="77777777" w:rsidR="003F31BF" w:rsidRPr="00EE53DC" w:rsidRDefault="003F31BF" w:rsidP="00EE53DC">
            <w:pPr>
              <w:pStyle w:val="Tablebullet1"/>
              <w:rPr>
                <w:szCs w:val="21"/>
              </w:rPr>
            </w:pPr>
            <w:r w:rsidRPr="00EE53DC">
              <w:rPr>
                <w:szCs w:val="21"/>
              </w:rPr>
              <w:t>Child safety, development and wellbeing</w:t>
            </w:r>
          </w:p>
          <w:p w14:paraId="07098AC7" w14:textId="77777777" w:rsidR="003F31BF" w:rsidRPr="00EE53DC" w:rsidRDefault="003F31BF" w:rsidP="00EE53DC">
            <w:pPr>
              <w:pStyle w:val="Tablebullet1"/>
              <w:rPr>
                <w:szCs w:val="21"/>
              </w:rPr>
            </w:pPr>
            <w:r w:rsidRPr="00EE53DC">
              <w:rPr>
                <w:szCs w:val="21"/>
              </w:rPr>
              <w:t>Family violence and sexual assault</w:t>
            </w:r>
          </w:p>
          <w:p w14:paraId="141D95F0" w14:textId="77777777" w:rsidR="003F31BF" w:rsidRPr="00EE53DC" w:rsidRDefault="003F31BF" w:rsidP="00EE53DC">
            <w:pPr>
              <w:pStyle w:val="Tablebullet1"/>
              <w:rPr>
                <w:szCs w:val="21"/>
              </w:rPr>
            </w:pPr>
            <w:r w:rsidRPr="00EE53DC">
              <w:rPr>
                <w:szCs w:val="21"/>
              </w:rPr>
              <w:t>Health and mental health</w:t>
            </w:r>
          </w:p>
          <w:p w14:paraId="5F8D15B9" w14:textId="77777777" w:rsidR="007C66F0" w:rsidRPr="00EE53DC" w:rsidRDefault="003F31BF" w:rsidP="00EE53DC">
            <w:pPr>
              <w:pStyle w:val="Tablebullet1"/>
              <w:rPr>
                <w:szCs w:val="21"/>
              </w:rPr>
            </w:pPr>
            <w:r w:rsidRPr="00EE53DC">
              <w:rPr>
                <w:szCs w:val="21"/>
              </w:rPr>
              <w:t>Housing insecurity and homelessness</w:t>
            </w:r>
          </w:p>
          <w:p w14:paraId="4FDD952A" w14:textId="62011B9C" w:rsidR="00E3005B" w:rsidRPr="00EE53DC" w:rsidRDefault="003F31BF" w:rsidP="00EE53DC">
            <w:pPr>
              <w:pStyle w:val="Tablebullet1"/>
              <w:rPr>
                <w:szCs w:val="21"/>
              </w:rPr>
            </w:pPr>
            <w:r w:rsidRPr="00EE53DC">
              <w:rPr>
                <w:szCs w:val="21"/>
              </w:rPr>
              <w:t>Disability, accessibility and inclusion</w:t>
            </w:r>
          </w:p>
        </w:tc>
        <w:tc>
          <w:tcPr>
            <w:tcW w:w="7369" w:type="dxa"/>
          </w:tcPr>
          <w:p w14:paraId="02B0473A" w14:textId="77777777" w:rsidR="00E3005B" w:rsidRPr="00EE53DC" w:rsidRDefault="00E3005B" w:rsidP="00280706">
            <w:pPr>
              <w:pStyle w:val="Tablebullet1"/>
              <w:rPr>
                <w:szCs w:val="21"/>
              </w:rPr>
            </w:pPr>
          </w:p>
          <w:p w14:paraId="3FA91CD0" w14:textId="77777777" w:rsidR="00E3005B" w:rsidRPr="00EE53DC" w:rsidRDefault="00E3005B" w:rsidP="00280706">
            <w:pPr>
              <w:pStyle w:val="Tablebullet1"/>
              <w:rPr>
                <w:szCs w:val="21"/>
              </w:rPr>
            </w:pPr>
          </w:p>
        </w:tc>
      </w:tr>
    </w:tbl>
    <w:p w14:paraId="061F8A58" w14:textId="47346058" w:rsidR="002051EE" w:rsidRDefault="002051EE" w:rsidP="002051EE">
      <w:pPr>
        <w:pStyle w:val="Heading2"/>
        <w:rPr>
          <w:rFonts w:cs="Arial"/>
          <w:szCs w:val="21"/>
        </w:rPr>
      </w:pPr>
      <w:bookmarkStart w:id="48" w:name="_Toc221790886"/>
      <w:r>
        <w:t xml:space="preserve">Learning Domain: </w:t>
      </w:r>
      <w:r w:rsidRPr="003923F4">
        <w:rPr>
          <w:rFonts w:cs="Arial"/>
          <w:szCs w:val="21"/>
        </w:rPr>
        <w:t>Cultural capability</w:t>
      </w:r>
      <w:bookmarkEnd w:id="48"/>
      <w:r>
        <w:rPr>
          <w:rFonts w:cs="Arial"/>
          <w:szCs w:val="21"/>
        </w:rPr>
        <w:t xml:space="preserve"> </w:t>
      </w:r>
    </w:p>
    <w:tbl>
      <w:tblPr>
        <w:tblStyle w:val="CASSGP"/>
        <w:tblW w:w="14737" w:type="dxa"/>
        <w:tblLook w:val="04A0" w:firstRow="1" w:lastRow="0" w:firstColumn="1" w:lastColumn="0" w:noHBand="0" w:noVBand="1"/>
      </w:tblPr>
      <w:tblGrid>
        <w:gridCol w:w="7368"/>
        <w:gridCol w:w="7369"/>
      </w:tblGrid>
      <w:tr w:rsidR="00E3005B" w14:paraId="5E550C95" w14:textId="77777777" w:rsidTr="00CA22B2">
        <w:trPr>
          <w:cnfStyle w:val="100000000000" w:firstRow="1" w:lastRow="0" w:firstColumn="0" w:lastColumn="0" w:oddVBand="0" w:evenVBand="0" w:oddHBand="0" w:evenHBand="0" w:firstRowFirstColumn="0" w:firstRowLastColumn="0" w:lastRowFirstColumn="0" w:lastRowLastColumn="0"/>
          <w:tblHeader/>
        </w:trPr>
        <w:tc>
          <w:tcPr>
            <w:tcW w:w="7368" w:type="dxa"/>
          </w:tcPr>
          <w:p w14:paraId="48741E2E" w14:textId="77777777" w:rsidR="00E3005B" w:rsidRPr="00967D32" w:rsidRDefault="00E3005B" w:rsidP="00752499">
            <w:pPr>
              <w:pStyle w:val="Tablecolheadwhite"/>
              <w:rPr>
                <w:b/>
                <w:bCs/>
                <w:szCs w:val="21"/>
              </w:rPr>
            </w:pPr>
            <w:r w:rsidRPr="00967D32">
              <w:rPr>
                <w:b/>
                <w:bCs/>
                <w:szCs w:val="21"/>
              </w:rPr>
              <w:t>Learning Areas</w:t>
            </w:r>
          </w:p>
        </w:tc>
        <w:tc>
          <w:tcPr>
            <w:tcW w:w="7369" w:type="dxa"/>
          </w:tcPr>
          <w:p w14:paraId="29B6A141" w14:textId="77777777" w:rsidR="00E3005B" w:rsidRPr="00967D32" w:rsidRDefault="00E3005B" w:rsidP="00752499">
            <w:pPr>
              <w:pStyle w:val="Tablecolheadwhite"/>
              <w:rPr>
                <w:b/>
                <w:bCs/>
                <w:szCs w:val="21"/>
              </w:rPr>
            </w:pPr>
            <w:r w:rsidRPr="00967D32">
              <w:rPr>
                <w:b/>
                <w:bCs/>
                <w:szCs w:val="21"/>
              </w:rPr>
              <w:t>Specialist Learning Outcomes</w:t>
            </w:r>
          </w:p>
        </w:tc>
      </w:tr>
      <w:tr w:rsidR="00352D1E" w14:paraId="4F8C57A8" w14:textId="77777777" w:rsidTr="00752499">
        <w:trPr>
          <w:cnfStyle w:val="000000100000" w:firstRow="0" w:lastRow="0" w:firstColumn="0" w:lastColumn="0" w:oddVBand="0" w:evenVBand="0" w:oddHBand="1" w:evenHBand="0" w:firstRowFirstColumn="0" w:firstRowLastColumn="0" w:lastRowFirstColumn="0" w:lastRowLastColumn="0"/>
        </w:trPr>
        <w:tc>
          <w:tcPr>
            <w:tcW w:w="7368" w:type="dxa"/>
          </w:tcPr>
          <w:p w14:paraId="7FD0A563" w14:textId="0365EB8E" w:rsidR="00352D1E" w:rsidRPr="00EE53DC" w:rsidRDefault="00352D1E" w:rsidP="00352D1E">
            <w:pPr>
              <w:pStyle w:val="Body"/>
              <w:rPr>
                <w:szCs w:val="21"/>
              </w:rPr>
            </w:pPr>
            <w:r w:rsidRPr="00EE53DC">
              <w:rPr>
                <w:rFonts w:cs="Arial"/>
                <w:b/>
                <w:bCs/>
                <w:szCs w:val="21"/>
              </w:rPr>
              <w:t xml:space="preserve">Culturally responsive practice with Aboriginal people and communities </w:t>
            </w:r>
          </w:p>
        </w:tc>
        <w:tc>
          <w:tcPr>
            <w:tcW w:w="7369" w:type="dxa"/>
          </w:tcPr>
          <w:p w14:paraId="0265D170" w14:textId="77777777" w:rsidR="00352D1E" w:rsidRPr="00EE53DC" w:rsidRDefault="00352D1E" w:rsidP="00352D1E">
            <w:pPr>
              <w:pStyle w:val="Tablebullet1"/>
              <w:rPr>
                <w:szCs w:val="21"/>
              </w:rPr>
            </w:pPr>
          </w:p>
          <w:p w14:paraId="17205C94" w14:textId="77777777" w:rsidR="00352D1E" w:rsidRPr="00EE53DC" w:rsidRDefault="00352D1E" w:rsidP="00352D1E">
            <w:pPr>
              <w:pStyle w:val="Tablebullet1"/>
              <w:rPr>
                <w:szCs w:val="21"/>
              </w:rPr>
            </w:pPr>
          </w:p>
        </w:tc>
      </w:tr>
      <w:tr w:rsidR="00352D1E" w:rsidRPr="00325E75" w14:paraId="298C6EDB" w14:textId="77777777" w:rsidTr="00752499">
        <w:tc>
          <w:tcPr>
            <w:tcW w:w="7368" w:type="dxa"/>
          </w:tcPr>
          <w:p w14:paraId="560BBA39" w14:textId="780A5736" w:rsidR="00352D1E" w:rsidRPr="00EE53DC" w:rsidRDefault="00352D1E" w:rsidP="00352D1E">
            <w:pPr>
              <w:pStyle w:val="Body"/>
              <w:rPr>
                <w:szCs w:val="21"/>
              </w:rPr>
            </w:pPr>
            <w:r w:rsidRPr="00EE53DC">
              <w:rPr>
                <w:rFonts w:cs="Arial"/>
                <w:b/>
                <w:bCs/>
                <w:szCs w:val="21"/>
              </w:rPr>
              <w:t>Responsive practice across cultures and communities</w:t>
            </w:r>
          </w:p>
        </w:tc>
        <w:tc>
          <w:tcPr>
            <w:tcW w:w="7369" w:type="dxa"/>
          </w:tcPr>
          <w:p w14:paraId="1AF3EFA8" w14:textId="77777777" w:rsidR="00352D1E" w:rsidRPr="00EE53DC" w:rsidRDefault="00352D1E" w:rsidP="00325E75">
            <w:pPr>
              <w:pStyle w:val="Tablebullet1"/>
              <w:rPr>
                <w:szCs w:val="21"/>
              </w:rPr>
            </w:pPr>
          </w:p>
          <w:p w14:paraId="1B3DB66F" w14:textId="77777777" w:rsidR="00352D1E" w:rsidRPr="00EE53DC" w:rsidRDefault="00352D1E" w:rsidP="00325E75">
            <w:pPr>
              <w:pStyle w:val="Tablebullet1"/>
              <w:rPr>
                <w:szCs w:val="21"/>
              </w:rPr>
            </w:pPr>
          </w:p>
        </w:tc>
      </w:tr>
    </w:tbl>
    <w:p w14:paraId="4CF0AEF0" w14:textId="77777777" w:rsidR="00E3005B" w:rsidRPr="00E3005B" w:rsidRDefault="00E3005B" w:rsidP="00E3005B">
      <w:pPr>
        <w:pStyle w:val="Body"/>
      </w:pPr>
    </w:p>
    <w:p w14:paraId="068EB228" w14:textId="5BF754ED" w:rsidR="002051EE" w:rsidRDefault="002051EE" w:rsidP="002051EE">
      <w:pPr>
        <w:pStyle w:val="Heading2"/>
        <w:rPr>
          <w:rFonts w:cs="Arial"/>
          <w:szCs w:val="21"/>
        </w:rPr>
      </w:pPr>
      <w:bookmarkStart w:id="49" w:name="_Toc221790887"/>
      <w:r>
        <w:t xml:space="preserve">Learning Domain: </w:t>
      </w:r>
      <w:r w:rsidRPr="003923F4">
        <w:rPr>
          <w:rFonts w:cs="Arial"/>
          <w:szCs w:val="21"/>
        </w:rPr>
        <w:t>Holistic and ethically responsible practice</w:t>
      </w:r>
      <w:bookmarkEnd w:id="49"/>
    </w:p>
    <w:tbl>
      <w:tblPr>
        <w:tblStyle w:val="CASSGP"/>
        <w:tblW w:w="14737" w:type="dxa"/>
        <w:tblLook w:val="04A0" w:firstRow="1" w:lastRow="0" w:firstColumn="1" w:lastColumn="0" w:noHBand="0" w:noVBand="1"/>
      </w:tblPr>
      <w:tblGrid>
        <w:gridCol w:w="7368"/>
        <w:gridCol w:w="7369"/>
      </w:tblGrid>
      <w:tr w:rsidR="00E3005B" w14:paraId="116675F8" w14:textId="77777777" w:rsidTr="00CA22B2">
        <w:trPr>
          <w:cnfStyle w:val="100000000000" w:firstRow="1" w:lastRow="0" w:firstColumn="0" w:lastColumn="0" w:oddVBand="0" w:evenVBand="0" w:oddHBand="0" w:evenHBand="0" w:firstRowFirstColumn="0" w:firstRowLastColumn="0" w:lastRowFirstColumn="0" w:lastRowLastColumn="0"/>
          <w:tblHeader/>
        </w:trPr>
        <w:tc>
          <w:tcPr>
            <w:tcW w:w="7368" w:type="dxa"/>
          </w:tcPr>
          <w:p w14:paraId="14ADF939" w14:textId="77777777" w:rsidR="00E3005B" w:rsidRPr="00967D32" w:rsidRDefault="00E3005B" w:rsidP="00752499">
            <w:pPr>
              <w:pStyle w:val="Tablecolheadwhite"/>
              <w:rPr>
                <w:b/>
                <w:bCs/>
                <w:szCs w:val="21"/>
              </w:rPr>
            </w:pPr>
            <w:r w:rsidRPr="00967D32">
              <w:rPr>
                <w:b/>
                <w:bCs/>
                <w:szCs w:val="21"/>
              </w:rPr>
              <w:t>Learning Areas</w:t>
            </w:r>
          </w:p>
        </w:tc>
        <w:tc>
          <w:tcPr>
            <w:tcW w:w="7369" w:type="dxa"/>
          </w:tcPr>
          <w:p w14:paraId="713ECDB4" w14:textId="77777777" w:rsidR="00E3005B" w:rsidRPr="00967D32" w:rsidRDefault="00E3005B" w:rsidP="00752499">
            <w:pPr>
              <w:pStyle w:val="Tablecolheadwhite"/>
              <w:rPr>
                <w:b/>
                <w:bCs/>
                <w:szCs w:val="21"/>
              </w:rPr>
            </w:pPr>
            <w:r w:rsidRPr="00967D32">
              <w:rPr>
                <w:b/>
                <w:bCs/>
                <w:szCs w:val="21"/>
              </w:rPr>
              <w:t>Specialist Learning Outcomes</w:t>
            </w:r>
          </w:p>
        </w:tc>
      </w:tr>
      <w:tr w:rsidR="00352D1E" w14:paraId="1658E079" w14:textId="77777777" w:rsidTr="00752499">
        <w:trPr>
          <w:cnfStyle w:val="000000100000" w:firstRow="0" w:lastRow="0" w:firstColumn="0" w:lastColumn="0" w:oddVBand="0" w:evenVBand="0" w:oddHBand="1" w:evenHBand="0" w:firstRowFirstColumn="0" w:firstRowLastColumn="0" w:lastRowFirstColumn="0" w:lastRowLastColumn="0"/>
        </w:trPr>
        <w:tc>
          <w:tcPr>
            <w:tcW w:w="7368" w:type="dxa"/>
          </w:tcPr>
          <w:p w14:paraId="22C85D13" w14:textId="3469E598" w:rsidR="00352D1E" w:rsidRPr="00EE53DC" w:rsidRDefault="00352D1E" w:rsidP="00352D1E">
            <w:pPr>
              <w:pStyle w:val="Body"/>
              <w:rPr>
                <w:szCs w:val="21"/>
              </w:rPr>
            </w:pPr>
            <w:r w:rsidRPr="00EE53DC">
              <w:rPr>
                <w:rFonts w:cs="Arial"/>
                <w:b/>
                <w:bCs/>
                <w:szCs w:val="21"/>
              </w:rPr>
              <w:t>Rights-based, person-centred and strengths-focused</w:t>
            </w:r>
          </w:p>
        </w:tc>
        <w:tc>
          <w:tcPr>
            <w:tcW w:w="7369" w:type="dxa"/>
          </w:tcPr>
          <w:p w14:paraId="7BA75B4B" w14:textId="77777777" w:rsidR="00352D1E" w:rsidRPr="00EE53DC" w:rsidRDefault="00352D1E" w:rsidP="00352D1E">
            <w:pPr>
              <w:pStyle w:val="Tablebullet1"/>
              <w:rPr>
                <w:szCs w:val="21"/>
              </w:rPr>
            </w:pPr>
          </w:p>
          <w:p w14:paraId="5E6651B1" w14:textId="77777777" w:rsidR="00352D1E" w:rsidRPr="00EE53DC" w:rsidRDefault="00352D1E" w:rsidP="00352D1E">
            <w:pPr>
              <w:pStyle w:val="Tablebullet1"/>
              <w:rPr>
                <w:szCs w:val="21"/>
              </w:rPr>
            </w:pPr>
          </w:p>
        </w:tc>
      </w:tr>
      <w:tr w:rsidR="00352D1E" w14:paraId="62328BE9" w14:textId="77777777" w:rsidTr="00752499">
        <w:tc>
          <w:tcPr>
            <w:tcW w:w="7368" w:type="dxa"/>
          </w:tcPr>
          <w:p w14:paraId="0B1E18FE" w14:textId="5D99C505" w:rsidR="00352D1E" w:rsidRPr="00EE53DC" w:rsidRDefault="00352D1E" w:rsidP="00352D1E">
            <w:pPr>
              <w:pStyle w:val="Body"/>
              <w:rPr>
                <w:szCs w:val="21"/>
              </w:rPr>
            </w:pPr>
            <w:r w:rsidRPr="00EE53DC">
              <w:rPr>
                <w:rFonts w:cs="Arial"/>
                <w:b/>
                <w:bCs/>
                <w:szCs w:val="21"/>
              </w:rPr>
              <w:lastRenderedPageBreak/>
              <w:t>Trauma responsive practice</w:t>
            </w:r>
          </w:p>
        </w:tc>
        <w:tc>
          <w:tcPr>
            <w:tcW w:w="7369" w:type="dxa"/>
          </w:tcPr>
          <w:p w14:paraId="2A565A52" w14:textId="77777777" w:rsidR="00352D1E" w:rsidRPr="00EE53DC" w:rsidRDefault="00352D1E" w:rsidP="00325E75">
            <w:pPr>
              <w:pStyle w:val="Tablebullet1"/>
              <w:rPr>
                <w:szCs w:val="21"/>
              </w:rPr>
            </w:pPr>
          </w:p>
          <w:p w14:paraId="1CB18B1D" w14:textId="77777777" w:rsidR="00325E75" w:rsidRPr="00EE53DC" w:rsidRDefault="00325E75" w:rsidP="00325E75">
            <w:pPr>
              <w:pStyle w:val="Tablebullet1"/>
              <w:rPr>
                <w:szCs w:val="21"/>
              </w:rPr>
            </w:pPr>
          </w:p>
        </w:tc>
      </w:tr>
      <w:tr w:rsidR="00352D1E" w14:paraId="0811FDAA" w14:textId="77777777" w:rsidTr="00752499">
        <w:trPr>
          <w:cnfStyle w:val="000000100000" w:firstRow="0" w:lastRow="0" w:firstColumn="0" w:lastColumn="0" w:oddVBand="0" w:evenVBand="0" w:oddHBand="1" w:evenHBand="0" w:firstRowFirstColumn="0" w:firstRowLastColumn="0" w:lastRowFirstColumn="0" w:lastRowLastColumn="0"/>
        </w:trPr>
        <w:tc>
          <w:tcPr>
            <w:tcW w:w="7368" w:type="dxa"/>
          </w:tcPr>
          <w:p w14:paraId="1CD10D18" w14:textId="6F28319F" w:rsidR="00352D1E" w:rsidRPr="00EE53DC" w:rsidRDefault="00352D1E" w:rsidP="00352D1E">
            <w:pPr>
              <w:pStyle w:val="Body"/>
              <w:rPr>
                <w:szCs w:val="21"/>
              </w:rPr>
            </w:pPr>
            <w:r w:rsidRPr="00EE53DC">
              <w:rPr>
                <w:rFonts w:cs="Arial"/>
                <w:b/>
                <w:bCs/>
                <w:szCs w:val="21"/>
              </w:rPr>
              <w:t>Working with intersectional lens</w:t>
            </w:r>
          </w:p>
        </w:tc>
        <w:tc>
          <w:tcPr>
            <w:tcW w:w="7369" w:type="dxa"/>
          </w:tcPr>
          <w:p w14:paraId="4EFCFE19" w14:textId="77777777" w:rsidR="00352D1E" w:rsidRPr="00EE53DC" w:rsidRDefault="00352D1E" w:rsidP="00325E75">
            <w:pPr>
              <w:pStyle w:val="Tablebullet1"/>
              <w:rPr>
                <w:szCs w:val="21"/>
              </w:rPr>
            </w:pPr>
          </w:p>
          <w:p w14:paraId="1AF01994" w14:textId="77777777" w:rsidR="00325E75" w:rsidRPr="00EE53DC" w:rsidRDefault="00325E75" w:rsidP="00325E75">
            <w:pPr>
              <w:pStyle w:val="Tablebullet1"/>
              <w:rPr>
                <w:szCs w:val="21"/>
              </w:rPr>
            </w:pPr>
          </w:p>
        </w:tc>
      </w:tr>
      <w:tr w:rsidR="00352D1E" w14:paraId="08212DB0" w14:textId="77777777" w:rsidTr="00752499">
        <w:tc>
          <w:tcPr>
            <w:tcW w:w="7368" w:type="dxa"/>
          </w:tcPr>
          <w:p w14:paraId="41F75DF0" w14:textId="740494AC" w:rsidR="00352D1E" w:rsidRPr="00EE53DC" w:rsidRDefault="00352D1E" w:rsidP="00352D1E">
            <w:pPr>
              <w:pStyle w:val="Body"/>
              <w:rPr>
                <w:szCs w:val="21"/>
              </w:rPr>
            </w:pPr>
            <w:r w:rsidRPr="00EE53DC">
              <w:rPr>
                <w:rFonts w:cs="Arial"/>
                <w:b/>
                <w:bCs/>
                <w:szCs w:val="21"/>
              </w:rPr>
              <w:t>Ethical decision-making in practice</w:t>
            </w:r>
          </w:p>
        </w:tc>
        <w:tc>
          <w:tcPr>
            <w:tcW w:w="7369" w:type="dxa"/>
          </w:tcPr>
          <w:p w14:paraId="32F12C6D" w14:textId="77777777" w:rsidR="00352D1E" w:rsidRPr="00EE53DC" w:rsidRDefault="00352D1E" w:rsidP="00325E75">
            <w:pPr>
              <w:pStyle w:val="Tablebullet1"/>
              <w:rPr>
                <w:szCs w:val="21"/>
              </w:rPr>
            </w:pPr>
          </w:p>
          <w:p w14:paraId="49DB9648" w14:textId="77777777" w:rsidR="00325E75" w:rsidRPr="00EE53DC" w:rsidRDefault="00325E75" w:rsidP="00325E75">
            <w:pPr>
              <w:pStyle w:val="Tablebullet1"/>
              <w:rPr>
                <w:szCs w:val="21"/>
              </w:rPr>
            </w:pPr>
          </w:p>
        </w:tc>
      </w:tr>
      <w:tr w:rsidR="00352D1E" w14:paraId="1FE8E160" w14:textId="77777777" w:rsidTr="00752499">
        <w:trPr>
          <w:cnfStyle w:val="000000100000" w:firstRow="0" w:lastRow="0" w:firstColumn="0" w:lastColumn="0" w:oddVBand="0" w:evenVBand="0" w:oddHBand="1" w:evenHBand="0" w:firstRowFirstColumn="0" w:firstRowLastColumn="0" w:lastRowFirstColumn="0" w:lastRowLastColumn="0"/>
        </w:trPr>
        <w:tc>
          <w:tcPr>
            <w:tcW w:w="7368" w:type="dxa"/>
          </w:tcPr>
          <w:p w14:paraId="5D0FFD49" w14:textId="6EC88AAF" w:rsidR="00352D1E" w:rsidRPr="00EE53DC" w:rsidRDefault="00352D1E" w:rsidP="00352D1E">
            <w:pPr>
              <w:pStyle w:val="Body"/>
              <w:rPr>
                <w:szCs w:val="21"/>
              </w:rPr>
            </w:pPr>
            <w:r w:rsidRPr="00EE53DC">
              <w:rPr>
                <w:rFonts w:cs="Arial"/>
                <w:b/>
                <w:bCs/>
                <w:szCs w:val="21"/>
              </w:rPr>
              <w:t>Managing risk</w:t>
            </w:r>
          </w:p>
        </w:tc>
        <w:tc>
          <w:tcPr>
            <w:tcW w:w="7369" w:type="dxa"/>
          </w:tcPr>
          <w:p w14:paraId="2B2A321E" w14:textId="77777777" w:rsidR="00352D1E" w:rsidRPr="00EE53DC" w:rsidRDefault="00352D1E" w:rsidP="00325E75">
            <w:pPr>
              <w:pStyle w:val="Tablebullet1"/>
              <w:rPr>
                <w:szCs w:val="21"/>
              </w:rPr>
            </w:pPr>
          </w:p>
          <w:p w14:paraId="4974C651" w14:textId="77777777" w:rsidR="00325E75" w:rsidRPr="00EE53DC" w:rsidRDefault="00325E75" w:rsidP="00325E75">
            <w:pPr>
              <w:pStyle w:val="Tablebullet1"/>
              <w:rPr>
                <w:szCs w:val="21"/>
              </w:rPr>
            </w:pPr>
          </w:p>
        </w:tc>
      </w:tr>
      <w:tr w:rsidR="00352D1E" w14:paraId="5DF6524A" w14:textId="77777777" w:rsidTr="00752499">
        <w:tc>
          <w:tcPr>
            <w:tcW w:w="7368" w:type="dxa"/>
          </w:tcPr>
          <w:p w14:paraId="6AA84E62" w14:textId="1E7D53B0" w:rsidR="00352D1E" w:rsidRPr="00EE53DC" w:rsidRDefault="00352D1E" w:rsidP="00352D1E">
            <w:pPr>
              <w:pStyle w:val="Body"/>
              <w:rPr>
                <w:szCs w:val="21"/>
              </w:rPr>
            </w:pPr>
            <w:r w:rsidRPr="00EE53DC">
              <w:rPr>
                <w:rFonts w:cs="Arial"/>
                <w:b/>
                <w:bCs/>
                <w:szCs w:val="21"/>
              </w:rPr>
              <w:t>Outcomes focus</w:t>
            </w:r>
          </w:p>
        </w:tc>
        <w:tc>
          <w:tcPr>
            <w:tcW w:w="7369" w:type="dxa"/>
          </w:tcPr>
          <w:p w14:paraId="55D3E9EE" w14:textId="77777777" w:rsidR="00352D1E" w:rsidRPr="00EE53DC" w:rsidRDefault="00352D1E" w:rsidP="00325E75">
            <w:pPr>
              <w:pStyle w:val="Tablebullet1"/>
              <w:rPr>
                <w:szCs w:val="21"/>
              </w:rPr>
            </w:pPr>
          </w:p>
          <w:p w14:paraId="3DC2319E" w14:textId="77777777" w:rsidR="00352D1E" w:rsidRPr="00EE53DC" w:rsidRDefault="00352D1E" w:rsidP="00325E75">
            <w:pPr>
              <w:pStyle w:val="Tablebullet1"/>
              <w:rPr>
                <w:szCs w:val="21"/>
              </w:rPr>
            </w:pPr>
          </w:p>
        </w:tc>
      </w:tr>
    </w:tbl>
    <w:p w14:paraId="0062EFC8" w14:textId="775E2A9B" w:rsidR="002051EE" w:rsidRDefault="002051EE" w:rsidP="002051EE">
      <w:pPr>
        <w:pStyle w:val="Heading2"/>
        <w:rPr>
          <w:rFonts w:cs="Arial"/>
          <w:szCs w:val="21"/>
        </w:rPr>
      </w:pPr>
      <w:bookmarkStart w:id="50" w:name="_Toc221790888"/>
      <w:r>
        <w:t xml:space="preserve">Learning Domain: </w:t>
      </w:r>
      <w:r w:rsidRPr="003923F4">
        <w:rPr>
          <w:rFonts w:cs="Arial"/>
          <w:szCs w:val="21"/>
        </w:rPr>
        <w:t>Collaborative practice</w:t>
      </w:r>
      <w:bookmarkEnd w:id="50"/>
    </w:p>
    <w:tbl>
      <w:tblPr>
        <w:tblStyle w:val="CASSGP"/>
        <w:tblW w:w="14737" w:type="dxa"/>
        <w:tblLook w:val="04A0" w:firstRow="1" w:lastRow="0" w:firstColumn="1" w:lastColumn="0" w:noHBand="0" w:noVBand="1"/>
      </w:tblPr>
      <w:tblGrid>
        <w:gridCol w:w="7368"/>
        <w:gridCol w:w="7369"/>
      </w:tblGrid>
      <w:tr w:rsidR="00E3005B" w14:paraId="2457F1E9" w14:textId="77777777" w:rsidTr="00CA22B2">
        <w:trPr>
          <w:cnfStyle w:val="100000000000" w:firstRow="1" w:lastRow="0" w:firstColumn="0" w:lastColumn="0" w:oddVBand="0" w:evenVBand="0" w:oddHBand="0" w:evenHBand="0" w:firstRowFirstColumn="0" w:firstRowLastColumn="0" w:lastRowFirstColumn="0" w:lastRowLastColumn="0"/>
          <w:tblHeader/>
        </w:trPr>
        <w:tc>
          <w:tcPr>
            <w:tcW w:w="7368" w:type="dxa"/>
          </w:tcPr>
          <w:p w14:paraId="12536386" w14:textId="77777777" w:rsidR="00E3005B" w:rsidRPr="00967D32" w:rsidRDefault="00E3005B" w:rsidP="00752499">
            <w:pPr>
              <w:pStyle w:val="Tablecolheadwhite"/>
              <w:rPr>
                <w:b/>
                <w:bCs/>
                <w:szCs w:val="21"/>
              </w:rPr>
            </w:pPr>
            <w:r w:rsidRPr="00967D32">
              <w:rPr>
                <w:b/>
                <w:bCs/>
                <w:szCs w:val="21"/>
              </w:rPr>
              <w:t>Learning Areas</w:t>
            </w:r>
          </w:p>
        </w:tc>
        <w:tc>
          <w:tcPr>
            <w:tcW w:w="7369" w:type="dxa"/>
          </w:tcPr>
          <w:p w14:paraId="241DBFE8" w14:textId="77777777" w:rsidR="00E3005B" w:rsidRPr="00967D32" w:rsidRDefault="00E3005B" w:rsidP="00752499">
            <w:pPr>
              <w:pStyle w:val="Tablecolheadwhite"/>
              <w:rPr>
                <w:b/>
                <w:bCs/>
                <w:szCs w:val="21"/>
              </w:rPr>
            </w:pPr>
            <w:r w:rsidRPr="00967D32">
              <w:rPr>
                <w:b/>
                <w:bCs/>
                <w:szCs w:val="21"/>
              </w:rPr>
              <w:t>Specialist Learning Outcomes</w:t>
            </w:r>
          </w:p>
        </w:tc>
      </w:tr>
      <w:tr w:rsidR="00352D1E" w14:paraId="0E75EA1B" w14:textId="77777777" w:rsidTr="00752499">
        <w:trPr>
          <w:cnfStyle w:val="000000100000" w:firstRow="0" w:lastRow="0" w:firstColumn="0" w:lastColumn="0" w:oddVBand="0" w:evenVBand="0" w:oddHBand="1" w:evenHBand="0" w:firstRowFirstColumn="0" w:firstRowLastColumn="0" w:lastRowFirstColumn="0" w:lastRowLastColumn="0"/>
        </w:trPr>
        <w:tc>
          <w:tcPr>
            <w:tcW w:w="7368" w:type="dxa"/>
          </w:tcPr>
          <w:p w14:paraId="5CE84E2F" w14:textId="6F5F9A77" w:rsidR="00352D1E" w:rsidRPr="00EE53DC" w:rsidRDefault="00352D1E" w:rsidP="00352D1E">
            <w:pPr>
              <w:pStyle w:val="Body"/>
              <w:rPr>
                <w:szCs w:val="21"/>
              </w:rPr>
            </w:pPr>
            <w:r w:rsidRPr="00EE53DC">
              <w:rPr>
                <w:rFonts w:cs="Arial"/>
                <w:b/>
                <w:bCs/>
                <w:szCs w:val="21"/>
              </w:rPr>
              <w:t>Collaborating across different systems, services and programs</w:t>
            </w:r>
          </w:p>
        </w:tc>
        <w:tc>
          <w:tcPr>
            <w:tcW w:w="7369" w:type="dxa"/>
          </w:tcPr>
          <w:p w14:paraId="570C5968" w14:textId="77777777" w:rsidR="00352D1E" w:rsidRPr="00EE53DC" w:rsidRDefault="00352D1E" w:rsidP="00352D1E">
            <w:pPr>
              <w:pStyle w:val="Tablebullet1"/>
              <w:rPr>
                <w:szCs w:val="21"/>
              </w:rPr>
            </w:pPr>
          </w:p>
          <w:p w14:paraId="0FCEE00C" w14:textId="77777777" w:rsidR="00352D1E" w:rsidRPr="00EE53DC" w:rsidRDefault="00352D1E" w:rsidP="00352D1E">
            <w:pPr>
              <w:pStyle w:val="Tablebullet1"/>
              <w:rPr>
                <w:szCs w:val="21"/>
              </w:rPr>
            </w:pPr>
          </w:p>
        </w:tc>
      </w:tr>
      <w:tr w:rsidR="00352D1E" w14:paraId="5D7267F6" w14:textId="77777777" w:rsidTr="00752499">
        <w:tc>
          <w:tcPr>
            <w:tcW w:w="7368" w:type="dxa"/>
          </w:tcPr>
          <w:p w14:paraId="5CA2B4B2" w14:textId="41B5AF62" w:rsidR="00352D1E" w:rsidRPr="00EE53DC" w:rsidRDefault="00352D1E" w:rsidP="00352D1E">
            <w:pPr>
              <w:pStyle w:val="Body"/>
              <w:rPr>
                <w:szCs w:val="21"/>
              </w:rPr>
            </w:pPr>
            <w:r w:rsidRPr="00EE53DC">
              <w:rPr>
                <w:rFonts w:cs="Arial"/>
                <w:b/>
                <w:bCs/>
                <w:szCs w:val="21"/>
              </w:rPr>
              <w:t>Collaborating with service users and engaging lived experience</w:t>
            </w:r>
          </w:p>
        </w:tc>
        <w:tc>
          <w:tcPr>
            <w:tcW w:w="7369" w:type="dxa"/>
          </w:tcPr>
          <w:p w14:paraId="68FAF4EA" w14:textId="77777777" w:rsidR="00352D1E" w:rsidRPr="00EE53DC" w:rsidRDefault="00352D1E" w:rsidP="00325E75">
            <w:pPr>
              <w:pStyle w:val="Tablebullet1"/>
              <w:rPr>
                <w:szCs w:val="21"/>
              </w:rPr>
            </w:pPr>
          </w:p>
          <w:p w14:paraId="7E92B68E" w14:textId="77777777" w:rsidR="00352D1E" w:rsidRPr="00EE53DC" w:rsidRDefault="00352D1E" w:rsidP="00325E75">
            <w:pPr>
              <w:pStyle w:val="Tablebullet1"/>
              <w:rPr>
                <w:szCs w:val="21"/>
              </w:rPr>
            </w:pPr>
          </w:p>
        </w:tc>
      </w:tr>
      <w:tr w:rsidR="00352D1E" w14:paraId="1B3C6CDE" w14:textId="77777777" w:rsidTr="00752499">
        <w:trPr>
          <w:cnfStyle w:val="000000100000" w:firstRow="0" w:lastRow="0" w:firstColumn="0" w:lastColumn="0" w:oddVBand="0" w:evenVBand="0" w:oddHBand="1" w:evenHBand="0" w:firstRowFirstColumn="0" w:firstRowLastColumn="0" w:lastRowFirstColumn="0" w:lastRowLastColumn="0"/>
        </w:trPr>
        <w:tc>
          <w:tcPr>
            <w:tcW w:w="7368" w:type="dxa"/>
          </w:tcPr>
          <w:p w14:paraId="1B8E8A6D" w14:textId="721608A8" w:rsidR="00352D1E" w:rsidRPr="00EE53DC" w:rsidRDefault="00352D1E" w:rsidP="00352D1E">
            <w:pPr>
              <w:pStyle w:val="Body"/>
              <w:rPr>
                <w:szCs w:val="21"/>
              </w:rPr>
            </w:pPr>
            <w:r w:rsidRPr="00EE53DC">
              <w:rPr>
                <w:rFonts w:cs="Arial"/>
                <w:b/>
                <w:bCs/>
                <w:szCs w:val="21"/>
              </w:rPr>
              <w:t>Community resources and referral pathways</w:t>
            </w:r>
          </w:p>
        </w:tc>
        <w:tc>
          <w:tcPr>
            <w:tcW w:w="7369" w:type="dxa"/>
          </w:tcPr>
          <w:p w14:paraId="335F7E89" w14:textId="77777777" w:rsidR="00352D1E" w:rsidRPr="00EE53DC" w:rsidRDefault="00352D1E" w:rsidP="00325E75">
            <w:pPr>
              <w:pStyle w:val="Tablebullet1"/>
              <w:rPr>
                <w:szCs w:val="21"/>
              </w:rPr>
            </w:pPr>
          </w:p>
          <w:p w14:paraId="46613BB5" w14:textId="77777777" w:rsidR="00325E75" w:rsidRPr="00EE53DC" w:rsidRDefault="00325E75" w:rsidP="00325E75">
            <w:pPr>
              <w:pStyle w:val="Tablebullet1"/>
              <w:rPr>
                <w:szCs w:val="21"/>
              </w:rPr>
            </w:pPr>
          </w:p>
        </w:tc>
      </w:tr>
      <w:tr w:rsidR="00352D1E" w14:paraId="1BBA232D" w14:textId="77777777" w:rsidTr="00325E75">
        <w:trPr>
          <w:trHeight w:val="70"/>
        </w:trPr>
        <w:tc>
          <w:tcPr>
            <w:tcW w:w="7368" w:type="dxa"/>
          </w:tcPr>
          <w:p w14:paraId="2157E247" w14:textId="52570EDD" w:rsidR="00352D1E" w:rsidRPr="00EE53DC" w:rsidRDefault="00352D1E" w:rsidP="00352D1E">
            <w:pPr>
              <w:pStyle w:val="Body"/>
              <w:rPr>
                <w:szCs w:val="21"/>
              </w:rPr>
            </w:pPr>
            <w:r w:rsidRPr="00EE53DC">
              <w:rPr>
                <w:rFonts w:cs="Arial"/>
                <w:b/>
                <w:bCs/>
                <w:szCs w:val="21"/>
              </w:rPr>
              <w:t>Professional networks for advocacy</w:t>
            </w:r>
          </w:p>
        </w:tc>
        <w:tc>
          <w:tcPr>
            <w:tcW w:w="7369" w:type="dxa"/>
          </w:tcPr>
          <w:p w14:paraId="2CF8C5F3" w14:textId="77777777" w:rsidR="00352D1E" w:rsidRPr="00EE53DC" w:rsidRDefault="00352D1E" w:rsidP="00325E75">
            <w:pPr>
              <w:pStyle w:val="Tablebullet1"/>
              <w:rPr>
                <w:szCs w:val="21"/>
              </w:rPr>
            </w:pPr>
          </w:p>
          <w:p w14:paraId="43908E91" w14:textId="77777777" w:rsidR="00325E75" w:rsidRPr="00EE53DC" w:rsidRDefault="00325E75" w:rsidP="00325E75">
            <w:pPr>
              <w:pStyle w:val="Tablebullet1"/>
              <w:rPr>
                <w:szCs w:val="21"/>
              </w:rPr>
            </w:pPr>
          </w:p>
        </w:tc>
      </w:tr>
    </w:tbl>
    <w:p w14:paraId="4FC9F89C" w14:textId="77777777" w:rsidR="00E3005B" w:rsidRPr="00E3005B" w:rsidRDefault="00E3005B" w:rsidP="00E3005B">
      <w:pPr>
        <w:pStyle w:val="Body"/>
      </w:pPr>
    </w:p>
    <w:p w14:paraId="6C4B7B76" w14:textId="77777777" w:rsidR="00983BA1" w:rsidRDefault="00983BA1">
      <w:pPr>
        <w:spacing w:after="0" w:line="240" w:lineRule="auto"/>
        <w:rPr>
          <w:b/>
          <w:color w:val="201547"/>
          <w:sz w:val="32"/>
          <w:szCs w:val="28"/>
        </w:rPr>
      </w:pPr>
      <w:r>
        <w:br w:type="page"/>
      </w:r>
    </w:p>
    <w:p w14:paraId="77B6D2F9" w14:textId="6C073A10" w:rsidR="002051EE" w:rsidRDefault="002051EE" w:rsidP="002051EE">
      <w:pPr>
        <w:pStyle w:val="Heading2"/>
      </w:pPr>
      <w:bookmarkStart w:id="51" w:name="_Toc221790889"/>
      <w:r>
        <w:lastRenderedPageBreak/>
        <w:t>Learning Domain: Professional self</w:t>
      </w:r>
      <w:bookmarkEnd w:id="51"/>
      <w:r>
        <w:t xml:space="preserve"> </w:t>
      </w:r>
    </w:p>
    <w:tbl>
      <w:tblPr>
        <w:tblStyle w:val="CASSGP"/>
        <w:tblW w:w="14737" w:type="dxa"/>
        <w:tblLook w:val="04A0" w:firstRow="1" w:lastRow="0" w:firstColumn="1" w:lastColumn="0" w:noHBand="0" w:noVBand="1"/>
      </w:tblPr>
      <w:tblGrid>
        <w:gridCol w:w="7368"/>
        <w:gridCol w:w="7369"/>
      </w:tblGrid>
      <w:tr w:rsidR="00E3005B" w14:paraId="0FE61D4D" w14:textId="77777777" w:rsidTr="00983BA1">
        <w:trPr>
          <w:cnfStyle w:val="100000000000" w:firstRow="1" w:lastRow="0" w:firstColumn="0" w:lastColumn="0" w:oddVBand="0" w:evenVBand="0" w:oddHBand="0" w:evenHBand="0" w:firstRowFirstColumn="0" w:firstRowLastColumn="0" w:lastRowFirstColumn="0" w:lastRowLastColumn="0"/>
        </w:trPr>
        <w:tc>
          <w:tcPr>
            <w:tcW w:w="7368" w:type="dxa"/>
          </w:tcPr>
          <w:p w14:paraId="46121E6D" w14:textId="77777777" w:rsidR="00E3005B" w:rsidRPr="00967D32" w:rsidRDefault="00E3005B" w:rsidP="00752499">
            <w:pPr>
              <w:pStyle w:val="Tablecolheadwhite"/>
              <w:rPr>
                <w:b/>
                <w:bCs/>
                <w:szCs w:val="21"/>
              </w:rPr>
            </w:pPr>
            <w:r w:rsidRPr="00967D32">
              <w:rPr>
                <w:b/>
                <w:bCs/>
                <w:szCs w:val="21"/>
              </w:rPr>
              <w:t>Learning Areas</w:t>
            </w:r>
          </w:p>
        </w:tc>
        <w:tc>
          <w:tcPr>
            <w:tcW w:w="7369" w:type="dxa"/>
          </w:tcPr>
          <w:p w14:paraId="40261450" w14:textId="77777777" w:rsidR="00E3005B" w:rsidRPr="00967D32" w:rsidRDefault="00E3005B" w:rsidP="00752499">
            <w:pPr>
              <w:pStyle w:val="Tablecolheadwhite"/>
              <w:rPr>
                <w:b/>
                <w:bCs/>
                <w:szCs w:val="21"/>
              </w:rPr>
            </w:pPr>
            <w:r w:rsidRPr="00967D32">
              <w:rPr>
                <w:b/>
                <w:bCs/>
                <w:szCs w:val="21"/>
              </w:rPr>
              <w:t>Specialist Learning Outcomes</w:t>
            </w:r>
          </w:p>
        </w:tc>
      </w:tr>
      <w:tr w:rsidR="00352D1E" w14:paraId="7C7E2218" w14:textId="77777777" w:rsidTr="00983BA1">
        <w:trPr>
          <w:cnfStyle w:val="000000100000" w:firstRow="0" w:lastRow="0" w:firstColumn="0" w:lastColumn="0" w:oddVBand="0" w:evenVBand="0" w:oddHBand="1" w:evenHBand="0" w:firstRowFirstColumn="0" w:firstRowLastColumn="0" w:lastRowFirstColumn="0" w:lastRowLastColumn="0"/>
        </w:trPr>
        <w:tc>
          <w:tcPr>
            <w:tcW w:w="7368" w:type="dxa"/>
          </w:tcPr>
          <w:p w14:paraId="09FEDD74" w14:textId="62C0FE8D" w:rsidR="00352D1E" w:rsidRPr="00EE53DC" w:rsidRDefault="00352D1E" w:rsidP="00352D1E">
            <w:pPr>
              <w:pStyle w:val="Body"/>
              <w:rPr>
                <w:szCs w:val="21"/>
              </w:rPr>
            </w:pPr>
            <w:r w:rsidRPr="00EE53DC">
              <w:rPr>
                <w:rFonts w:cs="Arial"/>
                <w:b/>
                <w:bCs/>
                <w:szCs w:val="21"/>
              </w:rPr>
              <w:t>Reflective practice models</w:t>
            </w:r>
          </w:p>
        </w:tc>
        <w:tc>
          <w:tcPr>
            <w:tcW w:w="7369" w:type="dxa"/>
          </w:tcPr>
          <w:p w14:paraId="118273C0" w14:textId="77777777" w:rsidR="00352D1E" w:rsidRPr="00EE53DC" w:rsidRDefault="00352D1E" w:rsidP="00352D1E">
            <w:pPr>
              <w:pStyle w:val="Tablebullet1"/>
              <w:rPr>
                <w:szCs w:val="21"/>
              </w:rPr>
            </w:pPr>
          </w:p>
          <w:p w14:paraId="549F4099" w14:textId="77777777" w:rsidR="00352D1E" w:rsidRPr="00EE53DC" w:rsidRDefault="00352D1E" w:rsidP="00352D1E">
            <w:pPr>
              <w:pStyle w:val="Tablebullet1"/>
              <w:rPr>
                <w:szCs w:val="21"/>
              </w:rPr>
            </w:pPr>
          </w:p>
        </w:tc>
      </w:tr>
      <w:tr w:rsidR="00352D1E" w14:paraId="4FED2503" w14:textId="77777777" w:rsidTr="00983BA1">
        <w:tc>
          <w:tcPr>
            <w:tcW w:w="7368" w:type="dxa"/>
          </w:tcPr>
          <w:p w14:paraId="0DEEDDDF" w14:textId="20F25DE9" w:rsidR="00352D1E" w:rsidRPr="00EE53DC" w:rsidRDefault="00352D1E" w:rsidP="00352D1E">
            <w:pPr>
              <w:pStyle w:val="Body"/>
              <w:rPr>
                <w:szCs w:val="21"/>
              </w:rPr>
            </w:pPr>
            <w:r w:rsidRPr="00EE53DC">
              <w:rPr>
                <w:rFonts w:cs="Arial"/>
                <w:b/>
                <w:bCs/>
                <w:szCs w:val="21"/>
              </w:rPr>
              <w:t>Compassion fatigue, vicarious trauma and burnout</w:t>
            </w:r>
          </w:p>
        </w:tc>
        <w:tc>
          <w:tcPr>
            <w:tcW w:w="7369" w:type="dxa"/>
          </w:tcPr>
          <w:p w14:paraId="1FC25DE6" w14:textId="77777777" w:rsidR="00352D1E" w:rsidRPr="00EE53DC" w:rsidRDefault="00352D1E" w:rsidP="00325E75">
            <w:pPr>
              <w:pStyle w:val="Tablebullet1"/>
              <w:rPr>
                <w:szCs w:val="21"/>
              </w:rPr>
            </w:pPr>
          </w:p>
          <w:p w14:paraId="7E9908A2" w14:textId="77777777" w:rsidR="00352D1E" w:rsidRPr="00EE53DC" w:rsidRDefault="00352D1E" w:rsidP="00325E75">
            <w:pPr>
              <w:pStyle w:val="Tablebullet1"/>
              <w:rPr>
                <w:szCs w:val="21"/>
              </w:rPr>
            </w:pPr>
          </w:p>
        </w:tc>
      </w:tr>
      <w:tr w:rsidR="00352D1E" w14:paraId="7F69759D" w14:textId="77777777" w:rsidTr="00983BA1">
        <w:trPr>
          <w:cnfStyle w:val="000000100000" w:firstRow="0" w:lastRow="0" w:firstColumn="0" w:lastColumn="0" w:oddVBand="0" w:evenVBand="0" w:oddHBand="1" w:evenHBand="0" w:firstRowFirstColumn="0" w:firstRowLastColumn="0" w:lastRowFirstColumn="0" w:lastRowLastColumn="0"/>
        </w:trPr>
        <w:tc>
          <w:tcPr>
            <w:tcW w:w="7368" w:type="dxa"/>
          </w:tcPr>
          <w:p w14:paraId="56E7502B" w14:textId="0D0982B3" w:rsidR="00352D1E" w:rsidRPr="00EE53DC" w:rsidRDefault="00352D1E" w:rsidP="00352D1E">
            <w:pPr>
              <w:pStyle w:val="Body"/>
              <w:rPr>
                <w:szCs w:val="21"/>
              </w:rPr>
            </w:pPr>
            <w:r w:rsidRPr="00EE53DC">
              <w:rPr>
                <w:rFonts w:cs="Arial"/>
                <w:b/>
                <w:bCs/>
                <w:szCs w:val="21"/>
              </w:rPr>
              <w:t>Practitioner wellbeing</w:t>
            </w:r>
          </w:p>
        </w:tc>
        <w:tc>
          <w:tcPr>
            <w:tcW w:w="7369" w:type="dxa"/>
          </w:tcPr>
          <w:p w14:paraId="6345247B" w14:textId="77777777" w:rsidR="00352D1E" w:rsidRPr="00EE53DC" w:rsidRDefault="00352D1E" w:rsidP="00325E75">
            <w:pPr>
              <w:pStyle w:val="Tablebullet1"/>
              <w:rPr>
                <w:szCs w:val="21"/>
              </w:rPr>
            </w:pPr>
          </w:p>
          <w:p w14:paraId="02FB57F1" w14:textId="77777777" w:rsidR="00325E75" w:rsidRPr="00EE53DC" w:rsidRDefault="00325E75" w:rsidP="00325E75">
            <w:pPr>
              <w:pStyle w:val="Tablebullet1"/>
              <w:rPr>
                <w:szCs w:val="21"/>
              </w:rPr>
            </w:pPr>
          </w:p>
        </w:tc>
      </w:tr>
      <w:tr w:rsidR="00352D1E" w14:paraId="1BFE0DF7" w14:textId="77777777" w:rsidTr="00983BA1">
        <w:tc>
          <w:tcPr>
            <w:tcW w:w="7368" w:type="dxa"/>
          </w:tcPr>
          <w:p w14:paraId="370441DC" w14:textId="40E7B258" w:rsidR="00352D1E" w:rsidRPr="00EE53DC" w:rsidRDefault="00352D1E" w:rsidP="00352D1E">
            <w:pPr>
              <w:pStyle w:val="Body"/>
              <w:rPr>
                <w:szCs w:val="21"/>
              </w:rPr>
            </w:pPr>
            <w:r w:rsidRPr="00EE53DC">
              <w:rPr>
                <w:rFonts w:cs="Arial"/>
                <w:b/>
                <w:bCs/>
                <w:szCs w:val="21"/>
              </w:rPr>
              <w:t>Building peer networks</w:t>
            </w:r>
          </w:p>
        </w:tc>
        <w:tc>
          <w:tcPr>
            <w:tcW w:w="7369" w:type="dxa"/>
          </w:tcPr>
          <w:p w14:paraId="730B5259" w14:textId="77777777" w:rsidR="00352D1E" w:rsidRPr="00EE53DC" w:rsidRDefault="00352D1E" w:rsidP="00325E75">
            <w:pPr>
              <w:pStyle w:val="Tablebullet1"/>
              <w:rPr>
                <w:szCs w:val="21"/>
              </w:rPr>
            </w:pPr>
          </w:p>
          <w:p w14:paraId="395F66F8" w14:textId="77777777" w:rsidR="00325E75" w:rsidRPr="00EE53DC" w:rsidRDefault="00325E75" w:rsidP="00325E75">
            <w:pPr>
              <w:pStyle w:val="Tablebullet1"/>
              <w:rPr>
                <w:szCs w:val="21"/>
              </w:rPr>
            </w:pPr>
          </w:p>
        </w:tc>
      </w:tr>
      <w:tr w:rsidR="00352D1E" w14:paraId="3F04393A" w14:textId="77777777" w:rsidTr="00983BA1">
        <w:trPr>
          <w:cnfStyle w:val="000000100000" w:firstRow="0" w:lastRow="0" w:firstColumn="0" w:lastColumn="0" w:oddVBand="0" w:evenVBand="0" w:oddHBand="1" w:evenHBand="0" w:firstRowFirstColumn="0" w:firstRowLastColumn="0" w:lastRowFirstColumn="0" w:lastRowLastColumn="0"/>
        </w:trPr>
        <w:tc>
          <w:tcPr>
            <w:tcW w:w="7368" w:type="dxa"/>
          </w:tcPr>
          <w:p w14:paraId="2D56B286" w14:textId="13B19EFB" w:rsidR="00352D1E" w:rsidRPr="00EE53DC" w:rsidRDefault="00352D1E" w:rsidP="00352D1E">
            <w:pPr>
              <w:pStyle w:val="Body"/>
              <w:rPr>
                <w:szCs w:val="21"/>
              </w:rPr>
            </w:pPr>
            <w:r w:rsidRPr="00EE53DC">
              <w:rPr>
                <w:rFonts w:cs="Arial"/>
                <w:b/>
                <w:bCs/>
                <w:szCs w:val="21"/>
              </w:rPr>
              <w:t>Career planning</w:t>
            </w:r>
          </w:p>
        </w:tc>
        <w:tc>
          <w:tcPr>
            <w:tcW w:w="7369" w:type="dxa"/>
          </w:tcPr>
          <w:p w14:paraId="39D87A09" w14:textId="77777777" w:rsidR="00352D1E" w:rsidRPr="00EE53DC" w:rsidRDefault="00352D1E" w:rsidP="00325E75">
            <w:pPr>
              <w:pStyle w:val="Tablebullet1"/>
              <w:rPr>
                <w:szCs w:val="21"/>
              </w:rPr>
            </w:pPr>
          </w:p>
          <w:p w14:paraId="720B8542" w14:textId="77777777" w:rsidR="00325E75" w:rsidRPr="00EE53DC" w:rsidRDefault="00325E75" w:rsidP="00325E75">
            <w:pPr>
              <w:pStyle w:val="Tablebullet1"/>
              <w:rPr>
                <w:szCs w:val="21"/>
              </w:rPr>
            </w:pPr>
          </w:p>
        </w:tc>
      </w:tr>
    </w:tbl>
    <w:p w14:paraId="304BEB23" w14:textId="77777777" w:rsidR="000B033C" w:rsidRDefault="000B033C" w:rsidP="00A45592">
      <w:pPr>
        <w:pStyle w:val="Body"/>
      </w:pPr>
    </w:p>
    <w:p w14:paraId="70B87828" w14:textId="59146AF0" w:rsidR="00F82995" w:rsidRDefault="00F82995">
      <w:pPr>
        <w:spacing w:after="0" w:line="240" w:lineRule="auto"/>
      </w:pPr>
      <w:r>
        <w:br w:type="page"/>
      </w:r>
    </w:p>
    <w:p w14:paraId="7F57550C" w14:textId="77777777" w:rsidR="00F82995" w:rsidRPr="00F82995" w:rsidRDefault="00F82995">
      <w:pPr>
        <w:spacing w:after="0" w:line="240" w:lineRule="auto"/>
      </w:pPr>
    </w:p>
    <w:p w14:paraId="7DC6AFE9" w14:textId="31E6FF74" w:rsidR="00F60EED" w:rsidRDefault="00945C45" w:rsidP="009036FD">
      <w:pPr>
        <w:pStyle w:val="Heading1"/>
      </w:pPr>
      <w:bookmarkStart w:id="52" w:name="_Toc221790890"/>
      <w:bookmarkStart w:id="53" w:name="_Toc176177724"/>
      <w:r>
        <w:t xml:space="preserve">Appendix </w:t>
      </w:r>
      <w:r w:rsidR="007D68A7">
        <w:t>3</w:t>
      </w:r>
      <w:r w:rsidR="003C4508">
        <w:t>.</w:t>
      </w:r>
      <w:r>
        <w:t xml:space="preserve"> Working </w:t>
      </w:r>
      <w:r w:rsidR="00E83F9C">
        <w:t>e</w:t>
      </w:r>
      <w:r>
        <w:t>xample</w:t>
      </w:r>
      <w:r w:rsidR="000348B9">
        <w:t>s</w:t>
      </w:r>
      <w:r>
        <w:t xml:space="preserve"> of </w:t>
      </w:r>
      <w:r w:rsidR="00E83F9C">
        <w:t>s</w:t>
      </w:r>
      <w:r>
        <w:t xml:space="preserve">pecialist </w:t>
      </w:r>
      <w:r w:rsidR="00E83F9C">
        <w:t>l</w:t>
      </w:r>
      <w:r>
        <w:t xml:space="preserve">earning </w:t>
      </w:r>
      <w:r w:rsidR="00E83F9C">
        <w:t>o</w:t>
      </w:r>
      <w:r>
        <w:t>utcomes</w:t>
      </w:r>
      <w:bookmarkEnd w:id="52"/>
      <w:r>
        <w:t xml:space="preserve"> </w:t>
      </w:r>
    </w:p>
    <w:p w14:paraId="195713C9" w14:textId="1DE0C524" w:rsidR="00945C45" w:rsidRPr="008D66F6" w:rsidRDefault="002E2007" w:rsidP="008D66F6">
      <w:pPr>
        <w:pStyle w:val="Heading2"/>
      </w:pPr>
      <w:bookmarkStart w:id="54" w:name="_Toc221790891"/>
      <w:r w:rsidRPr="008D66F6">
        <w:t>A</w:t>
      </w:r>
      <w:r w:rsidR="007D68A7" w:rsidRPr="008D66F6">
        <w:t>3</w:t>
      </w:r>
      <w:r w:rsidRPr="008D66F6">
        <w:t xml:space="preserve">.1 </w:t>
      </w:r>
      <w:r w:rsidR="00945C45" w:rsidRPr="008D66F6">
        <w:t xml:space="preserve">Graduate in </w:t>
      </w:r>
      <w:r w:rsidR="00E83F9C">
        <w:t>c</w:t>
      </w:r>
      <w:r w:rsidR="00945C45" w:rsidRPr="008D66F6">
        <w:t xml:space="preserve">hild </w:t>
      </w:r>
      <w:r w:rsidR="00E83F9C">
        <w:t>p</w:t>
      </w:r>
      <w:r w:rsidR="00945C45" w:rsidRPr="008D66F6">
        <w:t>rotection</w:t>
      </w:r>
      <w:bookmarkEnd w:id="53"/>
      <w:bookmarkEnd w:id="54"/>
    </w:p>
    <w:p w14:paraId="1EEC11AB" w14:textId="60EA7DEB" w:rsidR="000A4234" w:rsidRDefault="00945C45" w:rsidP="008D66F6">
      <w:pPr>
        <w:pStyle w:val="Body"/>
      </w:pPr>
      <w:r>
        <w:t xml:space="preserve">The following working example relates to the development of specialist learning outcomes for the </w:t>
      </w:r>
      <w:r>
        <w:rPr>
          <w:i/>
          <w:iCs/>
        </w:rPr>
        <w:t>Professional communication and interpersonal engagement</w:t>
      </w:r>
      <w:r>
        <w:t xml:space="preserve"> learning domain</w:t>
      </w:r>
      <w:r w:rsidR="00020979">
        <w:t>. They are</w:t>
      </w:r>
      <w:r>
        <w:t xml:space="preserve"> for a graduate employed as a CPP3</w:t>
      </w:r>
      <w:r w:rsidR="002A0FD2">
        <w:t xml:space="preserve"> who is</w:t>
      </w:r>
      <w:r>
        <w:t xml:space="preserve">a Bachelor of Social Work graduate who completed a 500-hour placement with Child Protection prior to their employment in the CPP3 role. The following specialist learning outcomes draw on the CPP3 Beginning Practice: Core Capabilities from the </w:t>
      </w:r>
      <w:hyperlink r:id="rId40" w:history="1">
        <w:r w:rsidRPr="00372DFE">
          <w:rPr>
            <w:rStyle w:val="Hyperlink"/>
            <w:i/>
            <w:iCs/>
          </w:rPr>
          <w:t>Child Protection Capability Framework</w:t>
        </w:r>
      </w:hyperlink>
      <w:r>
        <w:t xml:space="preserve"> (2021)</w:t>
      </w:r>
      <w:r w:rsidR="0079118C">
        <w:t>.</w:t>
      </w:r>
      <w:r w:rsidR="0079118C">
        <w:rPr>
          <w:rStyle w:val="FootnoteReference"/>
        </w:rPr>
        <w:footnoteReference w:id="8"/>
      </w:r>
      <w:r w:rsidR="0079118C">
        <w:t xml:space="preserve"> </w:t>
      </w:r>
    </w:p>
    <w:p w14:paraId="570090BA" w14:textId="5ECA0550" w:rsidR="00E0570C" w:rsidRDefault="00E0570C" w:rsidP="00346652">
      <w:pPr>
        <w:pStyle w:val="Heading3"/>
      </w:pPr>
      <w:r>
        <w:t xml:space="preserve">Learning </w:t>
      </w:r>
      <w:r w:rsidR="00C808C7">
        <w:t>D</w:t>
      </w:r>
      <w:r>
        <w:t>omain: Professional communication and engagement</w:t>
      </w:r>
    </w:p>
    <w:tbl>
      <w:tblPr>
        <w:tblStyle w:val="TableGrid"/>
        <w:tblW w:w="0" w:type="auto"/>
        <w:tblLook w:val="04A0" w:firstRow="1" w:lastRow="0" w:firstColumn="1" w:lastColumn="0" w:noHBand="0" w:noVBand="1"/>
      </w:tblPr>
      <w:tblGrid>
        <w:gridCol w:w="6232"/>
        <w:gridCol w:w="8327"/>
      </w:tblGrid>
      <w:tr w:rsidR="00E0570C" w14:paraId="132BF223" w14:textId="77777777" w:rsidTr="00543B8C">
        <w:tc>
          <w:tcPr>
            <w:tcW w:w="6232" w:type="dxa"/>
          </w:tcPr>
          <w:p w14:paraId="79148A44" w14:textId="117D2E13" w:rsidR="00E0570C" w:rsidRDefault="00E0570C" w:rsidP="00E0570C">
            <w:pPr>
              <w:pStyle w:val="Tablecolhead"/>
            </w:pPr>
            <w:r w:rsidRPr="008D66F6">
              <w:t>Learning Areas</w:t>
            </w:r>
          </w:p>
        </w:tc>
        <w:tc>
          <w:tcPr>
            <w:tcW w:w="8327" w:type="dxa"/>
          </w:tcPr>
          <w:p w14:paraId="2409486B" w14:textId="0A5D4C59" w:rsidR="00E0570C" w:rsidRDefault="00E0570C" w:rsidP="00E0570C">
            <w:pPr>
              <w:pStyle w:val="Tablecolhead"/>
            </w:pPr>
            <w:r w:rsidRPr="008D66F6">
              <w:t>Specialist Learning Outcomes Examples</w:t>
            </w:r>
          </w:p>
        </w:tc>
      </w:tr>
      <w:tr w:rsidR="00E0570C" w14:paraId="40A2DEA6" w14:textId="77777777" w:rsidTr="00543B8C">
        <w:tc>
          <w:tcPr>
            <w:tcW w:w="6232" w:type="dxa"/>
          </w:tcPr>
          <w:p w14:paraId="17F4E436" w14:textId="3846A3B6" w:rsidR="00E0570C" w:rsidRPr="00E0570C" w:rsidRDefault="00E0570C" w:rsidP="00E0570C">
            <w:pPr>
              <w:pStyle w:val="Tabletext"/>
              <w:rPr>
                <w:b/>
                <w:bCs/>
              </w:rPr>
            </w:pPr>
            <w:r w:rsidRPr="00E0570C">
              <w:rPr>
                <w:b/>
                <w:bCs/>
              </w:rPr>
              <w:t>Engaging effectively with people individually and in groups</w:t>
            </w:r>
          </w:p>
        </w:tc>
        <w:tc>
          <w:tcPr>
            <w:tcW w:w="8327" w:type="dxa"/>
          </w:tcPr>
          <w:p w14:paraId="09034B7F" w14:textId="77777777" w:rsidR="00E0570C" w:rsidRPr="008D66F6" w:rsidRDefault="00E0570C" w:rsidP="00E0570C">
            <w:pPr>
              <w:pStyle w:val="Tablebullet1"/>
            </w:pPr>
            <w:r w:rsidRPr="008D66F6">
              <w:t xml:space="preserve">Establishes and maintains effective relationships with children and their families, colleagues and other stakeholders. </w:t>
            </w:r>
          </w:p>
          <w:p w14:paraId="28E3A7A3" w14:textId="5E73FA76" w:rsidR="00E0570C" w:rsidRDefault="00E0570C" w:rsidP="00E0570C">
            <w:pPr>
              <w:pStyle w:val="Tablebullet1"/>
            </w:pPr>
            <w:r w:rsidRPr="008D66F6">
              <w:t>Communicates key information clearly and respectfully in all their interactions.</w:t>
            </w:r>
          </w:p>
        </w:tc>
      </w:tr>
      <w:tr w:rsidR="00E0570C" w14:paraId="39CBC15C" w14:textId="77777777" w:rsidTr="00543B8C">
        <w:tc>
          <w:tcPr>
            <w:tcW w:w="6232" w:type="dxa"/>
          </w:tcPr>
          <w:p w14:paraId="43445641" w14:textId="225C6AF8" w:rsidR="00E0570C" w:rsidRPr="00E0570C" w:rsidRDefault="00E0570C" w:rsidP="00E0570C">
            <w:pPr>
              <w:pStyle w:val="Tabletext"/>
              <w:rPr>
                <w:b/>
                <w:bCs/>
              </w:rPr>
            </w:pPr>
            <w:r w:rsidRPr="00E0570C">
              <w:rPr>
                <w:b/>
                <w:bCs/>
              </w:rPr>
              <w:t>Working towards change with service users</w:t>
            </w:r>
          </w:p>
        </w:tc>
        <w:tc>
          <w:tcPr>
            <w:tcW w:w="8327" w:type="dxa"/>
          </w:tcPr>
          <w:p w14:paraId="2FADCE30" w14:textId="4E80675D" w:rsidR="00E0570C" w:rsidRDefault="00E0570C" w:rsidP="00E0570C">
            <w:pPr>
              <w:pStyle w:val="Tablebullet1"/>
            </w:pPr>
            <w:r w:rsidRPr="008D66F6">
              <w:t>Gathers information and draws insight from children and families to support and empower them to identify their problems and possible solutions.</w:t>
            </w:r>
          </w:p>
        </w:tc>
      </w:tr>
      <w:tr w:rsidR="00E0570C" w14:paraId="43AFA39C" w14:textId="77777777" w:rsidTr="00543B8C">
        <w:tc>
          <w:tcPr>
            <w:tcW w:w="6232" w:type="dxa"/>
          </w:tcPr>
          <w:p w14:paraId="58C5A98E" w14:textId="2F0A2843" w:rsidR="00E0570C" w:rsidRPr="00E0570C" w:rsidRDefault="00E0570C" w:rsidP="00E0570C">
            <w:pPr>
              <w:pStyle w:val="Tabletext"/>
              <w:rPr>
                <w:b/>
                <w:bCs/>
              </w:rPr>
            </w:pPr>
            <w:r w:rsidRPr="00E0570C">
              <w:rPr>
                <w:b/>
                <w:bCs/>
              </w:rPr>
              <w:t>Working with involuntary and/or reluctant service users</w:t>
            </w:r>
          </w:p>
        </w:tc>
        <w:tc>
          <w:tcPr>
            <w:tcW w:w="8327" w:type="dxa"/>
          </w:tcPr>
          <w:p w14:paraId="33B76523" w14:textId="77777777" w:rsidR="00E0570C" w:rsidRPr="008D66F6" w:rsidRDefault="00E0570C" w:rsidP="00E0570C">
            <w:pPr>
              <w:pStyle w:val="Tablebullet1"/>
            </w:pPr>
            <w:r w:rsidRPr="008D66F6">
              <w:t xml:space="preserve">Applies effective communication and engagement strategies with involuntary families. </w:t>
            </w:r>
          </w:p>
          <w:p w14:paraId="3206A333" w14:textId="1DAFBE8B" w:rsidR="00E0570C" w:rsidRDefault="00E0570C" w:rsidP="00E0570C">
            <w:pPr>
              <w:pStyle w:val="Tablebullet1"/>
            </w:pPr>
            <w:r w:rsidRPr="008D66F6">
              <w:t>Demonstrates a sound understanding of diverse needs and perspectives. Maintains an awareness of their own biases and emotions in challenging interpersonal situations.</w:t>
            </w:r>
          </w:p>
        </w:tc>
      </w:tr>
      <w:tr w:rsidR="00E0570C" w14:paraId="58DB9768" w14:textId="77777777" w:rsidTr="00543B8C">
        <w:tc>
          <w:tcPr>
            <w:tcW w:w="6232" w:type="dxa"/>
          </w:tcPr>
          <w:p w14:paraId="314A8DE2" w14:textId="0312A767" w:rsidR="00E0570C" w:rsidRPr="00E0570C" w:rsidRDefault="00E0570C" w:rsidP="00E0570C">
            <w:pPr>
              <w:pStyle w:val="Tabletext"/>
              <w:rPr>
                <w:b/>
                <w:bCs/>
              </w:rPr>
            </w:pPr>
            <w:r w:rsidRPr="00E0570C">
              <w:rPr>
                <w:b/>
                <w:bCs/>
              </w:rPr>
              <w:t>Effective documentation</w:t>
            </w:r>
          </w:p>
        </w:tc>
        <w:tc>
          <w:tcPr>
            <w:tcW w:w="8327" w:type="dxa"/>
          </w:tcPr>
          <w:p w14:paraId="1431E2EF" w14:textId="7DACD682" w:rsidR="00E0570C" w:rsidRPr="008D66F6" w:rsidRDefault="00E0570C" w:rsidP="00E0570C">
            <w:pPr>
              <w:pStyle w:val="Tablebullet1"/>
            </w:pPr>
            <w:r w:rsidRPr="008D66F6">
              <w:t>Competently and efficiently uses reporting frameworks and departmental systems (such as CRIS) when documenting case data and care solutions. Routinely consults with team manager and other senior staff to ensure that their documentation is relevant and accurate.</w:t>
            </w:r>
          </w:p>
        </w:tc>
      </w:tr>
    </w:tbl>
    <w:p w14:paraId="4BBD0211" w14:textId="77777777" w:rsidR="00A45592" w:rsidRDefault="00A45592" w:rsidP="00A45592">
      <w:pPr>
        <w:pStyle w:val="Body"/>
      </w:pPr>
    </w:p>
    <w:p w14:paraId="37F47E12" w14:textId="77777777" w:rsidR="00A45592" w:rsidRDefault="00A45592">
      <w:pPr>
        <w:spacing w:after="0" w:line="240" w:lineRule="auto"/>
        <w:rPr>
          <w:b/>
          <w:color w:val="201547"/>
          <w:sz w:val="32"/>
          <w:szCs w:val="28"/>
        </w:rPr>
      </w:pPr>
      <w:r>
        <w:br w:type="page"/>
      </w:r>
    </w:p>
    <w:p w14:paraId="08918EAE" w14:textId="1DA369F1" w:rsidR="00CE08E3" w:rsidRPr="008D66F6" w:rsidRDefault="00CE08E3" w:rsidP="008D66F6">
      <w:pPr>
        <w:pStyle w:val="Heading2"/>
      </w:pPr>
      <w:bookmarkStart w:id="55" w:name="_Toc221790892"/>
      <w:r w:rsidRPr="004734F0">
        <w:lastRenderedPageBreak/>
        <w:t>A</w:t>
      </w:r>
      <w:r w:rsidR="007D68A7" w:rsidRPr="004734F0">
        <w:t>3</w:t>
      </w:r>
      <w:r w:rsidRPr="004734F0">
        <w:t>.2 Graduate</w:t>
      </w:r>
      <w:r w:rsidRPr="008D66F6">
        <w:t xml:space="preserve"> in family services</w:t>
      </w:r>
      <w:bookmarkEnd w:id="55"/>
    </w:p>
    <w:p w14:paraId="703CCC13" w14:textId="5CF075BF" w:rsidR="00CE08E3" w:rsidRDefault="00CE08E3" w:rsidP="008D66F6">
      <w:pPr>
        <w:pStyle w:val="Body"/>
      </w:pPr>
      <w:r>
        <w:t xml:space="preserve">The following working example relates to the development of specialist learning outcomes for the </w:t>
      </w:r>
      <w:r>
        <w:rPr>
          <w:i/>
          <w:iCs/>
        </w:rPr>
        <w:t xml:space="preserve">Evidence-based Practice </w:t>
      </w:r>
      <w:r>
        <w:t>learning domain</w:t>
      </w:r>
      <w:r w:rsidR="00020979">
        <w:t>. This is</w:t>
      </w:r>
      <w:r>
        <w:t xml:space="preserve"> for a graduate employed as a Family Services Practitioner within a community-based community services organisation. They are a </w:t>
      </w:r>
      <w:r w:rsidR="00435735">
        <w:t xml:space="preserve">recent </w:t>
      </w:r>
      <w:r>
        <w:t>Psychology graduate</w:t>
      </w:r>
      <w:r w:rsidR="00020979">
        <w:t>. They</w:t>
      </w:r>
      <w:r>
        <w:t xml:space="preserve"> </w:t>
      </w:r>
      <w:r w:rsidR="00435735">
        <w:t xml:space="preserve">previously </w:t>
      </w:r>
      <w:r>
        <w:t>worked for 2 years as a Case Practice Support Worker (CPP2)</w:t>
      </w:r>
      <w:r w:rsidR="00020979">
        <w:t>. This was</w:t>
      </w:r>
      <w:r>
        <w:t xml:space="preserve"> prior to </w:t>
      </w:r>
      <w:r w:rsidR="00435735">
        <w:t xml:space="preserve">attaining their </w:t>
      </w:r>
      <w:r w:rsidR="00B86E1F">
        <w:t xml:space="preserve">Psychology </w:t>
      </w:r>
      <w:r w:rsidR="00435735">
        <w:t xml:space="preserve">qualification and </w:t>
      </w:r>
      <w:r w:rsidR="00B86E1F">
        <w:t xml:space="preserve">subsequent </w:t>
      </w:r>
      <w:r>
        <w:t xml:space="preserve">employment </w:t>
      </w:r>
      <w:r w:rsidR="00B86E1F">
        <w:t>as a</w:t>
      </w:r>
      <w:r>
        <w:t xml:space="preserve"> Family Services Practitioner. The following specialist learning outcomes draw on the </w:t>
      </w:r>
      <w:hyperlink r:id="rId41" w:history="1">
        <w:r w:rsidRPr="00696AC5">
          <w:rPr>
            <w:rStyle w:val="Hyperlink"/>
            <w:i/>
            <w:iCs/>
          </w:rPr>
          <w:t>Child and Family Services Workforce Capability Framework</w:t>
        </w:r>
      </w:hyperlink>
      <w:r>
        <w:t xml:space="preserve"> (2019).</w:t>
      </w:r>
      <w:r w:rsidR="00757132">
        <w:rPr>
          <w:rStyle w:val="FootnoteReference"/>
        </w:rPr>
        <w:footnoteReference w:id="9"/>
      </w:r>
    </w:p>
    <w:p w14:paraId="3C8360D6" w14:textId="6CFA957C" w:rsidR="002A5645" w:rsidRDefault="000931E3" w:rsidP="00AB49CF">
      <w:pPr>
        <w:pStyle w:val="Heading3"/>
      </w:pPr>
      <w:r>
        <w:t xml:space="preserve">Learning </w:t>
      </w:r>
      <w:r w:rsidR="00C808C7">
        <w:t>D</w:t>
      </w:r>
      <w:r w:rsidRPr="00073750">
        <w:t>omain</w:t>
      </w:r>
      <w:r>
        <w:t xml:space="preserve">: Evidence and </w:t>
      </w:r>
      <w:r w:rsidR="00C808C7">
        <w:t>e</w:t>
      </w:r>
      <w:r w:rsidRPr="00073750">
        <w:t xml:space="preserve">xpertise </w:t>
      </w:r>
      <w:r w:rsidR="00C808C7">
        <w:t>i</w:t>
      </w:r>
      <w:r w:rsidRPr="00073750">
        <w:t xml:space="preserve">nformed </w:t>
      </w:r>
      <w:r w:rsidR="00C808C7">
        <w:t>p</w:t>
      </w:r>
      <w:r w:rsidRPr="00073750">
        <w:t>ractice</w:t>
      </w:r>
    </w:p>
    <w:tbl>
      <w:tblPr>
        <w:tblStyle w:val="TableGrid"/>
        <w:tblW w:w="14596" w:type="dxa"/>
        <w:tblLook w:val="04A0" w:firstRow="1" w:lastRow="0" w:firstColumn="1" w:lastColumn="0" w:noHBand="0" w:noVBand="1"/>
      </w:tblPr>
      <w:tblGrid>
        <w:gridCol w:w="6374"/>
        <w:gridCol w:w="8222"/>
      </w:tblGrid>
      <w:tr w:rsidR="00AB49CF" w:rsidRPr="00570FD2" w14:paraId="621A3F24" w14:textId="77777777" w:rsidTr="008E02BC">
        <w:trPr>
          <w:trHeight w:val="432"/>
        </w:trPr>
        <w:tc>
          <w:tcPr>
            <w:tcW w:w="6374" w:type="dxa"/>
          </w:tcPr>
          <w:p w14:paraId="36A1180E" w14:textId="77777777" w:rsidR="00AB49CF" w:rsidRPr="008D66F6" w:rsidRDefault="00AB49CF" w:rsidP="008E02BC">
            <w:pPr>
              <w:pStyle w:val="Tablecolhead"/>
              <w:rPr>
                <w:rFonts w:cs="Arial"/>
                <w:b w:val="0"/>
                <w:bCs/>
                <w:sz w:val="20"/>
              </w:rPr>
            </w:pPr>
            <w:r w:rsidRPr="00543B8C">
              <w:t>Learning Areas</w:t>
            </w:r>
          </w:p>
        </w:tc>
        <w:tc>
          <w:tcPr>
            <w:tcW w:w="8222" w:type="dxa"/>
          </w:tcPr>
          <w:p w14:paraId="5D24A6A7" w14:textId="77777777" w:rsidR="00AB49CF" w:rsidRPr="008D66F6" w:rsidRDefault="00AB49CF" w:rsidP="008E02BC">
            <w:pPr>
              <w:pStyle w:val="Tablecolhead"/>
              <w:rPr>
                <w:rFonts w:cs="Arial"/>
                <w:b w:val="0"/>
                <w:bCs/>
                <w:sz w:val="20"/>
              </w:rPr>
            </w:pPr>
            <w:r w:rsidRPr="00543B8C">
              <w:t>Specialist Learning Outcomes Examples</w:t>
            </w:r>
          </w:p>
        </w:tc>
      </w:tr>
      <w:tr w:rsidR="00AB49CF" w:rsidRPr="00570FD2" w14:paraId="412558BF" w14:textId="77777777" w:rsidTr="008E02BC">
        <w:trPr>
          <w:trHeight w:val="941"/>
        </w:trPr>
        <w:tc>
          <w:tcPr>
            <w:tcW w:w="6374" w:type="dxa"/>
          </w:tcPr>
          <w:p w14:paraId="0EC6DEAD" w14:textId="79C46D59" w:rsidR="00AB49CF" w:rsidRPr="00543B8C" w:rsidRDefault="00AB49CF" w:rsidP="008E02BC">
            <w:pPr>
              <w:pStyle w:val="Tabletext"/>
              <w:rPr>
                <w:b/>
              </w:rPr>
            </w:pPr>
            <w:r w:rsidRPr="00543B8C">
              <w:rPr>
                <w:b/>
              </w:rPr>
              <w:t>Sourcing and appraising evidence and expertise for practice</w:t>
            </w:r>
          </w:p>
        </w:tc>
        <w:tc>
          <w:tcPr>
            <w:tcW w:w="8222" w:type="dxa"/>
          </w:tcPr>
          <w:p w14:paraId="1094DA85" w14:textId="47BB7530" w:rsidR="00AB49CF" w:rsidRPr="008D66F6" w:rsidRDefault="00AB49CF" w:rsidP="008E02BC">
            <w:pPr>
              <w:pStyle w:val="Tablebullet1"/>
            </w:pPr>
            <w:r w:rsidRPr="008D66F6">
              <w:t xml:space="preserve">Has a sound understanding and consistently applies the three pillars of evidence-informed practice to make practice </w:t>
            </w:r>
            <w:r w:rsidRPr="00543B8C">
              <w:t>decisions</w:t>
            </w:r>
            <w:r w:rsidRPr="008D66F6">
              <w:t xml:space="preserve"> in partnership with service users. These are:</w:t>
            </w:r>
          </w:p>
          <w:p w14:paraId="65FB91F5" w14:textId="77777777" w:rsidR="00AB49CF" w:rsidRPr="00543B8C" w:rsidRDefault="00AB49CF" w:rsidP="008E02BC">
            <w:pPr>
              <w:pStyle w:val="Tablebullet2"/>
            </w:pPr>
            <w:r w:rsidRPr="00543B8C">
              <w:t>best available research</w:t>
            </w:r>
          </w:p>
          <w:p w14:paraId="717B64F8" w14:textId="77777777" w:rsidR="00AB49CF" w:rsidRPr="00543B8C" w:rsidRDefault="00AB49CF" w:rsidP="008E02BC">
            <w:pPr>
              <w:pStyle w:val="Tablebullet2"/>
            </w:pPr>
            <w:r w:rsidRPr="00543B8C">
              <w:t>practice expertise</w:t>
            </w:r>
          </w:p>
          <w:p w14:paraId="775FD73F" w14:textId="77777777" w:rsidR="00AB49CF" w:rsidRPr="00543B8C" w:rsidRDefault="00AB49CF" w:rsidP="008E02BC">
            <w:pPr>
              <w:pStyle w:val="Tablebullet2"/>
            </w:pPr>
            <w:r w:rsidRPr="00543B8C">
              <w:t>client experience and values</w:t>
            </w:r>
          </w:p>
          <w:p w14:paraId="7E594126" w14:textId="2ED4D8ED" w:rsidR="00AB49CF" w:rsidRPr="008D66F6" w:rsidRDefault="00AB49CF" w:rsidP="008E02BC">
            <w:pPr>
              <w:pStyle w:val="Tablebullet2"/>
            </w:pPr>
            <w:r w:rsidRPr="00543B8C">
              <w:t>cultural expertise.</w:t>
            </w:r>
          </w:p>
        </w:tc>
      </w:tr>
      <w:tr w:rsidR="00AB49CF" w:rsidRPr="00570FD2" w14:paraId="44CD4B81" w14:textId="77777777" w:rsidTr="008E02BC">
        <w:trPr>
          <w:trHeight w:val="706"/>
        </w:trPr>
        <w:tc>
          <w:tcPr>
            <w:tcW w:w="6374" w:type="dxa"/>
          </w:tcPr>
          <w:p w14:paraId="03B6B51B" w14:textId="77777777" w:rsidR="00AB49CF" w:rsidRPr="00543B8C" w:rsidRDefault="00AB49CF" w:rsidP="008E02BC">
            <w:pPr>
              <w:pStyle w:val="Tabletext"/>
              <w:rPr>
                <w:b/>
              </w:rPr>
            </w:pPr>
            <w:r w:rsidRPr="00543B8C">
              <w:rPr>
                <w:b/>
              </w:rPr>
              <w:t>Integrating professional knowledge for practice</w:t>
            </w:r>
          </w:p>
        </w:tc>
        <w:tc>
          <w:tcPr>
            <w:tcW w:w="8222" w:type="dxa"/>
          </w:tcPr>
          <w:p w14:paraId="388F8281" w14:textId="10E28A62" w:rsidR="00AB49CF" w:rsidRPr="008D66F6" w:rsidRDefault="00AB49CF" w:rsidP="008E02BC">
            <w:pPr>
              <w:pStyle w:val="Tablebullet1"/>
            </w:pPr>
            <w:r w:rsidRPr="008D66F6">
              <w:t xml:space="preserve">Applies a range of theories, </w:t>
            </w:r>
            <w:r w:rsidRPr="00543B8C">
              <w:t>practice</w:t>
            </w:r>
            <w:r w:rsidRPr="008D66F6">
              <w:t xml:space="preserve"> frameworks and intervention strategies relevant to child and family services. This includes:</w:t>
            </w:r>
          </w:p>
          <w:p w14:paraId="28959707" w14:textId="3C752228" w:rsidR="00AB49CF" w:rsidRPr="00543B8C" w:rsidRDefault="00AB49CF" w:rsidP="008E02BC">
            <w:pPr>
              <w:pStyle w:val="Tablebullet2"/>
            </w:pPr>
            <w:r w:rsidRPr="00543B8C">
              <w:t xml:space="preserve">child development </w:t>
            </w:r>
          </w:p>
          <w:p w14:paraId="651C103E" w14:textId="74AC3F7B" w:rsidR="00AB49CF" w:rsidRPr="00543B8C" w:rsidRDefault="00AB49CF" w:rsidP="008E02BC">
            <w:pPr>
              <w:pStyle w:val="Tablebullet2"/>
            </w:pPr>
            <w:r w:rsidRPr="00543B8C">
              <w:t xml:space="preserve">attachment theory </w:t>
            </w:r>
          </w:p>
          <w:p w14:paraId="7A76FC91" w14:textId="0E392FA8" w:rsidR="00AB49CF" w:rsidRPr="00543B8C" w:rsidRDefault="00AB49CF" w:rsidP="008E02BC">
            <w:pPr>
              <w:pStyle w:val="Tablebullet2"/>
            </w:pPr>
            <w:r w:rsidRPr="00543B8C">
              <w:t xml:space="preserve">parenting skill development </w:t>
            </w:r>
          </w:p>
          <w:p w14:paraId="6892E75F" w14:textId="42E5E93F" w:rsidR="00AB49CF" w:rsidRPr="00543B8C" w:rsidRDefault="00AB49CF" w:rsidP="008E02BC">
            <w:pPr>
              <w:pStyle w:val="Tablebullet2"/>
            </w:pPr>
            <w:r w:rsidRPr="00543B8C">
              <w:t xml:space="preserve">drug and alcohol recovery </w:t>
            </w:r>
          </w:p>
          <w:p w14:paraId="44681FEC" w14:textId="11735F3E" w:rsidR="00AB49CF" w:rsidRPr="00543B8C" w:rsidRDefault="00AB49CF" w:rsidP="008E02BC">
            <w:pPr>
              <w:pStyle w:val="Tablebullet2"/>
            </w:pPr>
            <w:r w:rsidRPr="00543B8C">
              <w:t xml:space="preserve">the cycle of violence </w:t>
            </w:r>
          </w:p>
          <w:p w14:paraId="134E7AE4" w14:textId="7DE7E5CF" w:rsidR="00AB49CF" w:rsidRPr="008D66F6" w:rsidRDefault="00AB49CF" w:rsidP="008E02BC">
            <w:pPr>
              <w:pStyle w:val="Tablebullet2"/>
            </w:pPr>
            <w:r w:rsidRPr="00543B8C">
              <w:t>working with diversity.</w:t>
            </w:r>
          </w:p>
        </w:tc>
      </w:tr>
    </w:tbl>
    <w:p w14:paraId="59971630" w14:textId="43E75863" w:rsidR="00185A39" w:rsidRDefault="00185A39" w:rsidP="008E02BC">
      <w:pPr>
        <w:pStyle w:val="Body"/>
      </w:pPr>
    </w:p>
    <w:p w14:paraId="0AAA37E2" w14:textId="43C405B3" w:rsidR="00CE08E3" w:rsidRPr="008D66F6" w:rsidRDefault="00CE08E3" w:rsidP="008D66F6">
      <w:pPr>
        <w:pStyle w:val="Heading2"/>
      </w:pPr>
      <w:bookmarkStart w:id="56" w:name="_Toc221790893"/>
      <w:r w:rsidRPr="008D66F6">
        <w:lastRenderedPageBreak/>
        <w:t>A</w:t>
      </w:r>
      <w:r w:rsidR="007D68A7" w:rsidRPr="008D66F6">
        <w:t>3</w:t>
      </w:r>
      <w:r w:rsidRPr="008D66F6">
        <w:t>.3 Graduate in family violence services</w:t>
      </w:r>
      <w:bookmarkEnd w:id="56"/>
    </w:p>
    <w:p w14:paraId="29ABF930" w14:textId="5DFEEC6A" w:rsidR="00945C45" w:rsidRDefault="00945C45" w:rsidP="008D66F6">
      <w:pPr>
        <w:pStyle w:val="Body"/>
      </w:pPr>
      <w:r>
        <w:t>Th</w:t>
      </w:r>
      <w:r w:rsidR="00AC7D67">
        <w:t xml:space="preserve">e following working </w:t>
      </w:r>
      <w:r>
        <w:t xml:space="preserve">example relates to the development of specialist learning outcomes for the </w:t>
      </w:r>
      <w:r>
        <w:rPr>
          <w:i/>
          <w:iCs/>
        </w:rPr>
        <w:t xml:space="preserve">Holistic and Ethically Responsible Practice </w:t>
      </w:r>
      <w:r>
        <w:t>learning domain for a graduate employed as a Specialist Family Violence Practitioner at the Orange Door. They are a Bachelor of Social Work graduate</w:t>
      </w:r>
      <w:r w:rsidR="00020979">
        <w:t>. They are</w:t>
      </w:r>
      <w:r w:rsidR="006F2B30">
        <w:t xml:space="preserve"> employed as a </w:t>
      </w:r>
      <w:r>
        <w:t xml:space="preserve">Specialist Family Violence Practitioner. The following specialist learning outcomes draw on the </w:t>
      </w:r>
      <w:hyperlink r:id="rId42" w:history="1">
        <w:r w:rsidRPr="0040289B">
          <w:rPr>
            <w:rStyle w:val="Hyperlink"/>
            <w:i/>
            <w:iCs/>
          </w:rPr>
          <w:t>Responding to Family Violence Capability Framework</w:t>
        </w:r>
      </w:hyperlink>
      <w:r>
        <w:t xml:space="preserve"> (2017).</w:t>
      </w:r>
      <w:r w:rsidR="009E4742">
        <w:rPr>
          <w:rStyle w:val="FootnoteReference"/>
        </w:rPr>
        <w:footnoteReference w:id="10"/>
      </w:r>
    </w:p>
    <w:p w14:paraId="51175A80" w14:textId="544F6CB9" w:rsidR="002A5645" w:rsidRDefault="002B09C4" w:rsidP="002B09C4">
      <w:pPr>
        <w:pStyle w:val="Heading3"/>
      </w:pPr>
      <w:r w:rsidRPr="008D66F6">
        <w:t>Learning Domain</w:t>
      </w:r>
      <w:r>
        <w:t xml:space="preserve">: </w:t>
      </w:r>
      <w:r w:rsidRPr="008D66F6">
        <w:t xml:space="preserve">Holistic and </w:t>
      </w:r>
      <w:r w:rsidR="00203A1D">
        <w:t>e</w:t>
      </w:r>
      <w:r w:rsidRPr="008D66F6">
        <w:t xml:space="preserve">thically </w:t>
      </w:r>
      <w:r w:rsidR="00203A1D">
        <w:t>r</w:t>
      </w:r>
      <w:r w:rsidRPr="008D66F6">
        <w:t xml:space="preserve">esponsible </w:t>
      </w:r>
      <w:r w:rsidR="00203A1D">
        <w:t>p</w:t>
      </w:r>
      <w:r w:rsidRPr="008D66F6">
        <w:t>ractice</w:t>
      </w:r>
    </w:p>
    <w:tbl>
      <w:tblPr>
        <w:tblStyle w:val="TableGrid"/>
        <w:tblW w:w="14454" w:type="dxa"/>
        <w:tblLook w:val="04A0" w:firstRow="1" w:lastRow="0" w:firstColumn="1" w:lastColumn="0" w:noHBand="0" w:noVBand="1"/>
      </w:tblPr>
      <w:tblGrid>
        <w:gridCol w:w="2977"/>
        <w:gridCol w:w="11477"/>
      </w:tblGrid>
      <w:tr w:rsidR="00945C45" w:rsidRPr="00570FD2" w14:paraId="76D93DD0" w14:textId="77777777" w:rsidTr="00095695">
        <w:trPr>
          <w:trHeight w:val="432"/>
        </w:trPr>
        <w:tc>
          <w:tcPr>
            <w:tcW w:w="2977" w:type="dxa"/>
          </w:tcPr>
          <w:p w14:paraId="5CEC02DB" w14:textId="77777777" w:rsidR="00945C45" w:rsidRPr="00FF4C63" w:rsidRDefault="00945C45" w:rsidP="00FF4C63">
            <w:pPr>
              <w:pStyle w:val="Tablecolhead"/>
            </w:pPr>
            <w:r w:rsidRPr="00FF4C63">
              <w:t>Learning Areas</w:t>
            </w:r>
          </w:p>
        </w:tc>
        <w:tc>
          <w:tcPr>
            <w:tcW w:w="11477" w:type="dxa"/>
          </w:tcPr>
          <w:p w14:paraId="65367FFF" w14:textId="5D0FC407" w:rsidR="00945C45" w:rsidRPr="00FF4C63" w:rsidRDefault="002B09C4" w:rsidP="00FF4C63">
            <w:pPr>
              <w:pStyle w:val="Tablecolhead"/>
            </w:pPr>
            <w:r w:rsidRPr="00FF4C63">
              <w:t xml:space="preserve">Specialist </w:t>
            </w:r>
            <w:r w:rsidR="00203A1D">
              <w:t>l</w:t>
            </w:r>
            <w:r w:rsidRPr="00FF4C63">
              <w:t xml:space="preserve">earning </w:t>
            </w:r>
            <w:r w:rsidR="00203A1D">
              <w:t>o</w:t>
            </w:r>
            <w:r w:rsidRPr="00FF4C63">
              <w:t xml:space="preserve">utcomes </w:t>
            </w:r>
            <w:r w:rsidR="00203A1D">
              <w:t>e</w:t>
            </w:r>
            <w:r w:rsidRPr="00FF4C63">
              <w:t>xamples</w:t>
            </w:r>
          </w:p>
        </w:tc>
      </w:tr>
      <w:tr w:rsidR="00CE08E3" w:rsidRPr="00570FD2" w14:paraId="644A4609" w14:textId="77777777" w:rsidTr="00095695">
        <w:trPr>
          <w:trHeight w:val="941"/>
        </w:trPr>
        <w:tc>
          <w:tcPr>
            <w:tcW w:w="2977" w:type="dxa"/>
          </w:tcPr>
          <w:p w14:paraId="4553C8F7" w14:textId="722CCD73" w:rsidR="00CE08E3" w:rsidRPr="00FF4C63" w:rsidRDefault="00CE08E3" w:rsidP="00FF4C63">
            <w:pPr>
              <w:pStyle w:val="Tabletext"/>
              <w:rPr>
                <w:b/>
              </w:rPr>
            </w:pPr>
            <w:r w:rsidRPr="00FF4C63">
              <w:rPr>
                <w:b/>
              </w:rPr>
              <w:t>Rights-based, person-centred and strengths-focused</w:t>
            </w:r>
          </w:p>
        </w:tc>
        <w:tc>
          <w:tcPr>
            <w:tcW w:w="11477" w:type="dxa"/>
          </w:tcPr>
          <w:p w14:paraId="3A518439" w14:textId="77777777" w:rsidR="00CE08E3" w:rsidRPr="007B467D" w:rsidRDefault="00CE08E3" w:rsidP="008D66F6">
            <w:pPr>
              <w:pStyle w:val="Tablebullet1"/>
            </w:pPr>
            <w:r w:rsidRPr="007B467D">
              <w:t>Provides services premised on human rights, as well as strengths-based engagement which supports victim survivor self-determination and perpetrator accountability.</w:t>
            </w:r>
          </w:p>
        </w:tc>
      </w:tr>
      <w:tr w:rsidR="00CE08E3" w:rsidRPr="00570FD2" w14:paraId="7CF720D9" w14:textId="77777777" w:rsidTr="00095695">
        <w:trPr>
          <w:trHeight w:val="706"/>
        </w:trPr>
        <w:tc>
          <w:tcPr>
            <w:tcW w:w="2977" w:type="dxa"/>
          </w:tcPr>
          <w:p w14:paraId="5E1743CD" w14:textId="7CD0D59D" w:rsidR="00CE08E3" w:rsidRPr="00FF4C63" w:rsidRDefault="00CE08E3" w:rsidP="00FF4C63">
            <w:pPr>
              <w:pStyle w:val="Tabletext"/>
              <w:rPr>
                <w:b/>
              </w:rPr>
            </w:pPr>
            <w:r w:rsidRPr="00FF4C63">
              <w:rPr>
                <w:b/>
              </w:rPr>
              <w:t>Trauma</w:t>
            </w:r>
            <w:r w:rsidR="00314A87" w:rsidRPr="00FF4C63">
              <w:rPr>
                <w:b/>
              </w:rPr>
              <w:t xml:space="preserve"> responsive</w:t>
            </w:r>
            <w:r w:rsidRPr="00FF4C63">
              <w:rPr>
                <w:b/>
              </w:rPr>
              <w:t xml:space="preserve"> practice</w:t>
            </w:r>
          </w:p>
        </w:tc>
        <w:tc>
          <w:tcPr>
            <w:tcW w:w="11477" w:type="dxa"/>
          </w:tcPr>
          <w:p w14:paraId="3D90F440" w14:textId="77777777" w:rsidR="00CE08E3" w:rsidRPr="008D66F6" w:rsidRDefault="00CE08E3" w:rsidP="008D66F6">
            <w:pPr>
              <w:pStyle w:val="Tablebullet1"/>
            </w:pPr>
            <w:r w:rsidRPr="008D66F6">
              <w:t xml:space="preserve">Applies trauma-informed practice knowledge to address cumulative effects of family violence and the impacts on parent-child </w:t>
            </w:r>
            <w:r w:rsidRPr="007B467D">
              <w:t>relationships</w:t>
            </w:r>
          </w:p>
        </w:tc>
      </w:tr>
      <w:tr w:rsidR="00CE08E3" w:rsidRPr="00570FD2" w14:paraId="64D3464C" w14:textId="77777777" w:rsidTr="00095695">
        <w:trPr>
          <w:trHeight w:val="770"/>
        </w:trPr>
        <w:tc>
          <w:tcPr>
            <w:tcW w:w="2977" w:type="dxa"/>
          </w:tcPr>
          <w:p w14:paraId="2EBE07D8" w14:textId="77777777" w:rsidR="00CE08E3" w:rsidRPr="00FF4C63" w:rsidRDefault="00CE08E3" w:rsidP="00FF4C63">
            <w:pPr>
              <w:pStyle w:val="Tabletext"/>
              <w:rPr>
                <w:b/>
              </w:rPr>
            </w:pPr>
            <w:r w:rsidRPr="00FF4C63">
              <w:rPr>
                <w:b/>
              </w:rPr>
              <w:t>Working with an intersectional lens</w:t>
            </w:r>
          </w:p>
        </w:tc>
        <w:tc>
          <w:tcPr>
            <w:tcW w:w="11477" w:type="dxa"/>
          </w:tcPr>
          <w:p w14:paraId="4E6C7F1A" w14:textId="5AA5F1D8" w:rsidR="00020979" w:rsidRPr="008D66F6" w:rsidRDefault="00CE08E3" w:rsidP="00020979">
            <w:pPr>
              <w:pStyle w:val="Tablebullet1"/>
            </w:pPr>
            <w:r w:rsidRPr="008D66F6">
              <w:t xml:space="preserve">Identifies and </w:t>
            </w:r>
            <w:r w:rsidRPr="007B467D">
              <w:t>responds</w:t>
            </w:r>
            <w:r w:rsidRPr="008D66F6">
              <w:t xml:space="preserve"> to intersecting factors </w:t>
            </w:r>
            <w:r w:rsidR="00020979" w:rsidRPr="008D66F6">
              <w:t>that impact the experience of both victim survivors and perpetrators of family violence. These are factors like:</w:t>
            </w:r>
          </w:p>
          <w:p w14:paraId="161612FA" w14:textId="46DD22E0" w:rsidR="00020979" w:rsidRPr="007B467D" w:rsidRDefault="00CE08E3" w:rsidP="00020979">
            <w:pPr>
              <w:pStyle w:val="Tablebullet2"/>
            </w:pPr>
            <w:r w:rsidRPr="007B467D">
              <w:t xml:space="preserve">socioeconomic status </w:t>
            </w:r>
          </w:p>
          <w:p w14:paraId="163B863C" w14:textId="2C8FD7A6" w:rsidR="00020979" w:rsidRPr="007B467D" w:rsidRDefault="00CE08E3" w:rsidP="00020979">
            <w:pPr>
              <w:pStyle w:val="Tablebullet2"/>
            </w:pPr>
            <w:r w:rsidRPr="007B467D">
              <w:t xml:space="preserve">culture </w:t>
            </w:r>
          </w:p>
          <w:p w14:paraId="19202BE6" w14:textId="2550C0D7" w:rsidR="00020979" w:rsidRPr="007B467D" w:rsidRDefault="00CE08E3" w:rsidP="00020979">
            <w:pPr>
              <w:pStyle w:val="Tablebullet2"/>
            </w:pPr>
            <w:r w:rsidRPr="007B467D">
              <w:t xml:space="preserve">geography </w:t>
            </w:r>
          </w:p>
          <w:p w14:paraId="7AE4840E" w14:textId="2602C12A" w:rsidR="00020979" w:rsidRPr="007B467D" w:rsidRDefault="00CE08E3" w:rsidP="00020979">
            <w:pPr>
              <w:pStyle w:val="Tablebullet2"/>
            </w:pPr>
            <w:r w:rsidRPr="007B467D">
              <w:t xml:space="preserve">age </w:t>
            </w:r>
          </w:p>
          <w:p w14:paraId="56E914A0" w14:textId="52B91F8E" w:rsidR="00020979" w:rsidRPr="007B467D" w:rsidRDefault="00CE08E3" w:rsidP="00020979">
            <w:pPr>
              <w:pStyle w:val="Tablebullet2"/>
            </w:pPr>
            <w:r w:rsidRPr="007B467D">
              <w:t xml:space="preserve">disability </w:t>
            </w:r>
          </w:p>
          <w:p w14:paraId="4BF21DA2" w14:textId="22FC6660" w:rsidR="00020979" w:rsidRPr="007B467D" w:rsidRDefault="00CE08E3" w:rsidP="00020979">
            <w:pPr>
              <w:pStyle w:val="Tablebullet2"/>
            </w:pPr>
            <w:r w:rsidRPr="007B467D">
              <w:t xml:space="preserve">sexuality </w:t>
            </w:r>
          </w:p>
          <w:p w14:paraId="4B3FACC1" w14:textId="47F037E8" w:rsidR="00CE08E3" w:rsidRPr="008D66F6" w:rsidRDefault="00CE08E3" w:rsidP="008D66F6">
            <w:pPr>
              <w:pStyle w:val="Tablebullet2"/>
            </w:pPr>
            <w:r w:rsidRPr="007B467D">
              <w:t>gender identity</w:t>
            </w:r>
            <w:r w:rsidR="00020979" w:rsidRPr="007B467D">
              <w:t>.</w:t>
            </w:r>
          </w:p>
        </w:tc>
      </w:tr>
      <w:tr w:rsidR="00CE08E3" w:rsidRPr="00570FD2" w14:paraId="09471E75" w14:textId="77777777" w:rsidTr="00095695">
        <w:trPr>
          <w:trHeight w:val="706"/>
        </w:trPr>
        <w:tc>
          <w:tcPr>
            <w:tcW w:w="2977" w:type="dxa"/>
          </w:tcPr>
          <w:p w14:paraId="6C64771C" w14:textId="77777777" w:rsidR="00CE08E3" w:rsidRPr="00FF4C63" w:rsidRDefault="00CE08E3" w:rsidP="00FF4C63">
            <w:pPr>
              <w:pStyle w:val="Tabletext"/>
              <w:rPr>
                <w:b/>
              </w:rPr>
            </w:pPr>
            <w:r w:rsidRPr="00FF4C63">
              <w:rPr>
                <w:b/>
              </w:rPr>
              <w:t>Ethical decision-making</w:t>
            </w:r>
          </w:p>
        </w:tc>
        <w:tc>
          <w:tcPr>
            <w:tcW w:w="11477" w:type="dxa"/>
          </w:tcPr>
          <w:p w14:paraId="653A5120" w14:textId="659DA09C" w:rsidR="00CE08E3" w:rsidRPr="007B467D" w:rsidRDefault="00CE08E3" w:rsidP="008D66F6">
            <w:pPr>
              <w:pStyle w:val="Tablebullet1"/>
            </w:pPr>
            <w:r w:rsidRPr="007B467D">
              <w:t>Explains client rights and the limits of confidentiality</w:t>
            </w:r>
            <w:r w:rsidR="00020979" w:rsidRPr="007B467D">
              <w:t>. I</w:t>
            </w:r>
            <w:r w:rsidRPr="007B467D">
              <w:t>nforms clients when a risk of harm or legal obligation requires information sharing with specific services or authorities.</w:t>
            </w:r>
          </w:p>
        </w:tc>
      </w:tr>
      <w:tr w:rsidR="00CE08E3" w:rsidRPr="00570FD2" w14:paraId="22AEDDE4" w14:textId="77777777" w:rsidTr="00095695">
        <w:trPr>
          <w:trHeight w:val="706"/>
        </w:trPr>
        <w:tc>
          <w:tcPr>
            <w:tcW w:w="2977" w:type="dxa"/>
          </w:tcPr>
          <w:p w14:paraId="1D0F15D1" w14:textId="1BF4A443" w:rsidR="00CE08E3" w:rsidRPr="00FF4C63" w:rsidRDefault="00CE08E3" w:rsidP="00FF4C63">
            <w:pPr>
              <w:pStyle w:val="Tabletext"/>
              <w:rPr>
                <w:b/>
              </w:rPr>
            </w:pPr>
            <w:r w:rsidRPr="00FF4C63">
              <w:rPr>
                <w:b/>
              </w:rPr>
              <w:t xml:space="preserve">Managing </w:t>
            </w:r>
            <w:r w:rsidR="00185A39" w:rsidRPr="00FF4C63">
              <w:rPr>
                <w:b/>
              </w:rPr>
              <w:t>r</w:t>
            </w:r>
            <w:r w:rsidRPr="00FF4C63">
              <w:rPr>
                <w:b/>
              </w:rPr>
              <w:t>isk</w:t>
            </w:r>
          </w:p>
        </w:tc>
        <w:tc>
          <w:tcPr>
            <w:tcW w:w="11477" w:type="dxa"/>
          </w:tcPr>
          <w:p w14:paraId="66C4B05D" w14:textId="3C6DA5E4" w:rsidR="00CE08E3" w:rsidRPr="007B467D" w:rsidRDefault="00CE08E3" w:rsidP="008D66F6">
            <w:pPr>
              <w:pStyle w:val="Tablebullet1"/>
            </w:pPr>
            <w:r w:rsidRPr="007B467D">
              <w:t>Conducts comprehensive risk assessment processes using tools outlined within the Family Violence Risk Assessment and Risk Management Framework. Develops safety plans that respond to the risks assessed</w:t>
            </w:r>
            <w:r w:rsidR="00020979" w:rsidRPr="007B467D">
              <w:t>. E</w:t>
            </w:r>
            <w:r w:rsidRPr="007B467D">
              <w:t>ffectively manages the ongoing safety needs of victim survivors, with support from a supervisor.</w:t>
            </w:r>
          </w:p>
        </w:tc>
      </w:tr>
      <w:tr w:rsidR="00CE08E3" w:rsidRPr="00570FD2" w14:paraId="49C068EB" w14:textId="77777777" w:rsidTr="00095695">
        <w:trPr>
          <w:trHeight w:val="706"/>
        </w:trPr>
        <w:tc>
          <w:tcPr>
            <w:tcW w:w="2977" w:type="dxa"/>
          </w:tcPr>
          <w:p w14:paraId="2B8F9E95" w14:textId="77777777" w:rsidR="00CE08E3" w:rsidRPr="008D66F6" w:rsidRDefault="00CE08E3" w:rsidP="00FF4C63">
            <w:pPr>
              <w:pStyle w:val="Tabletext"/>
              <w:rPr>
                <w:rFonts w:cs="Arial"/>
                <w:b/>
                <w:bCs/>
              </w:rPr>
            </w:pPr>
            <w:r w:rsidRPr="00FF4C63">
              <w:rPr>
                <w:b/>
              </w:rPr>
              <w:t>Outcomes focus</w:t>
            </w:r>
          </w:p>
        </w:tc>
        <w:tc>
          <w:tcPr>
            <w:tcW w:w="11477" w:type="dxa"/>
          </w:tcPr>
          <w:p w14:paraId="3FC37DDD" w14:textId="77777777" w:rsidR="00CE08E3" w:rsidRPr="008D66F6" w:rsidRDefault="00CE08E3" w:rsidP="008D66F6">
            <w:pPr>
              <w:pStyle w:val="Tablebullet1"/>
            </w:pPr>
            <w:r w:rsidRPr="008D66F6">
              <w:t>Collects and documents client data according to organisational requirements</w:t>
            </w:r>
          </w:p>
        </w:tc>
      </w:tr>
    </w:tbl>
    <w:p w14:paraId="2D787121" w14:textId="3F1738D9" w:rsidR="006E645F" w:rsidRDefault="006E645F" w:rsidP="008D66F6">
      <w:pPr>
        <w:pStyle w:val="Heading2"/>
      </w:pPr>
      <w:bookmarkStart w:id="57" w:name="_Toc221790894"/>
      <w:r w:rsidRPr="002E2007">
        <w:lastRenderedPageBreak/>
        <w:t>A</w:t>
      </w:r>
      <w:r w:rsidR="007D68A7">
        <w:t>3</w:t>
      </w:r>
      <w:r w:rsidRPr="002E2007">
        <w:t>.</w:t>
      </w:r>
      <w:r>
        <w:t xml:space="preserve">4 </w:t>
      </w:r>
      <w:r w:rsidRPr="002E2007">
        <w:t xml:space="preserve">Graduate in </w:t>
      </w:r>
      <w:r>
        <w:t xml:space="preserve">sexual assault </w:t>
      </w:r>
      <w:r w:rsidRPr="008D66F6">
        <w:t>services</w:t>
      </w:r>
      <w:bookmarkEnd w:id="57"/>
    </w:p>
    <w:p w14:paraId="7730B662" w14:textId="0CDD88CE" w:rsidR="00945C45" w:rsidRDefault="006E645F" w:rsidP="008D66F6">
      <w:pPr>
        <w:pStyle w:val="Body"/>
      </w:pPr>
      <w:r>
        <w:t xml:space="preserve">The following working example relates to the development of specialist learning outcomes for the </w:t>
      </w:r>
      <w:r>
        <w:rPr>
          <w:i/>
          <w:iCs/>
        </w:rPr>
        <w:t xml:space="preserve">Cultural </w:t>
      </w:r>
      <w:r w:rsidR="00A003C8">
        <w:rPr>
          <w:i/>
          <w:iCs/>
        </w:rPr>
        <w:t>Capability</w:t>
      </w:r>
      <w:r>
        <w:rPr>
          <w:i/>
          <w:iCs/>
        </w:rPr>
        <w:t xml:space="preserve"> </w:t>
      </w:r>
      <w:r>
        <w:t>learning domain</w:t>
      </w:r>
      <w:r w:rsidR="00020979">
        <w:t>. This is</w:t>
      </w:r>
      <w:r>
        <w:t xml:space="preserve"> for a graduate employed as a Sexual Assault Practitioner. They are a </w:t>
      </w:r>
      <w:r w:rsidR="006A1B02">
        <w:t xml:space="preserve">recent </w:t>
      </w:r>
      <w:r>
        <w:t>Master of Social Work graduate with 3 years of work experience as a women’s refuge worker</w:t>
      </w:r>
      <w:r w:rsidR="006F2B30">
        <w:t xml:space="preserve"> prior to </w:t>
      </w:r>
      <w:r w:rsidR="006A1B02">
        <w:t xml:space="preserve">their </w:t>
      </w:r>
      <w:proofErr w:type="gramStart"/>
      <w:r w:rsidR="006A1B02">
        <w:t>Masters</w:t>
      </w:r>
      <w:proofErr w:type="gramEnd"/>
      <w:r w:rsidR="006A1B02">
        <w:t xml:space="preserve"> qualification</w:t>
      </w:r>
      <w:r>
        <w:t xml:space="preserve">. The following specialist learning outcomes draw on the </w:t>
      </w:r>
      <w:hyperlink r:id="rId43" w:history="1">
        <w:r w:rsidRPr="0040289B">
          <w:rPr>
            <w:rStyle w:val="Hyperlink"/>
            <w:i/>
            <w:iCs/>
          </w:rPr>
          <w:t>Responding to Family Violence Capability Framework</w:t>
        </w:r>
      </w:hyperlink>
      <w:r w:rsidRPr="0040289B">
        <w:t xml:space="preserve"> (</w:t>
      </w:r>
      <w:r>
        <w:t>2017)</w:t>
      </w:r>
      <w:r w:rsidR="001B26CF">
        <w:rPr>
          <w:rStyle w:val="FootnoteReference"/>
        </w:rPr>
        <w:footnoteReference w:id="11"/>
      </w:r>
      <w:r w:rsidR="00520B44">
        <w:t xml:space="preserve"> as a Sexual Assault workforce capability framework is under development</w:t>
      </w:r>
      <w:r>
        <w:t>.</w:t>
      </w:r>
    </w:p>
    <w:p w14:paraId="45E42A3B" w14:textId="719E2B33" w:rsidR="002A5645" w:rsidRDefault="00BF05D1" w:rsidP="00BF05D1">
      <w:pPr>
        <w:pStyle w:val="Heading3"/>
      </w:pPr>
      <w:r>
        <w:t>Learning</w:t>
      </w:r>
      <w:r w:rsidR="00203A1D">
        <w:t xml:space="preserve"> Domain:</w:t>
      </w:r>
      <w:r w:rsidR="00C808C7">
        <w:t xml:space="preserve"> </w:t>
      </w:r>
      <w:r w:rsidR="00203A1D">
        <w:t xml:space="preserve">Cultural </w:t>
      </w:r>
      <w:r w:rsidR="00C103B4">
        <w:t>c</w:t>
      </w:r>
      <w:r w:rsidR="00203A1D">
        <w:t xml:space="preserve">apability </w:t>
      </w:r>
    </w:p>
    <w:tbl>
      <w:tblPr>
        <w:tblStyle w:val="TableGrid"/>
        <w:tblW w:w="14454" w:type="dxa"/>
        <w:tblLook w:val="04A0" w:firstRow="1" w:lastRow="0" w:firstColumn="1" w:lastColumn="0" w:noHBand="0" w:noVBand="1"/>
      </w:tblPr>
      <w:tblGrid>
        <w:gridCol w:w="2977"/>
        <w:gridCol w:w="11477"/>
      </w:tblGrid>
      <w:tr w:rsidR="006E645F" w:rsidRPr="00570FD2" w14:paraId="3FC16D24" w14:textId="77777777" w:rsidTr="008E02BC">
        <w:trPr>
          <w:trHeight w:val="432"/>
        </w:trPr>
        <w:tc>
          <w:tcPr>
            <w:tcW w:w="2977" w:type="dxa"/>
          </w:tcPr>
          <w:p w14:paraId="44B8A0A8" w14:textId="77777777" w:rsidR="006E645F" w:rsidRPr="008D66F6" w:rsidRDefault="006E645F" w:rsidP="008E02BC">
            <w:pPr>
              <w:pStyle w:val="Tablecolhead"/>
            </w:pPr>
            <w:r w:rsidRPr="008D66F6">
              <w:t>Learning Areas</w:t>
            </w:r>
          </w:p>
        </w:tc>
        <w:tc>
          <w:tcPr>
            <w:tcW w:w="11477" w:type="dxa"/>
          </w:tcPr>
          <w:p w14:paraId="79F82572" w14:textId="77777777" w:rsidR="006E645F" w:rsidRPr="008D66F6" w:rsidRDefault="006E645F" w:rsidP="008E02BC">
            <w:pPr>
              <w:pStyle w:val="Tablecolhead"/>
            </w:pPr>
            <w:r w:rsidRPr="008D66F6">
              <w:t xml:space="preserve">Specialist Learning Outcomes </w:t>
            </w:r>
          </w:p>
        </w:tc>
      </w:tr>
      <w:tr w:rsidR="0068289C" w:rsidRPr="00570FD2" w14:paraId="5B226C3D" w14:textId="77777777" w:rsidTr="008E02BC">
        <w:trPr>
          <w:trHeight w:val="978"/>
        </w:trPr>
        <w:tc>
          <w:tcPr>
            <w:tcW w:w="2977" w:type="dxa"/>
          </w:tcPr>
          <w:p w14:paraId="2F4631CA" w14:textId="759EB2A1" w:rsidR="0068289C" w:rsidRPr="00246F56" w:rsidRDefault="000771B2" w:rsidP="008E02BC">
            <w:pPr>
              <w:pStyle w:val="Tabletext"/>
              <w:rPr>
                <w:b/>
              </w:rPr>
            </w:pPr>
            <w:r w:rsidRPr="00246F56">
              <w:rPr>
                <w:b/>
              </w:rPr>
              <w:t>Cu</w:t>
            </w:r>
            <w:r w:rsidR="00777329" w:rsidRPr="00246F56">
              <w:rPr>
                <w:b/>
              </w:rPr>
              <w:t xml:space="preserve">lturally </w:t>
            </w:r>
            <w:r w:rsidR="00194694" w:rsidRPr="00246F56">
              <w:rPr>
                <w:b/>
              </w:rPr>
              <w:t>responsive</w:t>
            </w:r>
            <w:r w:rsidR="00777329" w:rsidRPr="00246F56">
              <w:rPr>
                <w:b/>
              </w:rPr>
              <w:t xml:space="preserve"> practice with Aboriginal people and communities</w:t>
            </w:r>
          </w:p>
        </w:tc>
        <w:tc>
          <w:tcPr>
            <w:tcW w:w="11477" w:type="dxa"/>
          </w:tcPr>
          <w:p w14:paraId="32F0CE2D" w14:textId="0D16A77F" w:rsidR="0068289C" w:rsidRPr="00246F56" w:rsidRDefault="0068289C" w:rsidP="008E02BC">
            <w:pPr>
              <w:pStyle w:val="Tablebullet1"/>
            </w:pPr>
            <w:r w:rsidRPr="00246F56">
              <w:t xml:space="preserve">Provides services premised on self-determination, cultural </w:t>
            </w:r>
            <w:r w:rsidR="006329A1" w:rsidRPr="00246F56">
              <w:t xml:space="preserve">awareness, </w:t>
            </w:r>
            <w:r w:rsidRPr="00246F56">
              <w:t xml:space="preserve">respect and </w:t>
            </w:r>
            <w:r w:rsidR="00194694" w:rsidRPr="00246F56">
              <w:t>inclusion</w:t>
            </w:r>
            <w:r w:rsidRPr="00246F56">
              <w:t xml:space="preserve">, whilst recognising the resilience of </w:t>
            </w:r>
            <w:r w:rsidR="00777329" w:rsidRPr="00246F56">
              <w:t>Aboriginal people</w:t>
            </w:r>
            <w:r w:rsidRPr="00246F56">
              <w:t xml:space="preserve">. </w:t>
            </w:r>
          </w:p>
        </w:tc>
      </w:tr>
      <w:tr w:rsidR="0068289C" w:rsidRPr="00570FD2" w14:paraId="47AB2E90" w14:textId="77777777" w:rsidTr="008E02BC">
        <w:trPr>
          <w:trHeight w:val="706"/>
        </w:trPr>
        <w:tc>
          <w:tcPr>
            <w:tcW w:w="2977" w:type="dxa"/>
          </w:tcPr>
          <w:p w14:paraId="4ED28406" w14:textId="42FA784C" w:rsidR="0068289C" w:rsidRPr="00246F56" w:rsidRDefault="00777329" w:rsidP="008E02BC">
            <w:pPr>
              <w:pStyle w:val="Tabletext"/>
              <w:rPr>
                <w:b/>
              </w:rPr>
            </w:pPr>
            <w:r w:rsidRPr="00246F56">
              <w:rPr>
                <w:b/>
              </w:rPr>
              <w:t>Responsive practice across cultures and communities</w:t>
            </w:r>
          </w:p>
        </w:tc>
        <w:tc>
          <w:tcPr>
            <w:tcW w:w="11477" w:type="dxa"/>
          </w:tcPr>
          <w:p w14:paraId="369488B7" w14:textId="61562C45" w:rsidR="00020979" w:rsidRPr="00246F56" w:rsidRDefault="0068289C" w:rsidP="008E02BC">
            <w:pPr>
              <w:pStyle w:val="Tablebullet1"/>
            </w:pPr>
            <w:r w:rsidRPr="00246F56">
              <w:t>Recognises culturally specific ways of responding to adversity</w:t>
            </w:r>
            <w:r w:rsidR="00020979" w:rsidRPr="00246F56">
              <w:t>.</w:t>
            </w:r>
            <w:r w:rsidRPr="00246F56">
              <w:t xml:space="preserve"> </w:t>
            </w:r>
          </w:p>
          <w:p w14:paraId="0ED53D22" w14:textId="77777777" w:rsidR="00020979" w:rsidRPr="00246F56" w:rsidRDefault="00020979" w:rsidP="008E02BC">
            <w:pPr>
              <w:pStyle w:val="Tablebullet1"/>
            </w:pPr>
            <w:r w:rsidRPr="00246F56">
              <w:t>U</w:t>
            </w:r>
            <w:r w:rsidR="0068289C" w:rsidRPr="00246F56">
              <w:t>ses culturally sensitive language</w:t>
            </w:r>
            <w:r w:rsidRPr="00246F56">
              <w:t xml:space="preserve">. </w:t>
            </w:r>
          </w:p>
          <w:p w14:paraId="5CD61195" w14:textId="47BA5A16" w:rsidR="00020979" w:rsidRPr="00246F56" w:rsidRDefault="00020979" w:rsidP="008E02BC">
            <w:pPr>
              <w:pStyle w:val="Tablebullet1"/>
            </w:pPr>
            <w:r w:rsidRPr="00246F56">
              <w:t>E</w:t>
            </w:r>
            <w:r w:rsidR="0068289C" w:rsidRPr="00246F56">
              <w:t>ngages with victim survivors of sexual assault in ways that demonstrates belief, respect, and valuing of knowledge and lived experience</w:t>
            </w:r>
            <w:r w:rsidRPr="00246F56">
              <w:t>. This includes:</w:t>
            </w:r>
            <w:r w:rsidR="0068289C" w:rsidRPr="00246F56">
              <w:t xml:space="preserve"> </w:t>
            </w:r>
          </w:p>
          <w:p w14:paraId="303619F2" w14:textId="4D68D499" w:rsidR="00020979" w:rsidRPr="00246F56" w:rsidRDefault="0068289C" w:rsidP="008E02BC">
            <w:pPr>
              <w:pStyle w:val="Tablebullet2"/>
            </w:pPr>
            <w:r w:rsidRPr="00246F56">
              <w:t xml:space="preserve">active listening </w:t>
            </w:r>
          </w:p>
          <w:p w14:paraId="52AFDC7F" w14:textId="2F1D08A7" w:rsidR="00020979" w:rsidRPr="00246F56" w:rsidRDefault="0068289C" w:rsidP="008E02BC">
            <w:pPr>
              <w:pStyle w:val="Tablebullet2"/>
            </w:pPr>
            <w:r w:rsidRPr="00246F56">
              <w:t xml:space="preserve">checking understanding </w:t>
            </w:r>
          </w:p>
          <w:p w14:paraId="7D1FCA92" w14:textId="3AFC14E3" w:rsidR="0068289C" w:rsidRPr="008D66F6" w:rsidRDefault="0068289C" w:rsidP="008E02BC">
            <w:pPr>
              <w:pStyle w:val="Tablebullet2"/>
            </w:pPr>
            <w:r w:rsidRPr="00246F56">
              <w:t>refraining from judgement and assumptions</w:t>
            </w:r>
            <w:r w:rsidR="00020979" w:rsidRPr="00246F56">
              <w:t>.</w:t>
            </w:r>
          </w:p>
        </w:tc>
      </w:tr>
    </w:tbl>
    <w:p w14:paraId="3710133C" w14:textId="77777777" w:rsidR="00185A39" w:rsidRDefault="00185A39">
      <w:pPr>
        <w:spacing w:after="0" w:line="240" w:lineRule="auto"/>
        <w:rPr>
          <w:b/>
          <w:color w:val="201547"/>
          <w:sz w:val="24"/>
          <w:szCs w:val="24"/>
        </w:rPr>
      </w:pPr>
      <w:bookmarkStart w:id="58" w:name="_Toc176177728"/>
      <w:r>
        <w:rPr>
          <w:sz w:val="24"/>
          <w:szCs w:val="24"/>
        </w:rPr>
        <w:br w:type="page"/>
      </w:r>
    </w:p>
    <w:p w14:paraId="0A418E5F" w14:textId="31A0A474" w:rsidR="006E645F" w:rsidRPr="00020979" w:rsidRDefault="006E645F" w:rsidP="008D66F6">
      <w:pPr>
        <w:pStyle w:val="Heading2"/>
      </w:pPr>
      <w:bookmarkStart w:id="59" w:name="_Toc221790895"/>
      <w:r w:rsidRPr="00020979">
        <w:lastRenderedPageBreak/>
        <w:t>A</w:t>
      </w:r>
      <w:r w:rsidR="007D68A7" w:rsidRPr="00020979">
        <w:t>3</w:t>
      </w:r>
      <w:r w:rsidRPr="00020979">
        <w:t xml:space="preserve">.5 Graduate in specialist </w:t>
      </w:r>
      <w:r w:rsidRPr="008D66F6">
        <w:t>homelessness</w:t>
      </w:r>
      <w:r w:rsidRPr="00020979">
        <w:t xml:space="preserve"> services</w:t>
      </w:r>
      <w:bookmarkEnd w:id="59"/>
    </w:p>
    <w:bookmarkEnd w:id="58"/>
    <w:p w14:paraId="326F7C98" w14:textId="50C7EDB4" w:rsidR="00945C45" w:rsidRDefault="00945C45" w:rsidP="008D66F6">
      <w:pPr>
        <w:pStyle w:val="Body"/>
        <w:rPr>
          <w:i/>
          <w:iCs/>
        </w:rPr>
      </w:pPr>
      <w:r>
        <w:t xml:space="preserve">The following working example relates to the development of specialist learning outcomes for the </w:t>
      </w:r>
      <w:r>
        <w:rPr>
          <w:i/>
          <w:iCs/>
        </w:rPr>
        <w:t xml:space="preserve">Collaborative Practice </w:t>
      </w:r>
      <w:r>
        <w:t>learning domain</w:t>
      </w:r>
      <w:r w:rsidR="00020979">
        <w:t>. This is</w:t>
      </w:r>
      <w:r>
        <w:t xml:space="preserve"> for a graduate employed as a Housing Support Worker within local government. They are a Diploma of Community Services graduate who completed their final placement in a community-based housing organisation. The following specialist learning outcomes draw on the </w:t>
      </w:r>
      <w:hyperlink r:id="rId44" w:history="1">
        <w:r w:rsidRPr="0080774E">
          <w:rPr>
            <w:rStyle w:val="Hyperlink"/>
            <w:i/>
            <w:iCs/>
          </w:rPr>
          <w:t>Specialist Homelessness Sector Workforce Capability Framework</w:t>
        </w:r>
      </w:hyperlink>
      <w:r>
        <w:rPr>
          <w:i/>
          <w:iCs/>
        </w:rPr>
        <w:t xml:space="preserve"> (2019).</w:t>
      </w:r>
      <w:r w:rsidR="00365B21">
        <w:rPr>
          <w:rStyle w:val="FootnoteReference"/>
          <w:i/>
          <w:iCs/>
        </w:rPr>
        <w:footnoteReference w:id="12"/>
      </w:r>
    </w:p>
    <w:p w14:paraId="564574FE" w14:textId="149D0EB7" w:rsidR="002A5645" w:rsidRPr="00365B21" w:rsidRDefault="007767A5" w:rsidP="007767A5">
      <w:pPr>
        <w:pStyle w:val="Heading3"/>
      </w:pPr>
      <w:r>
        <w:t>L</w:t>
      </w:r>
      <w:r w:rsidRPr="0037217C">
        <w:t>earning Domain:</w:t>
      </w:r>
      <w:r>
        <w:t xml:space="preserve"> Collaborative practice </w:t>
      </w:r>
    </w:p>
    <w:tbl>
      <w:tblPr>
        <w:tblStyle w:val="TableGrid"/>
        <w:tblW w:w="14454" w:type="dxa"/>
        <w:tblLook w:val="04A0" w:firstRow="1" w:lastRow="0" w:firstColumn="1" w:lastColumn="0" w:noHBand="0" w:noVBand="1"/>
      </w:tblPr>
      <w:tblGrid>
        <w:gridCol w:w="2977"/>
        <w:gridCol w:w="11477"/>
      </w:tblGrid>
      <w:tr w:rsidR="00945C45" w:rsidRPr="00570FD2" w14:paraId="11E9BAFB" w14:textId="77777777" w:rsidTr="007767A5">
        <w:trPr>
          <w:trHeight w:val="520"/>
        </w:trPr>
        <w:tc>
          <w:tcPr>
            <w:tcW w:w="2977" w:type="dxa"/>
          </w:tcPr>
          <w:p w14:paraId="2D51263E" w14:textId="77777777" w:rsidR="00945C45" w:rsidRPr="008D66F6" w:rsidRDefault="00945C45" w:rsidP="007767A5">
            <w:pPr>
              <w:pStyle w:val="Tablecolhead"/>
            </w:pPr>
            <w:r w:rsidRPr="008D66F6">
              <w:t>Learning Areas</w:t>
            </w:r>
          </w:p>
        </w:tc>
        <w:tc>
          <w:tcPr>
            <w:tcW w:w="11477" w:type="dxa"/>
          </w:tcPr>
          <w:p w14:paraId="1D34E960" w14:textId="77777777" w:rsidR="00945C45" w:rsidRPr="008D66F6" w:rsidRDefault="00945C45" w:rsidP="007767A5">
            <w:pPr>
              <w:pStyle w:val="Tablecolhead"/>
            </w:pPr>
            <w:r w:rsidRPr="008D66F6">
              <w:t>Specialist Learning Outcomes</w:t>
            </w:r>
          </w:p>
        </w:tc>
      </w:tr>
      <w:tr w:rsidR="00945C45" w:rsidRPr="00570FD2" w14:paraId="5F8130CB" w14:textId="77777777" w:rsidTr="007767A5">
        <w:trPr>
          <w:trHeight w:val="996"/>
        </w:trPr>
        <w:tc>
          <w:tcPr>
            <w:tcW w:w="2977" w:type="dxa"/>
          </w:tcPr>
          <w:p w14:paraId="5CCCA358" w14:textId="4A9F40F0" w:rsidR="00945C45" w:rsidRPr="007767A5" w:rsidRDefault="009904DD" w:rsidP="007767A5">
            <w:pPr>
              <w:pStyle w:val="Tabletext"/>
              <w:rPr>
                <w:b/>
              </w:rPr>
            </w:pPr>
            <w:r w:rsidRPr="007767A5">
              <w:rPr>
                <w:b/>
              </w:rPr>
              <w:t>C</w:t>
            </w:r>
            <w:r w:rsidR="00945C45" w:rsidRPr="007767A5">
              <w:rPr>
                <w:b/>
              </w:rPr>
              <w:t>ollaborati</w:t>
            </w:r>
            <w:r w:rsidRPr="007767A5">
              <w:rPr>
                <w:b/>
              </w:rPr>
              <w:t>ng</w:t>
            </w:r>
            <w:r w:rsidR="00945C45" w:rsidRPr="007767A5">
              <w:rPr>
                <w:b/>
              </w:rPr>
              <w:t xml:space="preserve"> across different systems, services and programs</w:t>
            </w:r>
          </w:p>
        </w:tc>
        <w:tc>
          <w:tcPr>
            <w:tcW w:w="11477" w:type="dxa"/>
          </w:tcPr>
          <w:p w14:paraId="31A34455" w14:textId="77777777" w:rsidR="00945C45" w:rsidRPr="007767A5" w:rsidRDefault="00945C45" w:rsidP="008D66F6">
            <w:pPr>
              <w:pStyle w:val="Tablebullet1"/>
            </w:pPr>
            <w:r w:rsidRPr="007767A5">
              <w:t>Develops and maintains professional networks across systems, services and programs to support an integrated response to the service user’s housing and other support needs.</w:t>
            </w:r>
          </w:p>
        </w:tc>
      </w:tr>
      <w:tr w:rsidR="00945C45" w:rsidRPr="00570FD2" w14:paraId="500D3DC2" w14:textId="77777777" w:rsidTr="007767A5">
        <w:trPr>
          <w:trHeight w:val="982"/>
        </w:trPr>
        <w:tc>
          <w:tcPr>
            <w:tcW w:w="2977" w:type="dxa"/>
          </w:tcPr>
          <w:p w14:paraId="76970B1C" w14:textId="2BBE709D" w:rsidR="00945C45" w:rsidRPr="007767A5" w:rsidRDefault="00945C45" w:rsidP="007767A5">
            <w:pPr>
              <w:pStyle w:val="Tabletext"/>
              <w:rPr>
                <w:b/>
              </w:rPr>
            </w:pPr>
            <w:r w:rsidRPr="007767A5">
              <w:rPr>
                <w:b/>
              </w:rPr>
              <w:t>Collaborating with service users and engaging lived experience</w:t>
            </w:r>
          </w:p>
        </w:tc>
        <w:tc>
          <w:tcPr>
            <w:tcW w:w="11477" w:type="dxa"/>
          </w:tcPr>
          <w:p w14:paraId="1B92211E" w14:textId="5442CB6B" w:rsidR="00945C45" w:rsidRPr="007767A5" w:rsidRDefault="00945C45" w:rsidP="008D66F6">
            <w:pPr>
              <w:pStyle w:val="Tablebullet1"/>
            </w:pPr>
            <w:r w:rsidRPr="007767A5">
              <w:t>Understands that service users are experts in their own lives</w:t>
            </w:r>
            <w:r w:rsidR="00020979" w:rsidRPr="007767A5">
              <w:t>. D</w:t>
            </w:r>
            <w:r w:rsidRPr="007767A5">
              <w:t>raws on the service user’s lived experience when undertaking assessment and exploring housing and support options.</w:t>
            </w:r>
          </w:p>
        </w:tc>
      </w:tr>
      <w:tr w:rsidR="00945C45" w:rsidRPr="00570FD2" w14:paraId="084D7EEC" w14:textId="77777777" w:rsidTr="007767A5">
        <w:trPr>
          <w:trHeight w:val="996"/>
        </w:trPr>
        <w:tc>
          <w:tcPr>
            <w:tcW w:w="2977" w:type="dxa"/>
          </w:tcPr>
          <w:p w14:paraId="38CE4F68" w14:textId="1A926B05" w:rsidR="00945C45" w:rsidRPr="007767A5" w:rsidRDefault="009904DD" w:rsidP="007767A5">
            <w:pPr>
              <w:pStyle w:val="Tabletext"/>
              <w:rPr>
                <w:b/>
              </w:rPr>
            </w:pPr>
            <w:r w:rsidRPr="007767A5">
              <w:rPr>
                <w:b/>
              </w:rPr>
              <w:t>C</w:t>
            </w:r>
            <w:r w:rsidR="00945C45" w:rsidRPr="007767A5">
              <w:rPr>
                <w:b/>
              </w:rPr>
              <w:t>ommunity resources and referral pathways</w:t>
            </w:r>
          </w:p>
        </w:tc>
        <w:tc>
          <w:tcPr>
            <w:tcW w:w="11477" w:type="dxa"/>
          </w:tcPr>
          <w:p w14:paraId="5DC922EB" w14:textId="1A5CE51B" w:rsidR="00945C45" w:rsidRPr="007767A5" w:rsidRDefault="00945C45" w:rsidP="008D66F6">
            <w:pPr>
              <w:pStyle w:val="Tablebullet1"/>
            </w:pPr>
            <w:r w:rsidRPr="007767A5">
              <w:t>Continually updates their knowledge about community services and resources within the local community</w:t>
            </w:r>
            <w:r w:rsidR="00020979" w:rsidRPr="007767A5">
              <w:t>. F</w:t>
            </w:r>
            <w:r w:rsidRPr="007767A5">
              <w:t>acilitates access to services</w:t>
            </w:r>
            <w:r w:rsidR="005A3C26" w:rsidRPr="007767A5">
              <w:t>,</w:t>
            </w:r>
            <w:r w:rsidR="00C319F1" w:rsidRPr="007767A5">
              <w:t xml:space="preserve"> </w:t>
            </w:r>
            <w:r w:rsidRPr="007767A5">
              <w:t>resources</w:t>
            </w:r>
            <w:r w:rsidR="005A3C26" w:rsidRPr="007767A5">
              <w:t xml:space="preserve"> and communities</w:t>
            </w:r>
            <w:r w:rsidRPr="007767A5">
              <w:t xml:space="preserve"> that meet the service user’s housing and other support needs.</w:t>
            </w:r>
          </w:p>
        </w:tc>
      </w:tr>
      <w:tr w:rsidR="00945C45" w:rsidRPr="00570FD2" w14:paraId="5D869A64" w14:textId="77777777" w:rsidTr="007767A5">
        <w:trPr>
          <w:trHeight w:val="805"/>
        </w:trPr>
        <w:tc>
          <w:tcPr>
            <w:tcW w:w="2977" w:type="dxa"/>
          </w:tcPr>
          <w:p w14:paraId="445AE8FC" w14:textId="4D5E938B" w:rsidR="00945C45" w:rsidRPr="007767A5" w:rsidRDefault="00945C45" w:rsidP="007767A5">
            <w:pPr>
              <w:pStyle w:val="Tabletext"/>
              <w:rPr>
                <w:b/>
              </w:rPr>
            </w:pPr>
            <w:r w:rsidRPr="007767A5">
              <w:rPr>
                <w:b/>
              </w:rPr>
              <w:t xml:space="preserve">Professional networks for </w:t>
            </w:r>
            <w:r w:rsidR="006E645F" w:rsidRPr="007767A5">
              <w:rPr>
                <w:b/>
              </w:rPr>
              <w:t>a</w:t>
            </w:r>
            <w:r w:rsidRPr="007767A5">
              <w:rPr>
                <w:b/>
              </w:rPr>
              <w:t>dvocacy</w:t>
            </w:r>
          </w:p>
        </w:tc>
        <w:tc>
          <w:tcPr>
            <w:tcW w:w="11477" w:type="dxa"/>
          </w:tcPr>
          <w:p w14:paraId="6EA8D1D4" w14:textId="4102D5B1" w:rsidR="00945C45" w:rsidRPr="007767A5" w:rsidRDefault="00945C45" w:rsidP="008D66F6">
            <w:pPr>
              <w:pStyle w:val="Tablebullet1"/>
            </w:pPr>
            <w:r w:rsidRPr="007767A5">
              <w:t xml:space="preserve">Uses their professional </w:t>
            </w:r>
            <w:r w:rsidR="00D6240C" w:rsidRPr="007767A5">
              <w:t xml:space="preserve">networks and community </w:t>
            </w:r>
            <w:r w:rsidRPr="007767A5">
              <w:t>relationships to achieve the best possible housing options for service users.</w:t>
            </w:r>
          </w:p>
        </w:tc>
      </w:tr>
    </w:tbl>
    <w:p w14:paraId="1C1DDBF6" w14:textId="3232819D" w:rsidR="00712EA3" w:rsidRDefault="00712EA3">
      <w:pPr>
        <w:spacing w:after="0" w:line="240" w:lineRule="auto"/>
        <w:rPr>
          <w:b/>
          <w:color w:val="201547"/>
          <w:sz w:val="24"/>
          <w:szCs w:val="24"/>
        </w:rPr>
      </w:pPr>
      <w:bookmarkStart w:id="60" w:name="_Toc176177729"/>
    </w:p>
    <w:p w14:paraId="56A33E19" w14:textId="77777777" w:rsidR="00246F56" w:rsidRDefault="00246F56">
      <w:pPr>
        <w:spacing w:after="0" w:line="240" w:lineRule="auto"/>
        <w:rPr>
          <w:b/>
          <w:color w:val="201547"/>
          <w:sz w:val="24"/>
          <w:szCs w:val="24"/>
        </w:rPr>
      </w:pPr>
      <w:r>
        <w:rPr>
          <w:b/>
          <w:color w:val="201547"/>
          <w:sz w:val="24"/>
          <w:szCs w:val="24"/>
        </w:rPr>
        <w:br w:type="page"/>
      </w:r>
    </w:p>
    <w:p w14:paraId="71E2C846" w14:textId="76C252D3" w:rsidR="006E645F" w:rsidRDefault="006E645F" w:rsidP="008D66F6">
      <w:pPr>
        <w:pStyle w:val="Heading2"/>
      </w:pPr>
      <w:bookmarkStart w:id="61" w:name="_Toc221790896"/>
      <w:r w:rsidRPr="002E2007">
        <w:lastRenderedPageBreak/>
        <w:t>A</w:t>
      </w:r>
      <w:r w:rsidR="00095725">
        <w:t>3</w:t>
      </w:r>
      <w:r w:rsidRPr="002E2007">
        <w:t>.</w:t>
      </w:r>
      <w:r>
        <w:t xml:space="preserve">6 </w:t>
      </w:r>
      <w:r w:rsidRPr="002E2007">
        <w:t xml:space="preserve">Graduate in </w:t>
      </w:r>
      <w:r>
        <w:t>community housing</w:t>
      </w:r>
      <w:bookmarkEnd w:id="61"/>
    </w:p>
    <w:bookmarkEnd w:id="60"/>
    <w:p w14:paraId="2E42A816" w14:textId="33644C8E" w:rsidR="00945C45" w:rsidRDefault="00945C45" w:rsidP="008D66F6">
      <w:pPr>
        <w:pStyle w:val="Body"/>
        <w:rPr>
          <w:i/>
          <w:iCs/>
        </w:rPr>
      </w:pPr>
      <w:r>
        <w:t xml:space="preserve">The following working example relates to the development of specialist learning outcomes for the </w:t>
      </w:r>
      <w:r>
        <w:rPr>
          <w:i/>
          <w:iCs/>
        </w:rPr>
        <w:t xml:space="preserve">Institutional and Organisational Context </w:t>
      </w:r>
      <w:r>
        <w:t>learning domain</w:t>
      </w:r>
      <w:r w:rsidR="00E667FC">
        <w:t>. This is</w:t>
      </w:r>
      <w:r>
        <w:t xml:space="preserve"> for a graduate employed as a Tenancy Officer with a community-based housing organisation. They are a Diploma of Community Services graduate with lived experience as a community housing resident. The following specialist learning outcomes draw on the </w:t>
      </w:r>
      <w:hyperlink r:id="rId45" w:history="1">
        <w:r w:rsidRPr="00EF2FF3">
          <w:rPr>
            <w:rStyle w:val="Hyperlink"/>
            <w:i/>
            <w:iCs/>
          </w:rPr>
          <w:t>Community Housing Workforce Capability Framework</w:t>
        </w:r>
      </w:hyperlink>
      <w:r>
        <w:rPr>
          <w:i/>
          <w:iCs/>
        </w:rPr>
        <w:t xml:space="preserve"> (2019).</w:t>
      </w:r>
      <w:r w:rsidR="007C076A">
        <w:rPr>
          <w:rStyle w:val="FootnoteReference"/>
          <w:i/>
          <w:iCs/>
        </w:rPr>
        <w:footnoteReference w:id="13"/>
      </w:r>
    </w:p>
    <w:p w14:paraId="44C2F824" w14:textId="62599E34" w:rsidR="002A5645" w:rsidRPr="007243E3" w:rsidRDefault="007243E3" w:rsidP="007243E3">
      <w:pPr>
        <w:pStyle w:val="Heading3"/>
      </w:pPr>
      <w:r>
        <w:t>L</w:t>
      </w:r>
      <w:r w:rsidR="0037217C" w:rsidRPr="0037217C">
        <w:t xml:space="preserve">earning Domain: Sector and </w:t>
      </w:r>
      <w:r w:rsidR="00C808C7">
        <w:t>o</w:t>
      </w:r>
      <w:r w:rsidR="0037217C" w:rsidRPr="0037217C">
        <w:t xml:space="preserve">rganisational </w:t>
      </w:r>
      <w:r w:rsidR="00C808C7">
        <w:t>c</w:t>
      </w:r>
      <w:r w:rsidR="0037217C" w:rsidRPr="0037217C">
        <w:t xml:space="preserve">ontexts of </w:t>
      </w:r>
      <w:r w:rsidR="00C808C7">
        <w:t>p</w:t>
      </w:r>
      <w:r w:rsidR="0037217C" w:rsidRPr="0037217C">
        <w:t>ractice</w:t>
      </w:r>
    </w:p>
    <w:tbl>
      <w:tblPr>
        <w:tblStyle w:val="TableGrid"/>
        <w:tblW w:w="14312" w:type="dxa"/>
        <w:tblLook w:val="04A0" w:firstRow="1" w:lastRow="0" w:firstColumn="1" w:lastColumn="0" w:noHBand="0" w:noVBand="1"/>
      </w:tblPr>
      <w:tblGrid>
        <w:gridCol w:w="2876"/>
        <w:gridCol w:w="11436"/>
      </w:tblGrid>
      <w:tr w:rsidR="00945C45" w:rsidRPr="00570FD2" w14:paraId="5A7F8181" w14:textId="77777777" w:rsidTr="007243E3">
        <w:trPr>
          <w:trHeight w:val="520"/>
        </w:trPr>
        <w:tc>
          <w:tcPr>
            <w:tcW w:w="2876" w:type="dxa"/>
          </w:tcPr>
          <w:p w14:paraId="17811F48" w14:textId="77777777" w:rsidR="00945C45" w:rsidRPr="007243E3" w:rsidRDefault="00945C45" w:rsidP="007243E3">
            <w:pPr>
              <w:pStyle w:val="Tablecolhead"/>
            </w:pPr>
            <w:r w:rsidRPr="007243E3">
              <w:t>Learning Areas</w:t>
            </w:r>
          </w:p>
        </w:tc>
        <w:tc>
          <w:tcPr>
            <w:tcW w:w="11436" w:type="dxa"/>
          </w:tcPr>
          <w:p w14:paraId="4F99CDF8" w14:textId="77777777" w:rsidR="00945C45" w:rsidRPr="007243E3" w:rsidRDefault="00945C45" w:rsidP="007243E3">
            <w:pPr>
              <w:pStyle w:val="Tablecolhead"/>
            </w:pPr>
            <w:r w:rsidRPr="007243E3">
              <w:t>Specialist Learning Outcomes</w:t>
            </w:r>
          </w:p>
        </w:tc>
      </w:tr>
      <w:tr w:rsidR="00E95564" w:rsidRPr="00570FD2" w14:paraId="5F60C853" w14:textId="77777777" w:rsidTr="007243E3">
        <w:trPr>
          <w:trHeight w:val="960"/>
        </w:trPr>
        <w:tc>
          <w:tcPr>
            <w:tcW w:w="2876" w:type="dxa"/>
          </w:tcPr>
          <w:p w14:paraId="2B4252DC" w14:textId="77777777" w:rsidR="00E95564" w:rsidRPr="007243E3" w:rsidRDefault="00E95564" w:rsidP="007243E3">
            <w:pPr>
              <w:pStyle w:val="Tabletext"/>
              <w:rPr>
                <w:b/>
              </w:rPr>
            </w:pPr>
            <w:r w:rsidRPr="007243E3">
              <w:rPr>
                <w:b/>
              </w:rPr>
              <w:t>Whole-of-system literacy</w:t>
            </w:r>
          </w:p>
        </w:tc>
        <w:tc>
          <w:tcPr>
            <w:tcW w:w="11436" w:type="dxa"/>
          </w:tcPr>
          <w:p w14:paraId="6526B6D2" w14:textId="77777777" w:rsidR="00E667FC" w:rsidRPr="007243E3" w:rsidRDefault="00E95564" w:rsidP="00E667FC">
            <w:pPr>
              <w:pStyle w:val="Tablebullet1"/>
            </w:pPr>
            <w:r w:rsidRPr="007243E3">
              <w:t>Demonstrates a sound understanding of the organisation’s scope of services in relation to other services and programs within the sector</w:t>
            </w:r>
            <w:r w:rsidR="00E667FC" w:rsidRPr="007243E3">
              <w:t xml:space="preserve">. </w:t>
            </w:r>
          </w:p>
          <w:p w14:paraId="2A7180A3" w14:textId="78CDEB43" w:rsidR="00E95564" w:rsidRPr="007243E3" w:rsidRDefault="00E667FC" w:rsidP="008D66F6">
            <w:pPr>
              <w:pStyle w:val="Tablebullet1"/>
            </w:pPr>
            <w:r w:rsidRPr="007243E3">
              <w:t>P</w:t>
            </w:r>
            <w:r w:rsidR="00E95564" w:rsidRPr="007243E3">
              <w:t>rovides service users with options to support sustainable tenancy through referral to other relevant services.</w:t>
            </w:r>
          </w:p>
        </w:tc>
      </w:tr>
      <w:tr w:rsidR="00E95564" w:rsidRPr="00570FD2" w14:paraId="399AF026" w14:textId="77777777" w:rsidTr="007243E3">
        <w:trPr>
          <w:trHeight w:val="960"/>
        </w:trPr>
        <w:tc>
          <w:tcPr>
            <w:tcW w:w="2876" w:type="dxa"/>
          </w:tcPr>
          <w:p w14:paraId="50568578" w14:textId="05A00198" w:rsidR="00E95564" w:rsidRPr="007243E3" w:rsidRDefault="00E95564" w:rsidP="007243E3">
            <w:pPr>
              <w:pStyle w:val="Tabletext"/>
              <w:rPr>
                <w:b/>
              </w:rPr>
            </w:pPr>
            <w:r w:rsidRPr="007243E3">
              <w:rPr>
                <w:b/>
              </w:rPr>
              <w:t>Roles and functions of different services</w:t>
            </w:r>
          </w:p>
        </w:tc>
        <w:tc>
          <w:tcPr>
            <w:tcW w:w="11436" w:type="dxa"/>
          </w:tcPr>
          <w:p w14:paraId="6FE8FC78" w14:textId="77777777" w:rsidR="00E95564" w:rsidRPr="007243E3" w:rsidRDefault="008C3053" w:rsidP="008D66F6">
            <w:pPr>
              <w:pStyle w:val="Tablebullet1"/>
            </w:pPr>
            <w:r w:rsidRPr="007243E3">
              <w:t>Identifies the range o</w:t>
            </w:r>
            <w:r w:rsidR="00F770F5" w:rsidRPr="007243E3">
              <w:t xml:space="preserve">f </w:t>
            </w:r>
            <w:r w:rsidRPr="007243E3">
              <w:t xml:space="preserve">services </w:t>
            </w:r>
            <w:r w:rsidR="00F770F5" w:rsidRPr="007243E3">
              <w:t>commonly required by community housing residents</w:t>
            </w:r>
            <w:r w:rsidR="005E79BB" w:rsidRPr="007243E3">
              <w:t xml:space="preserve"> and the referral or service connection pathways to these services</w:t>
            </w:r>
            <w:r w:rsidR="0012360E" w:rsidRPr="007243E3">
              <w:t>.</w:t>
            </w:r>
          </w:p>
          <w:p w14:paraId="224B30C6" w14:textId="48B3EED9" w:rsidR="0012360E" w:rsidRPr="007243E3" w:rsidRDefault="0012360E" w:rsidP="008D66F6">
            <w:pPr>
              <w:pStyle w:val="Tablebullet1"/>
            </w:pPr>
            <w:r w:rsidRPr="007243E3">
              <w:t xml:space="preserve">Identifies opportunities to collaborate with other services to deliver </w:t>
            </w:r>
            <w:r w:rsidR="00BE537A" w:rsidRPr="007243E3">
              <w:t>holistic service responses/</w:t>
            </w:r>
          </w:p>
        </w:tc>
      </w:tr>
      <w:tr w:rsidR="00E95564" w:rsidRPr="00570FD2" w14:paraId="17DBC067" w14:textId="77777777" w:rsidTr="007243E3">
        <w:trPr>
          <w:trHeight w:val="1140"/>
        </w:trPr>
        <w:tc>
          <w:tcPr>
            <w:tcW w:w="2876" w:type="dxa"/>
          </w:tcPr>
          <w:p w14:paraId="47E53502" w14:textId="77777777" w:rsidR="00E95564" w:rsidRPr="007243E3" w:rsidRDefault="00E95564" w:rsidP="007243E3">
            <w:pPr>
              <w:pStyle w:val="Tabletext"/>
              <w:rPr>
                <w:b/>
              </w:rPr>
            </w:pPr>
            <w:r w:rsidRPr="007243E3">
              <w:rPr>
                <w:b/>
              </w:rPr>
              <w:t>Legal frameworks and obligations</w:t>
            </w:r>
          </w:p>
        </w:tc>
        <w:tc>
          <w:tcPr>
            <w:tcW w:w="11436" w:type="dxa"/>
          </w:tcPr>
          <w:p w14:paraId="309D5DE4" w14:textId="0EC75ADC" w:rsidR="00E667FC" w:rsidRPr="007243E3" w:rsidRDefault="00E95564" w:rsidP="00E667FC">
            <w:pPr>
              <w:pStyle w:val="Tablebullet1"/>
            </w:pPr>
            <w:r w:rsidRPr="007243E3">
              <w:t>Identifies tenant issues that relate to the Charter of Human Rights and Responsibilities Act 2006</w:t>
            </w:r>
            <w:r w:rsidR="00E667FC" w:rsidRPr="007243E3">
              <w:t>.</w:t>
            </w:r>
            <w:r w:rsidRPr="007243E3">
              <w:t xml:space="preserve"> </w:t>
            </w:r>
          </w:p>
          <w:p w14:paraId="3F2F6252" w14:textId="3120D750" w:rsidR="00E95564" w:rsidRPr="007243E3" w:rsidRDefault="00E667FC" w:rsidP="008D66F6">
            <w:pPr>
              <w:pStyle w:val="Tablebullet1"/>
            </w:pPr>
            <w:r w:rsidRPr="007243E3">
              <w:t>H</w:t>
            </w:r>
            <w:r w:rsidR="00E95564" w:rsidRPr="007243E3">
              <w:t>as a clear understanding of office delegation and assistance requirements</w:t>
            </w:r>
            <w:r w:rsidRPr="007243E3">
              <w:t>. C</w:t>
            </w:r>
            <w:r w:rsidR="00E95564" w:rsidRPr="007243E3">
              <w:t>an assist in preparing cases for Victorian Civil and Administrative Tribunal (VCAT) in relation to the Residential Tenancies Act 1997</w:t>
            </w:r>
            <w:r w:rsidRPr="007243E3">
              <w:t>.</w:t>
            </w:r>
          </w:p>
        </w:tc>
      </w:tr>
      <w:tr w:rsidR="00E95564" w:rsidRPr="00570FD2" w14:paraId="15E506CC" w14:textId="77777777" w:rsidTr="007243E3">
        <w:trPr>
          <w:trHeight w:val="662"/>
        </w:trPr>
        <w:tc>
          <w:tcPr>
            <w:tcW w:w="2876" w:type="dxa"/>
          </w:tcPr>
          <w:p w14:paraId="5CA89B3D" w14:textId="77777777" w:rsidR="00E95564" w:rsidRPr="007243E3" w:rsidRDefault="00E95564" w:rsidP="007243E3">
            <w:pPr>
              <w:pStyle w:val="Tabletext"/>
              <w:rPr>
                <w:b/>
              </w:rPr>
            </w:pPr>
            <w:r w:rsidRPr="007243E3">
              <w:rPr>
                <w:b/>
              </w:rPr>
              <w:t>Service user groups and communities</w:t>
            </w:r>
          </w:p>
        </w:tc>
        <w:tc>
          <w:tcPr>
            <w:tcW w:w="11436" w:type="dxa"/>
          </w:tcPr>
          <w:p w14:paraId="4B584F3F" w14:textId="59EB4342" w:rsidR="00E95564" w:rsidRPr="007243E3" w:rsidRDefault="00E95564" w:rsidP="008D66F6">
            <w:pPr>
              <w:pStyle w:val="Tablebullet1"/>
            </w:pPr>
            <w:r w:rsidRPr="007243E3">
              <w:t>Has a sound understanding of the intersecting identities impacting service user groups and the social issues impacting the local communit</w:t>
            </w:r>
            <w:r w:rsidR="00E667FC" w:rsidRPr="007243E3">
              <w:t>y.</w:t>
            </w:r>
            <w:r w:rsidRPr="007243E3">
              <w:t xml:space="preserve"> </w:t>
            </w:r>
            <w:r w:rsidR="00E667FC" w:rsidRPr="007243E3">
              <w:t>C</w:t>
            </w:r>
            <w:r w:rsidRPr="007243E3">
              <w:t>onsistently draws on this knowledge in working with tenants.</w:t>
            </w:r>
          </w:p>
        </w:tc>
      </w:tr>
      <w:tr w:rsidR="00E95564" w:rsidRPr="00570FD2" w14:paraId="3EF1EF35" w14:textId="77777777" w:rsidTr="007243E3">
        <w:trPr>
          <w:trHeight w:val="935"/>
        </w:trPr>
        <w:tc>
          <w:tcPr>
            <w:tcW w:w="2876" w:type="dxa"/>
            <w:vAlign w:val="center"/>
          </w:tcPr>
          <w:p w14:paraId="3D72B383" w14:textId="58C32DBE" w:rsidR="00E95564" w:rsidRPr="007243E3" w:rsidRDefault="00A8539B" w:rsidP="007243E3">
            <w:pPr>
              <w:pStyle w:val="Tabletext"/>
              <w:rPr>
                <w:b/>
              </w:rPr>
            </w:pPr>
            <w:r w:rsidRPr="007243E3">
              <w:rPr>
                <w:b/>
              </w:rPr>
              <w:t>Aboriginal</w:t>
            </w:r>
            <w:r w:rsidR="00E95564" w:rsidRPr="007243E3">
              <w:rPr>
                <w:b/>
              </w:rPr>
              <w:t xml:space="preserve"> self-determination</w:t>
            </w:r>
          </w:p>
        </w:tc>
        <w:tc>
          <w:tcPr>
            <w:tcW w:w="11436" w:type="dxa"/>
            <w:vAlign w:val="center"/>
          </w:tcPr>
          <w:p w14:paraId="7E19DAD2" w14:textId="788C06AD" w:rsidR="00E95564" w:rsidRPr="007243E3" w:rsidRDefault="00AC2770" w:rsidP="008D66F6">
            <w:pPr>
              <w:pStyle w:val="Tablebullet1"/>
            </w:pPr>
            <w:r w:rsidRPr="007243E3">
              <w:t>Identifies the impacts of colon</w:t>
            </w:r>
            <w:r w:rsidR="006D0A26" w:rsidRPr="007243E3">
              <w:t>ial systems</w:t>
            </w:r>
            <w:r w:rsidRPr="007243E3">
              <w:t xml:space="preserve"> on </w:t>
            </w:r>
            <w:r w:rsidR="00A8539B" w:rsidRPr="007243E3">
              <w:t>Aboriginal</w:t>
            </w:r>
            <w:r w:rsidRPr="007243E3">
              <w:t xml:space="preserve"> service users</w:t>
            </w:r>
            <w:r w:rsidR="002E6ADC" w:rsidRPr="007243E3">
              <w:t xml:space="preserve"> and the implications for ho</w:t>
            </w:r>
            <w:r w:rsidR="00381758" w:rsidRPr="007243E3">
              <w:t>using instability</w:t>
            </w:r>
            <w:r w:rsidR="00803D2F" w:rsidRPr="007243E3">
              <w:t>.</w:t>
            </w:r>
          </w:p>
          <w:p w14:paraId="745D6B7F" w14:textId="2EE91F66" w:rsidR="00803D2F" w:rsidRPr="007243E3" w:rsidRDefault="00803D2F" w:rsidP="008D66F6">
            <w:pPr>
              <w:pStyle w:val="Tablebullet1"/>
            </w:pPr>
            <w:r w:rsidRPr="007243E3">
              <w:t xml:space="preserve">Uses strategies to elevate the voice and agency of </w:t>
            </w:r>
            <w:r w:rsidR="006D0A26" w:rsidRPr="007243E3">
              <w:t>Aboriginal</w:t>
            </w:r>
            <w:r w:rsidR="003219C4" w:rsidRPr="007243E3">
              <w:t xml:space="preserve"> service users.</w:t>
            </w:r>
          </w:p>
        </w:tc>
      </w:tr>
    </w:tbl>
    <w:p w14:paraId="74E61D55" w14:textId="4F922BA9" w:rsidR="006F2F5B" w:rsidRDefault="006F2F5B" w:rsidP="008E02BC">
      <w:pPr>
        <w:pStyle w:val="Body"/>
      </w:pPr>
      <w:bookmarkStart w:id="62" w:name="_Toc176177730"/>
    </w:p>
    <w:p w14:paraId="72FCC1A4" w14:textId="71EBDE20" w:rsidR="00712EA3" w:rsidRDefault="00712EA3" w:rsidP="008D66F6">
      <w:pPr>
        <w:pStyle w:val="Heading2"/>
      </w:pPr>
      <w:bookmarkStart w:id="63" w:name="_Toc221790897"/>
      <w:r w:rsidRPr="002E2007">
        <w:lastRenderedPageBreak/>
        <w:t>A</w:t>
      </w:r>
      <w:r w:rsidR="00095725">
        <w:t>3</w:t>
      </w:r>
      <w:r w:rsidRPr="002E2007">
        <w:t>.</w:t>
      </w:r>
      <w:r>
        <w:t xml:space="preserve">7 </w:t>
      </w:r>
      <w:r w:rsidRPr="002E2007">
        <w:t xml:space="preserve">Graduate in </w:t>
      </w:r>
      <w:r>
        <w:t>disability services</w:t>
      </w:r>
      <w:bookmarkEnd w:id="63"/>
    </w:p>
    <w:bookmarkEnd w:id="62"/>
    <w:p w14:paraId="113F68C5" w14:textId="6418D12D" w:rsidR="00945C45" w:rsidRDefault="00945C45" w:rsidP="008D66F6">
      <w:pPr>
        <w:pStyle w:val="Body"/>
      </w:pPr>
      <w:r>
        <w:t xml:space="preserve">The following working example relates to the development of specialist learning outcomes for the </w:t>
      </w:r>
      <w:r>
        <w:rPr>
          <w:i/>
          <w:iCs/>
        </w:rPr>
        <w:t xml:space="preserve">Holistic and Ethically Responsible Practice </w:t>
      </w:r>
      <w:r>
        <w:t>learning domain</w:t>
      </w:r>
      <w:r w:rsidR="00E667FC">
        <w:t>. This is</w:t>
      </w:r>
      <w:r>
        <w:t xml:space="preserve"> for a graduate employed as a NDIS Support Coordinator. They are a Bachelor of Social Work graduate who </w:t>
      </w:r>
      <w:r w:rsidR="006A1B02">
        <w:t>previously</w:t>
      </w:r>
      <w:r>
        <w:t xml:space="preserve"> worked as a disability support worke</w:t>
      </w:r>
      <w:r w:rsidR="009D11E9">
        <w:t>r</w:t>
      </w:r>
      <w:r>
        <w:t xml:space="preserve">. The following specialist learning outcomes draw on the </w:t>
      </w:r>
      <w:hyperlink r:id="rId46" w:history="1">
        <w:r w:rsidRPr="00381778">
          <w:rPr>
            <w:rStyle w:val="Hyperlink"/>
            <w:i/>
            <w:iCs/>
          </w:rPr>
          <w:t>NDIS Workforce Capability Framework</w:t>
        </w:r>
      </w:hyperlink>
      <w:r w:rsidR="001337C3">
        <w:t>.</w:t>
      </w:r>
      <w:r w:rsidR="009A44CE">
        <w:rPr>
          <w:rStyle w:val="FootnoteReference"/>
        </w:rPr>
        <w:footnoteReference w:id="14"/>
      </w:r>
    </w:p>
    <w:p w14:paraId="54CF2C78" w14:textId="032FC641" w:rsidR="002705BE" w:rsidRPr="002705BE" w:rsidRDefault="002705BE" w:rsidP="00D715A7">
      <w:pPr>
        <w:pStyle w:val="Heading3"/>
        <w:spacing w:after="0"/>
      </w:pPr>
      <w:r>
        <w:t xml:space="preserve">Learning Domain: </w:t>
      </w:r>
      <w:r w:rsidRPr="008D66F6">
        <w:t xml:space="preserve">Holistic and </w:t>
      </w:r>
      <w:r w:rsidR="00C808C7">
        <w:t>e</w:t>
      </w:r>
      <w:r w:rsidRPr="008D66F6">
        <w:t xml:space="preserve">thically </w:t>
      </w:r>
      <w:r w:rsidR="00C808C7">
        <w:t>r</w:t>
      </w:r>
      <w:r w:rsidRPr="008D66F6">
        <w:t xml:space="preserve">esponsible </w:t>
      </w:r>
      <w:r w:rsidR="00C808C7">
        <w:t>p</w:t>
      </w:r>
      <w:r w:rsidRPr="008D66F6">
        <w:t>ractice</w:t>
      </w:r>
      <w:r>
        <w:t xml:space="preserve"> </w:t>
      </w:r>
    </w:p>
    <w:tbl>
      <w:tblPr>
        <w:tblStyle w:val="TableGrid"/>
        <w:tblW w:w="14312" w:type="dxa"/>
        <w:tblLook w:val="04A0" w:firstRow="1" w:lastRow="0" w:firstColumn="1" w:lastColumn="0" w:noHBand="0" w:noVBand="1"/>
      </w:tblPr>
      <w:tblGrid>
        <w:gridCol w:w="2835"/>
        <w:gridCol w:w="11477"/>
      </w:tblGrid>
      <w:tr w:rsidR="00945C45" w:rsidRPr="00570FD2" w14:paraId="716E1F5B" w14:textId="77777777" w:rsidTr="008E02BC">
        <w:trPr>
          <w:trHeight w:val="432"/>
          <w:tblHeader/>
        </w:trPr>
        <w:tc>
          <w:tcPr>
            <w:tcW w:w="2835" w:type="dxa"/>
          </w:tcPr>
          <w:p w14:paraId="337111E1" w14:textId="77777777" w:rsidR="00945C45" w:rsidRPr="008D66F6" w:rsidRDefault="00945C45" w:rsidP="008E02BC">
            <w:pPr>
              <w:pStyle w:val="Tablecolhead"/>
            </w:pPr>
            <w:r w:rsidRPr="008D66F6">
              <w:t>Learning Areas</w:t>
            </w:r>
          </w:p>
        </w:tc>
        <w:tc>
          <w:tcPr>
            <w:tcW w:w="11477" w:type="dxa"/>
          </w:tcPr>
          <w:p w14:paraId="13C7C21A" w14:textId="77777777" w:rsidR="00945C45" w:rsidRPr="008D66F6" w:rsidRDefault="00945C45" w:rsidP="008E02BC">
            <w:pPr>
              <w:pStyle w:val="Tablecolhead"/>
            </w:pPr>
            <w:r w:rsidRPr="008D66F6">
              <w:t xml:space="preserve">Specialist Learning Outcomes </w:t>
            </w:r>
          </w:p>
        </w:tc>
      </w:tr>
      <w:tr w:rsidR="00945C45" w:rsidRPr="00570FD2" w14:paraId="70E02BF5" w14:textId="77777777" w:rsidTr="008E02BC">
        <w:trPr>
          <w:trHeight w:val="1401"/>
        </w:trPr>
        <w:tc>
          <w:tcPr>
            <w:tcW w:w="2835" w:type="dxa"/>
          </w:tcPr>
          <w:p w14:paraId="581BFBDE" w14:textId="2F7C8F84" w:rsidR="00945C45" w:rsidRPr="002705BE" w:rsidRDefault="00945C45" w:rsidP="008E02BC">
            <w:pPr>
              <w:pStyle w:val="Tabletext"/>
              <w:rPr>
                <w:b/>
              </w:rPr>
            </w:pPr>
            <w:r w:rsidRPr="002705BE">
              <w:rPr>
                <w:b/>
              </w:rPr>
              <w:t>Rights-based, person-centred and strengths-focused</w:t>
            </w:r>
          </w:p>
        </w:tc>
        <w:tc>
          <w:tcPr>
            <w:tcW w:w="11477" w:type="dxa"/>
          </w:tcPr>
          <w:p w14:paraId="2C37FD2A" w14:textId="31801DBC" w:rsidR="00E667FC" w:rsidRPr="002705BE" w:rsidRDefault="00945C45" w:rsidP="008E02BC">
            <w:pPr>
              <w:pStyle w:val="Tablebullet1"/>
            </w:pPr>
            <w:r w:rsidRPr="002705BE">
              <w:t>Understands the legal basis that underpins recognition of the human rights of people with a disability, including the United Nations Convention on the Rights of Persons with Disabilities</w:t>
            </w:r>
            <w:r w:rsidR="008F2801" w:rsidRPr="002705BE">
              <w:t xml:space="preserve"> </w:t>
            </w:r>
            <w:r w:rsidRPr="002705BE">
              <w:t>(2022)</w:t>
            </w:r>
            <w:r w:rsidR="00E667FC" w:rsidRPr="002705BE">
              <w:t xml:space="preserve">. </w:t>
            </w:r>
          </w:p>
          <w:p w14:paraId="226AF3B1" w14:textId="226D6AF6" w:rsidR="00E667FC" w:rsidRPr="002705BE" w:rsidRDefault="00E667FC" w:rsidP="008E02BC">
            <w:pPr>
              <w:pStyle w:val="Tablebullet1"/>
            </w:pPr>
            <w:r w:rsidRPr="002705BE">
              <w:t>P</w:t>
            </w:r>
            <w:r w:rsidR="00945C45" w:rsidRPr="002705BE">
              <w:t xml:space="preserve">ractices in ways that protect these rights. </w:t>
            </w:r>
          </w:p>
          <w:p w14:paraId="449A5C9F" w14:textId="2EB64B13" w:rsidR="00945C45" w:rsidRPr="002705BE" w:rsidRDefault="00945C45" w:rsidP="008E02BC">
            <w:pPr>
              <w:pStyle w:val="Tablebullet1"/>
            </w:pPr>
            <w:r w:rsidRPr="002705BE">
              <w:t>Develops and implements person-centred plans that reflect the service user’s goals, strengths and needs</w:t>
            </w:r>
            <w:r w:rsidR="006F2F5B" w:rsidRPr="002705BE">
              <w:t>.</w:t>
            </w:r>
          </w:p>
        </w:tc>
      </w:tr>
      <w:tr w:rsidR="008632B7" w:rsidRPr="00570FD2" w14:paraId="35350438" w14:textId="77777777" w:rsidTr="008E02BC">
        <w:trPr>
          <w:trHeight w:val="771"/>
        </w:trPr>
        <w:tc>
          <w:tcPr>
            <w:tcW w:w="2835" w:type="dxa"/>
          </w:tcPr>
          <w:p w14:paraId="59463DC4" w14:textId="2B32756B" w:rsidR="008632B7" w:rsidRPr="002705BE" w:rsidRDefault="008632B7" w:rsidP="008E02BC">
            <w:pPr>
              <w:pStyle w:val="Tabletext"/>
              <w:rPr>
                <w:b/>
              </w:rPr>
            </w:pPr>
            <w:r w:rsidRPr="002705BE">
              <w:rPr>
                <w:b/>
              </w:rPr>
              <w:t>Trauma</w:t>
            </w:r>
            <w:r w:rsidR="00314A87" w:rsidRPr="002705BE">
              <w:rPr>
                <w:b/>
              </w:rPr>
              <w:t xml:space="preserve"> responsive </w:t>
            </w:r>
            <w:r w:rsidRPr="002705BE">
              <w:rPr>
                <w:b/>
              </w:rPr>
              <w:t>practice</w:t>
            </w:r>
          </w:p>
        </w:tc>
        <w:tc>
          <w:tcPr>
            <w:tcW w:w="11477" w:type="dxa"/>
          </w:tcPr>
          <w:p w14:paraId="18052524" w14:textId="77777777" w:rsidR="00E667FC" w:rsidRPr="002705BE" w:rsidRDefault="00A257DC" w:rsidP="008E02BC">
            <w:pPr>
              <w:pStyle w:val="Tablebullet1"/>
            </w:pPr>
            <w:r w:rsidRPr="002705BE">
              <w:t>Identifies the indicators of trauma in service user</w:t>
            </w:r>
            <w:r w:rsidR="00B42649" w:rsidRPr="002705BE">
              <w:t xml:space="preserve"> behaviours</w:t>
            </w:r>
            <w:r w:rsidR="00E667FC" w:rsidRPr="002705BE">
              <w:t xml:space="preserve">. </w:t>
            </w:r>
          </w:p>
          <w:p w14:paraId="76BC69D5" w14:textId="41A9813D" w:rsidR="008632B7" w:rsidRPr="002705BE" w:rsidRDefault="00E667FC" w:rsidP="008E02BC">
            <w:pPr>
              <w:pStyle w:val="Tablebullet1"/>
            </w:pPr>
            <w:r w:rsidRPr="002705BE">
              <w:t>U</w:t>
            </w:r>
            <w:r w:rsidR="00B42649" w:rsidRPr="002705BE">
              <w:t>ses trauma-informed practice</w:t>
            </w:r>
            <w:r w:rsidR="000C4619" w:rsidRPr="002705BE">
              <w:t xml:space="preserve"> responses</w:t>
            </w:r>
            <w:r w:rsidRPr="002705BE">
              <w:t>.</w:t>
            </w:r>
          </w:p>
        </w:tc>
      </w:tr>
      <w:tr w:rsidR="00945C45" w:rsidRPr="00570FD2" w14:paraId="280AB2B9" w14:textId="77777777" w:rsidTr="008E02BC">
        <w:trPr>
          <w:trHeight w:val="706"/>
        </w:trPr>
        <w:tc>
          <w:tcPr>
            <w:tcW w:w="2835" w:type="dxa"/>
          </w:tcPr>
          <w:p w14:paraId="0DF8B014" w14:textId="77777777" w:rsidR="00945C45" w:rsidRPr="002705BE" w:rsidRDefault="00945C45" w:rsidP="008E02BC">
            <w:pPr>
              <w:pStyle w:val="Tabletext"/>
              <w:rPr>
                <w:b/>
              </w:rPr>
            </w:pPr>
            <w:r w:rsidRPr="002705BE">
              <w:rPr>
                <w:b/>
              </w:rPr>
              <w:t>Working with an intersectional lens</w:t>
            </w:r>
          </w:p>
        </w:tc>
        <w:tc>
          <w:tcPr>
            <w:tcW w:w="11477" w:type="dxa"/>
          </w:tcPr>
          <w:p w14:paraId="52E344BA" w14:textId="77777777" w:rsidR="00E667FC" w:rsidRPr="002705BE" w:rsidRDefault="00945C45" w:rsidP="008E02BC">
            <w:pPr>
              <w:pStyle w:val="Tablebullet1"/>
            </w:pPr>
            <w:r w:rsidRPr="002705BE">
              <w:t>Identifies and responds to intersecting factors of socioeconomic status, culture, geography, age, sexuality and gender identity when coordinating supports to enhance</w:t>
            </w:r>
            <w:r w:rsidR="00E667FC" w:rsidRPr="002705BE">
              <w:t>:</w:t>
            </w:r>
            <w:r w:rsidRPr="002705BE">
              <w:t xml:space="preserve"> </w:t>
            </w:r>
          </w:p>
          <w:p w14:paraId="241A045E" w14:textId="1ECFD05D" w:rsidR="00E667FC" w:rsidRPr="002705BE" w:rsidRDefault="00945C45" w:rsidP="008E02BC">
            <w:pPr>
              <w:pStyle w:val="Tablebullet2"/>
            </w:pPr>
            <w:r w:rsidRPr="002705BE">
              <w:t xml:space="preserve">autonomy </w:t>
            </w:r>
          </w:p>
          <w:p w14:paraId="71D2C1E2" w14:textId="2579330A" w:rsidR="00E667FC" w:rsidRPr="002705BE" w:rsidRDefault="00945C45" w:rsidP="008E02BC">
            <w:pPr>
              <w:pStyle w:val="Tablebullet2"/>
            </w:pPr>
            <w:r w:rsidRPr="002705BE">
              <w:t>independence</w:t>
            </w:r>
            <w:r w:rsidR="004E5077" w:rsidRPr="002705BE">
              <w:t xml:space="preserve"> </w:t>
            </w:r>
          </w:p>
          <w:p w14:paraId="592223F8" w14:textId="35A7C367" w:rsidR="00E667FC" w:rsidRPr="002705BE" w:rsidRDefault="00945C45" w:rsidP="008E02BC">
            <w:pPr>
              <w:pStyle w:val="Tablebullet2"/>
            </w:pPr>
            <w:r w:rsidRPr="002705BE">
              <w:t>social inclusion</w:t>
            </w:r>
          </w:p>
          <w:p w14:paraId="1887AD29" w14:textId="000005D0" w:rsidR="00945C45" w:rsidRPr="008D66F6" w:rsidRDefault="00462A64" w:rsidP="008E02BC">
            <w:pPr>
              <w:pStyle w:val="Tablebullet2"/>
            </w:pPr>
            <w:r w:rsidRPr="002705BE">
              <w:t>connection to culture and community</w:t>
            </w:r>
            <w:r w:rsidR="00945C45" w:rsidRPr="002705BE">
              <w:t>.</w:t>
            </w:r>
          </w:p>
        </w:tc>
      </w:tr>
      <w:tr w:rsidR="00945C45" w:rsidRPr="00570FD2" w14:paraId="0E46A246" w14:textId="77777777" w:rsidTr="008E02BC">
        <w:trPr>
          <w:trHeight w:val="706"/>
        </w:trPr>
        <w:tc>
          <w:tcPr>
            <w:tcW w:w="2835" w:type="dxa"/>
          </w:tcPr>
          <w:p w14:paraId="1D016580" w14:textId="77777777" w:rsidR="00945C45" w:rsidRPr="002705BE" w:rsidRDefault="00945C45" w:rsidP="008E02BC">
            <w:pPr>
              <w:pStyle w:val="Tabletext"/>
              <w:rPr>
                <w:b/>
              </w:rPr>
            </w:pPr>
            <w:r w:rsidRPr="002705BE">
              <w:rPr>
                <w:b/>
              </w:rPr>
              <w:t>Ethical decision-making</w:t>
            </w:r>
          </w:p>
        </w:tc>
        <w:tc>
          <w:tcPr>
            <w:tcW w:w="11477" w:type="dxa"/>
          </w:tcPr>
          <w:p w14:paraId="599F8E1B" w14:textId="77777777" w:rsidR="00945C45" w:rsidRPr="002705BE" w:rsidRDefault="00945C45" w:rsidP="008E02BC">
            <w:pPr>
              <w:pStyle w:val="Tablebullet1"/>
            </w:pPr>
            <w:r w:rsidRPr="002705BE">
              <w:t>Makes decisions in partnership with the service user, respecting their autonomy and confidentiality.</w:t>
            </w:r>
          </w:p>
          <w:p w14:paraId="591B7AE6" w14:textId="1FC663C9" w:rsidR="00945C45" w:rsidRPr="002705BE" w:rsidRDefault="00945C45" w:rsidP="008E02BC">
            <w:pPr>
              <w:pStyle w:val="Tablebullet1"/>
            </w:pPr>
            <w:r w:rsidRPr="002705BE">
              <w:t xml:space="preserve">Reflects on personal and professional values, ensuring they align with the NDIS Code of Conduct (2024) and ethical guidelines. </w:t>
            </w:r>
          </w:p>
        </w:tc>
      </w:tr>
      <w:tr w:rsidR="00945C45" w:rsidRPr="00570FD2" w14:paraId="6770B89E" w14:textId="77777777" w:rsidTr="008E02BC">
        <w:trPr>
          <w:trHeight w:val="706"/>
        </w:trPr>
        <w:tc>
          <w:tcPr>
            <w:tcW w:w="2835" w:type="dxa"/>
          </w:tcPr>
          <w:p w14:paraId="1D2733D1" w14:textId="68376A28" w:rsidR="00945C45" w:rsidRPr="002705BE" w:rsidRDefault="00945C45" w:rsidP="008E02BC">
            <w:pPr>
              <w:pStyle w:val="Tabletext"/>
              <w:rPr>
                <w:b/>
              </w:rPr>
            </w:pPr>
            <w:r w:rsidRPr="002705BE">
              <w:rPr>
                <w:b/>
              </w:rPr>
              <w:t xml:space="preserve">Managing </w:t>
            </w:r>
            <w:r w:rsidR="00AA186B" w:rsidRPr="002705BE">
              <w:rPr>
                <w:b/>
              </w:rPr>
              <w:t>r</w:t>
            </w:r>
            <w:r w:rsidRPr="002705BE">
              <w:rPr>
                <w:b/>
              </w:rPr>
              <w:t>isk</w:t>
            </w:r>
          </w:p>
        </w:tc>
        <w:tc>
          <w:tcPr>
            <w:tcW w:w="11477" w:type="dxa"/>
          </w:tcPr>
          <w:p w14:paraId="03FBA189" w14:textId="118CE31A" w:rsidR="00945C45" w:rsidRPr="002705BE" w:rsidRDefault="00945C45" w:rsidP="008E02BC">
            <w:pPr>
              <w:pStyle w:val="Tablebullet1"/>
            </w:pPr>
            <w:r w:rsidRPr="002705BE">
              <w:t>Supports service users to achieve their goals in a safe manner</w:t>
            </w:r>
            <w:r w:rsidR="00E667FC" w:rsidRPr="002705BE">
              <w:t>.</w:t>
            </w:r>
            <w:r w:rsidRPr="002705BE">
              <w:t xml:space="preserve"> </w:t>
            </w:r>
            <w:r w:rsidR="00E667FC" w:rsidRPr="002705BE">
              <w:t>A</w:t>
            </w:r>
            <w:r w:rsidRPr="002705BE">
              <w:t>ppl</w:t>
            </w:r>
            <w:r w:rsidR="00E667FC" w:rsidRPr="002705BE">
              <w:t>ies</w:t>
            </w:r>
            <w:r w:rsidRPr="002705BE">
              <w:t xml:space="preserve"> risk management strategies to minimise potential harm in line with NDIS guidelines.</w:t>
            </w:r>
          </w:p>
        </w:tc>
      </w:tr>
      <w:tr w:rsidR="00945C45" w:rsidRPr="00570FD2" w14:paraId="1E0047FB" w14:textId="77777777" w:rsidTr="008E02BC">
        <w:trPr>
          <w:trHeight w:val="706"/>
        </w:trPr>
        <w:tc>
          <w:tcPr>
            <w:tcW w:w="2835" w:type="dxa"/>
          </w:tcPr>
          <w:p w14:paraId="1EBCCACB" w14:textId="77777777" w:rsidR="00945C45" w:rsidRPr="002705BE" w:rsidRDefault="00945C45" w:rsidP="008E02BC">
            <w:pPr>
              <w:pStyle w:val="Tabletext"/>
              <w:rPr>
                <w:b/>
              </w:rPr>
            </w:pPr>
            <w:r w:rsidRPr="002705BE">
              <w:rPr>
                <w:b/>
              </w:rPr>
              <w:t>Outcomes focus</w:t>
            </w:r>
          </w:p>
        </w:tc>
        <w:tc>
          <w:tcPr>
            <w:tcW w:w="11477" w:type="dxa"/>
          </w:tcPr>
          <w:p w14:paraId="4BBC9DD8" w14:textId="7357E7D5" w:rsidR="00945C45" w:rsidRPr="002705BE" w:rsidRDefault="00945C45" w:rsidP="008E02BC">
            <w:pPr>
              <w:pStyle w:val="Tablebullet1"/>
            </w:pPr>
            <w:r w:rsidRPr="002705BE">
              <w:t>Regularly reviews and adjusts support approaches to optimise outcomes, ensuring that service users are actively involved in</w:t>
            </w:r>
            <w:r w:rsidR="00732CF8" w:rsidRPr="002705BE">
              <w:t xml:space="preserve"> planning their goals and</w:t>
            </w:r>
            <w:r w:rsidRPr="002705BE">
              <w:t xml:space="preserve"> evaluating their progress and achievements.</w:t>
            </w:r>
          </w:p>
        </w:tc>
      </w:tr>
    </w:tbl>
    <w:p w14:paraId="0D543668" w14:textId="77777777" w:rsidR="002705BE" w:rsidRDefault="002705BE">
      <w:pPr>
        <w:spacing w:after="0" w:line="240" w:lineRule="auto"/>
        <w:rPr>
          <w:b/>
          <w:color w:val="201547"/>
          <w:sz w:val="32"/>
          <w:szCs w:val="28"/>
        </w:rPr>
      </w:pPr>
      <w:r>
        <w:br w:type="page"/>
      </w:r>
    </w:p>
    <w:p w14:paraId="67AB101F" w14:textId="19D4CE44" w:rsidR="009E5A17" w:rsidRDefault="009E5A17" w:rsidP="008D66F6">
      <w:pPr>
        <w:pStyle w:val="Heading2"/>
      </w:pPr>
      <w:bookmarkStart w:id="64" w:name="_Toc221790898"/>
      <w:r w:rsidRPr="002E2007">
        <w:lastRenderedPageBreak/>
        <w:t>A</w:t>
      </w:r>
      <w:r w:rsidR="00095725">
        <w:t>3</w:t>
      </w:r>
      <w:r w:rsidRPr="002E2007">
        <w:t>.</w:t>
      </w:r>
      <w:r w:rsidR="00AC0ED2">
        <w:t>8</w:t>
      </w:r>
      <w:r>
        <w:t xml:space="preserve"> </w:t>
      </w:r>
      <w:r w:rsidRPr="008D66F6">
        <w:t>Graduate</w:t>
      </w:r>
      <w:r w:rsidRPr="002E2007">
        <w:t xml:space="preserve"> in </w:t>
      </w:r>
      <w:r>
        <w:t xml:space="preserve">an </w:t>
      </w:r>
      <w:r w:rsidRPr="009E5A17">
        <w:t xml:space="preserve">Aboriginal </w:t>
      </w:r>
      <w:r w:rsidR="00F94678">
        <w:t>c</w:t>
      </w:r>
      <w:r w:rsidRPr="009E5A17">
        <w:t xml:space="preserve">ontrolled </w:t>
      </w:r>
      <w:r w:rsidR="00F94678">
        <w:t>c</w:t>
      </w:r>
      <w:r w:rsidRPr="009E5A17">
        <w:t xml:space="preserve">ommunity </w:t>
      </w:r>
      <w:r w:rsidR="00F94678">
        <w:t>o</w:t>
      </w:r>
      <w:r w:rsidRPr="009E5A17">
        <w:t>rganisation</w:t>
      </w:r>
      <w:bookmarkEnd w:id="64"/>
    </w:p>
    <w:p w14:paraId="4CD91C30" w14:textId="50839F73" w:rsidR="00945C45" w:rsidRDefault="00945C45" w:rsidP="008D66F6">
      <w:pPr>
        <w:pStyle w:val="Body"/>
      </w:pPr>
      <w:r>
        <w:t xml:space="preserve">The following working example relates to the development of specialist learning outcomes for the </w:t>
      </w:r>
      <w:r w:rsidRPr="004B14E7">
        <w:rPr>
          <w:i/>
          <w:iCs/>
        </w:rPr>
        <w:t>Professional Self</w:t>
      </w:r>
      <w:r>
        <w:rPr>
          <w:i/>
          <w:iCs/>
        </w:rPr>
        <w:t xml:space="preserve"> </w:t>
      </w:r>
      <w:r>
        <w:t>learning domain</w:t>
      </w:r>
      <w:r w:rsidR="00E667FC">
        <w:t>. This is</w:t>
      </w:r>
      <w:r>
        <w:t xml:space="preserve"> for a graduate employed as a Key Worker at a large Aboriginal Controlled Community Organisation. They are a Diploma of Community Services graduate, who identifies as </w:t>
      </w:r>
      <w:r w:rsidR="00300AB4">
        <w:t>Aboriginal</w:t>
      </w:r>
      <w:r w:rsidR="004E5077">
        <w:t>.</w:t>
      </w:r>
    </w:p>
    <w:p w14:paraId="1D46DFE1" w14:textId="71F1BFA4" w:rsidR="002A5645" w:rsidRDefault="007B467D" w:rsidP="007B467D">
      <w:pPr>
        <w:pStyle w:val="Heading3"/>
      </w:pPr>
      <w:r>
        <w:t>Learning Domain:</w:t>
      </w:r>
      <w:r w:rsidR="00F94678">
        <w:t xml:space="preserve"> </w:t>
      </w:r>
      <w:r>
        <w:t xml:space="preserve">Professional self </w:t>
      </w:r>
    </w:p>
    <w:tbl>
      <w:tblPr>
        <w:tblStyle w:val="TableGrid"/>
        <w:tblW w:w="14596" w:type="dxa"/>
        <w:tblLook w:val="04A0" w:firstRow="1" w:lastRow="0" w:firstColumn="1" w:lastColumn="0" w:noHBand="0" w:noVBand="1"/>
      </w:tblPr>
      <w:tblGrid>
        <w:gridCol w:w="3017"/>
        <w:gridCol w:w="11579"/>
      </w:tblGrid>
      <w:tr w:rsidR="00945C45" w:rsidRPr="00570FD2" w14:paraId="4B100831" w14:textId="77777777" w:rsidTr="002705BE">
        <w:trPr>
          <w:trHeight w:val="520"/>
        </w:trPr>
        <w:tc>
          <w:tcPr>
            <w:tcW w:w="3017" w:type="dxa"/>
          </w:tcPr>
          <w:p w14:paraId="71CDB1D0" w14:textId="77777777" w:rsidR="00945C45" w:rsidRPr="008D66F6" w:rsidRDefault="00945C45" w:rsidP="007B467D">
            <w:pPr>
              <w:pStyle w:val="Tablecolhead"/>
            </w:pPr>
            <w:r w:rsidRPr="008D66F6">
              <w:t>Learning Areas</w:t>
            </w:r>
          </w:p>
        </w:tc>
        <w:tc>
          <w:tcPr>
            <w:tcW w:w="11579" w:type="dxa"/>
          </w:tcPr>
          <w:p w14:paraId="7B2B66B4" w14:textId="77777777" w:rsidR="00945C45" w:rsidRPr="008D66F6" w:rsidRDefault="00945C45" w:rsidP="007B467D">
            <w:pPr>
              <w:pStyle w:val="Tablecolhead"/>
            </w:pPr>
            <w:r w:rsidRPr="008D66F6">
              <w:t>Specialist Learning Outcomes</w:t>
            </w:r>
          </w:p>
        </w:tc>
      </w:tr>
      <w:tr w:rsidR="00945C45" w:rsidRPr="00570FD2" w14:paraId="2BE98B58" w14:textId="77777777" w:rsidTr="002705BE">
        <w:trPr>
          <w:trHeight w:val="708"/>
        </w:trPr>
        <w:tc>
          <w:tcPr>
            <w:tcW w:w="3017" w:type="dxa"/>
          </w:tcPr>
          <w:p w14:paraId="3E5D0D15" w14:textId="38BB6E1A" w:rsidR="00945C45" w:rsidRPr="007B467D" w:rsidRDefault="00467143" w:rsidP="007B467D">
            <w:pPr>
              <w:pStyle w:val="Tabletext"/>
              <w:rPr>
                <w:b/>
              </w:rPr>
            </w:pPr>
            <w:r w:rsidRPr="007B467D">
              <w:rPr>
                <w:b/>
              </w:rPr>
              <w:t>R</w:t>
            </w:r>
            <w:r w:rsidR="00945C45" w:rsidRPr="007B467D">
              <w:rPr>
                <w:b/>
              </w:rPr>
              <w:t>eflective practice models</w:t>
            </w:r>
          </w:p>
        </w:tc>
        <w:tc>
          <w:tcPr>
            <w:tcW w:w="11579" w:type="dxa"/>
          </w:tcPr>
          <w:p w14:paraId="12CBB4F3" w14:textId="47927D7A" w:rsidR="00945C45" w:rsidRPr="008D66F6" w:rsidRDefault="00945C45" w:rsidP="008D66F6">
            <w:pPr>
              <w:pStyle w:val="Tablebullet1"/>
            </w:pPr>
            <w:r w:rsidRPr="008D66F6">
              <w:t>Continually reflects on practice</w:t>
            </w:r>
            <w:r w:rsidR="00E667FC" w:rsidRPr="008D66F6">
              <w:t>.</w:t>
            </w:r>
            <w:r w:rsidRPr="008D66F6">
              <w:t xml:space="preserve"> </w:t>
            </w:r>
            <w:r w:rsidR="00E667FC" w:rsidRPr="008D66F6">
              <w:t>I</w:t>
            </w:r>
            <w:r w:rsidRPr="008D66F6">
              <w:t>ntegrat</w:t>
            </w:r>
            <w:r w:rsidR="00E667FC" w:rsidRPr="008D66F6">
              <w:t>es</w:t>
            </w:r>
            <w:r w:rsidRPr="008D66F6">
              <w:t xml:space="preserve"> cultural knowledge to make informed adjustments that support culturally responsive service delivery in line with organisational values.</w:t>
            </w:r>
          </w:p>
        </w:tc>
      </w:tr>
      <w:tr w:rsidR="00945C45" w:rsidRPr="00570FD2" w14:paraId="6EB29803" w14:textId="77777777" w:rsidTr="002705BE">
        <w:trPr>
          <w:trHeight w:val="988"/>
        </w:trPr>
        <w:tc>
          <w:tcPr>
            <w:tcW w:w="3017" w:type="dxa"/>
          </w:tcPr>
          <w:p w14:paraId="4356A653" w14:textId="5F227C93" w:rsidR="00945C45" w:rsidRPr="007B467D" w:rsidRDefault="00467143" w:rsidP="007B467D">
            <w:pPr>
              <w:pStyle w:val="Tabletext"/>
              <w:rPr>
                <w:b/>
              </w:rPr>
            </w:pPr>
            <w:r w:rsidRPr="007B467D">
              <w:rPr>
                <w:b/>
              </w:rPr>
              <w:t>C</w:t>
            </w:r>
            <w:r w:rsidR="00945C45" w:rsidRPr="007B467D">
              <w:rPr>
                <w:b/>
              </w:rPr>
              <w:t xml:space="preserve">ompassion </w:t>
            </w:r>
            <w:r w:rsidR="00AA186B" w:rsidRPr="007B467D">
              <w:rPr>
                <w:b/>
              </w:rPr>
              <w:t>f</w:t>
            </w:r>
            <w:r w:rsidR="00945C45" w:rsidRPr="007B467D">
              <w:rPr>
                <w:b/>
              </w:rPr>
              <w:t xml:space="preserve">atigue, </w:t>
            </w:r>
            <w:r w:rsidR="00AA186B" w:rsidRPr="007B467D">
              <w:rPr>
                <w:b/>
              </w:rPr>
              <w:t>v</w:t>
            </w:r>
            <w:r w:rsidR="00945C45" w:rsidRPr="007B467D">
              <w:rPr>
                <w:b/>
              </w:rPr>
              <w:t xml:space="preserve">icarious </w:t>
            </w:r>
            <w:r w:rsidR="00AA186B" w:rsidRPr="007B467D">
              <w:rPr>
                <w:b/>
              </w:rPr>
              <w:t>t</w:t>
            </w:r>
            <w:r w:rsidR="00945C45" w:rsidRPr="007B467D">
              <w:rPr>
                <w:b/>
              </w:rPr>
              <w:t xml:space="preserve">rauma and </w:t>
            </w:r>
            <w:r w:rsidR="00AA186B" w:rsidRPr="007B467D">
              <w:rPr>
                <w:b/>
              </w:rPr>
              <w:t>b</w:t>
            </w:r>
            <w:r w:rsidR="00945C45" w:rsidRPr="007B467D">
              <w:rPr>
                <w:b/>
              </w:rPr>
              <w:t>urnout</w:t>
            </w:r>
          </w:p>
        </w:tc>
        <w:tc>
          <w:tcPr>
            <w:tcW w:w="11579" w:type="dxa"/>
          </w:tcPr>
          <w:p w14:paraId="0E2E4AD0" w14:textId="35F5BA97" w:rsidR="00E667FC" w:rsidRPr="008D66F6" w:rsidRDefault="00945C45" w:rsidP="00E667FC">
            <w:pPr>
              <w:pStyle w:val="Tablebullet1"/>
            </w:pPr>
            <w:r w:rsidRPr="008D66F6">
              <w:t>Maintains a reflexive stance</w:t>
            </w:r>
            <w:r w:rsidR="00E667FC" w:rsidRPr="008D66F6">
              <w:t>.</w:t>
            </w:r>
            <w:r w:rsidRPr="008D66F6">
              <w:t xml:space="preserve"> </w:t>
            </w:r>
            <w:r w:rsidR="00E667FC" w:rsidRPr="008D66F6">
              <w:t>I</w:t>
            </w:r>
            <w:r w:rsidRPr="008D66F6">
              <w:t>dentif</w:t>
            </w:r>
            <w:r w:rsidR="00E667FC" w:rsidRPr="008D66F6">
              <w:t>ies</w:t>
            </w:r>
            <w:r w:rsidRPr="008D66F6">
              <w:t xml:space="preserve"> personal triggers in practice</w:t>
            </w:r>
            <w:r w:rsidR="00E667FC" w:rsidRPr="008D66F6">
              <w:t>.</w:t>
            </w:r>
            <w:r w:rsidRPr="008D66F6">
              <w:t xml:space="preserve"> </w:t>
            </w:r>
          </w:p>
          <w:p w14:paraId="652244B4" w14:textId="2F040CB2" w:rsidR="00945C45" w:rsidRPr="008D66F6" w:rsidRDefault="00E667FC" w:rsidP="008D66F6">
            <w:pPr>
              <w:pStyle w:val="Tablebullet1"/>
            </w:pPr>
            <w:r w:rsidRPr="008D66F6">
              <w:t>A</w:t>
            </w:r>
            <w:r w:rsidR="00945C45" w:rsidRPr="008D66F6">
              <w:t xml:space="preserve">pplies self-care strategies to support sustained wellbeing and effective service delivery to Community. </w:t>
            </w:r>
          </w:p>
        </w:tc>
      </w:tr>
      <w:tr w:rsidR="00300AB4" w:rsidRPr="00570FD2" w14:paraId="7EE2912E" w14:textId="77777777" w:rsidTr="002705BE">
        <w:trPr>
          <w:trHeight w:val="833"/>
        </w:trPr>
        <w:tc>
          <w:tcPr>
            <w:tcW w:w="3017" w:type="dxa"/>
          </w:tcPr>
          <w:p w14:paraId="0E02787E" w14:textId="52215919" w:rsidR="00300AB4" w:rsidRPr="007B467D" w:rsidRDefault="00300AB4" w:rsidP="007B467D">
            <w:pPr>
              <w:pStyle w:val="Tabletext"/>
              <w:rPr>
                <w:b/>
              </w:rPr>
            </w:pPr>
            <w:r w:rsidRPr="007B467D">
              <w:rPr>
                <w:b/>
              </w:rPr>
              <w:t>Practitioner wellbeing</w:t>
            </w:r>
          </w:p>
        </w:tc>
        <w:tc>
          <w:tcPr>
            <w:tcW w:w="11579" w:type="dxa"/>
          </w:tcPr>
          <w:p w14:paraId="7A3B6847" w14:textId="77777777" w:rsidR="00E667FC" w:rsidRPr="008D66F6" w:rsidRDefault="00C41655" w:rsidP="00E667FC">
            <w:pPr>
              <w:pStyle w:val="Tablebullet1"/>
            </w:pPr>
            <w:r w:rsidRPr="008D66F6">
              <w:t>In workin</w:t>
            </w:r>
            <w:r w:rsidR="00147A4F" w:rsidRPr="008D66F6">
              <w:t xml:space="preserve">g with </w:t>
            </w:r>
            <w:r w:rsidR="00744F2E" w:rsidRPr="008D66F6">
              <w:t xml:space="preserve">other organisations, services and practitioners, </w:t>
            </w:r>
            <w:r w:rsidR="00E97555" w:rsidRPr="008D66F6">
              <w:t xml:space="preserve">recognise </w:t>
            </w:r>
            <w:r w:rsidR="00744F2E" w:rsidRPr="008D66F6">
              <w:t>c</w:t>
            </w:r>
            <w:r w:rsidRPr="008D66F6">
              <w:t>ultural load</w:t>
            </w:r>
            <w:r w:rsidR="0003451A" w:rsidRPr="008D66F6">
              <w:t xml:space="preserve"> in </w:t>
            </w:r>
            <w:r w:rsidR="00600CD7" w:rsidRPr="008D66F6">
              <w:t>the</w:t>
            </w:r>
            <w:r w:rsidR="0003451A" w:rsidRPr="008D66F6">
              <w:t xml:space="preserve"> workloa</w:t>
            </w:r>
            <w:r w:rsidR="00C254D5" w:rsidRPr="008D66F6">
              <w:t>d</w:t>
            </w:r>
            <w:r w:rsidR="00E667FC" w:rsidRPr="008D66F6">
              <w:t xml:space="preserve">. </w:t>
            </w:r>
          </w:p>
          <w:p w14:paraId="0FD52469" w14:textId="39E28B14" w:rsidR="00300AB4" w:rsidRPr="008D66F6" w:rsidRDefault="00E667FC" w:rsidP="008D66F6">
            <w:pPr>
              <w:pStyle w:val="Tablebullet1"/>
            </w:pPr>
            <w:r w:rsidRPr="008D66F6">
              <w:t>E</w:t>
            </w:r>
            <w:r w:rsidR="0047110C" w:rsidRPr="008D66F6">
              <w:t>nsure</w:t>
            </w:r>
            <w:r w:rsidRPr="008D66F6">
              <w:t>s</w:t>
            </w:r>
            <w:r w:rsidR="004543F1" w:rsidRPr="008D66F6">
              <w:t xml:space="preserve"> </w:t>
            </w:r>
            <w:r w:rsidR="00F260C0" w:rsidRPr="008D66F6">
              <w:t>strategies are</w:t>
            </w:r>
            <w:r w:rsidR="00B72B8F" w:rsidRPr="008D66F6">
              <w:t xml:space="preserve"> in place to </w:t>
            </w:r>
            <w:r w:rsidR="00367CA1" w:rsidRPr="008D66F6">
              <w:t xml:space="preserve">understand, </w:t>
            </w:r>
            <w:r w:rsidR="00716D0B" w:rsidRPr="008D66F6">
              <w:t>manage and balanc</w:t>
            </w:r>
            <w:r w:rsidR="007543D6" w:rsidRPr="008D66F6">
              <w:t xml:space="preserve">e </w:t>
            </w:r>
            <w:r w:rsidR="002D00FF" w:rsidRPr="008D66F6">
              <w:t>expectations</w:t>
            </w:r>
            <w:r w:rsidR="00367CA1" w:rsidRPr="008D66F6">
              <w:t>.</w:t>
            </w:r>
          </w:p>
        </w:tc>
      </w:tr>
      <w:tr w:rsidR="00945C45" w:rsidRPr="00570FD2" w14:paraId="391FA613" w14:textId="77777777" w:rsidTr="002705BE">
        <w:trPr>
          <w:trHeight w:val="984"/>
        </w:trPr>
        <w:tc>
          <w:tcPr>
            <w:tcW w:w="3017" w:type="dxa"/>
          </w:tcPr>
          <w:p w14:paraId="15BCE4EB" w14:textId="0BB8B4D7" w:rsidR="00945C45" w:rsidRPr="007B467D" w:rsidRDefault="00945C45" w:rsidP="007B467D">
            <w:pPr>
              <w:pStyle w:val="Tabletext"/>
              <w:rPr>
                <w:b/>
              </w:rPr>
            </w:pPr>
            <w:r w:rsidRPr="007B467D">
              <w:rPr>
                <w:b/>
              </w:rPr>
              <w:t xml:space="preserve">Building </w:t>
            </w:r>
            <w:r w:rsidR="00AA186B" w:rsidRPr="007B467D">
              <w:rPr>
                <w:b/>
              </w:rPr>
              <w:t>p</w:t>
            </w:r>
            <w:r w:rsidRPr="007B467D">
              <w:rPr>
                <w:b/>
              </w:rPr>
              <w:t xml:space="preserve">eer </w:t>
            </w:r>
            <w:r w:rsidR="00AA186B" w:rsidRPr="007B467D">
              <w:rPr>
                <w:b/>
              </w:rPr>
              <w:t>n</w:t>
            </w:r>
            <w:r w:rsidRPr="007B467D">
              <w:rPr>
                <w:b/>
              </w:rPr>
              <w:t>etworks</w:t>
            </w:r>
          </w:p>
        </w:tc>
        <w:tc>
          <w:tcPr>
            <w:tcW w:w="11579" w:type="dxa"/>
          </w:tcPr>
          <w:p w14:paraId="0AA6B94E" w14:textId="77777777" w:rsidR="00945C45" w:rsidRPr="008D66F6" w:rsidRDefault="00945C45" w:rsidP="008D66F6">
            <w:pPr>
              <w:pStyle w:val="Tablebullet1"/>
            </w:pPr>
            <w:r w:rsidRPr="008D66F6">
              <w:t>Establishes and maintains collaborative working relationships with other key workers across Aboriginal and mainstream organisations with a view to achieving mutually agreed client/community outcomes.</w:t>
            </w:r>
          </w:p>
        </w:tc>
      </w:tr>
      <w:tr w:rsidR="00945C45" w:rsidRPr="00570FD2" w14:paraId="10D0A8D3" w14:textId="77777777" w:rsidTr="002705BE">
        <w:trPr>
          <w:trHeight w:val="703"/>
        </w:trPr>
        <w:tc>
          <w:tcPr>
            <w:tcW w:w="3017" w:type="dxa"/>
          </w:tcPr>
          <w:p w14:paraId="55544ED5" w14:textId="7E04F4E8" w:rsidR="00945C45" w:rsidRPr="007B467D" w:rsidRDefault="00945C45" w:rsidP="007B467D">
            <w:pPr>
              <w:pStyle w:val="Tabletext"/>
              <w:rPr>
                <w:b/>
              </w:rPr>
            </w:pPr>
            <w:r w:rsidRPr="007B467D">
              <w:rPr>
                <w:b/>
              </w:rPr>
              <w:t xml:space="preserve">Career </w:t>
            </w:r>
            <w:r w:rsidR="00467143" w:rsidRPr="007B467D">
              <w:rPr>
                <w:b/>
              </w:rPr>
              <w:t>planning</w:t>
            </w:r>
          </w:p>
        </w:tc>
        <w:tc>
          <w:tcPr>
            <w:tcW w:w="11579" w:type="dxa"/>
          </w:tcPr>
          <w:p w14:paraId="1E612B8E" w14:textId="450975D8" w:rsidR="00945C45" w:rsidRPr="008D66F6" w:rsidRDefault="00945C45" w:rsidP="008D66F6">
            <w:pPr>
              <w:pStyle w:val="Tablebullet1"/>
            </w:pPr>
            <w:r w:rsidRPr="008D66F6">
              <w:t>Sets achievable career objectives that align with their personal and professional values</w:t>
            </w:r>
            <w:r w:rsidR="00020979" w:rsidRPr="008D66F6">
              <w:t>. E</w:t>
            </w:r>
            <w:r w:rsidRPr="008D66F6">
              <w:t>ngages in professional development opportunities that support achievement of these objectives.</w:t>
            </w:r>
          </w:p>
        </w:tc>
      </w:tr>
    </w:tbl>
    <w:p w14:paraId="63F07B6A" w14:textId="77777777" w:rsidR="001B3D50" w:rsidRDefault="001B3D50" w:rsidP="00744A0F">
      <w:pPr>
        <w:spacing w:after="240"/>
        <w:sectPr w:rsidR="001B3D50" w:rsidSect="00A45592">
          <w:headerReference w:type="even" r:id="rId47"/>
          <w:headerReference w:type="default" r:id="rId48"/>
          <w:footerReference w:type="even" r:id="rId49"/>
          <w:pgSz w:w="16838" w:h="11906" w:orient="landscape" w:code="9"/>
          <w:pgMar w:top="851" w:right="709" w:bottom="851" w:left="709" w:header="340" w:footer="567" w:gutter="0"/>
          <w:cols w:space="340"/>
          <w:docGrid w:linePitch="360"/>
        </w:sectPr>
      </w:pPr>
    </w:p>
    <w:p w14:paraId="7F293F73" w14:textId="77777777" w:rsidR="001B3D50" w:rsidRDefault="001B3D50" w:rsidP="001B3D50">
      <w:pPr>
        <w:pStyle w:val="Heading1"/>
      </w:pPr>
      <w:bookmarkStart w:id="65" w:name="_Toc221790899"/>
      <w:r w:rsidRPr="001B3D50">
        <w:lastRenderedPageBreak/>
        <w:t>Appendix 4: Figure descriptions</w:t>
      </w:r>
      <w:bookmarkEnd w:id="65"/>
    </w:p>
    <w:p w14:paraId="05AD8E88" w14:textId="2A792353" w:rsidR="00EB4BC7" w:rsidRDefault="001B3D50" w:rsidP="007F73B7">
      <w:pPr>
        <w:pStyle w:val="Heading2"/>
      </w:pPr>
      <w:bookmarkStart w:id="66" w:name="_Toc221790900"/>
      <w:r>
        <w:t xml:space="preserve">Text </w:t>
      </w:r>
      <w:r w:rsidR="00EA61B8">
        <w:t>description</w:t>
      </w:r>
      <w:r>
        <w:t xml:space="preserve"> of </w:t>
      </w:r>
      <w:r w:rsidR="00EA61B8">
        <w:t>‘</w:t>
      </w:r>
      <w:r>
        <w:t xml:space="preserve">Figure 4: </w:t>
      </w:r>
      <w:r w:rsidRPr="001B3D50">
        <w:t>The Professional Learning Framework of the Graduate Program'</w:t>
      </w:r>
      <w:bookmarkEnd w:id="66"/>
    </w:p>
    <w:p w14:paraId="63E1F68F" w14:textId="0F89B5B9" w:rsidR="009D245E" w:rsidRDefault="00C82E38" w:rsidP="00330531">
      <w:pPr>
        <w:pStyle w:val="Heading3"/>
      </w:pPr>
      <w:r>
        <w:t xml:space="preserve">Learning </w:t>
      </w:r>
      <w:r w:rsidR="00330531">
        <w:t xml:space="preserve">Domain: Sector and </w:t>
      </w:r>
      <w:r w:rsidR="003E2B7E">
        <w:t>o</w:t>
      </w:r>
      <w:r w:rsidR="00330531">
        <w:t>rganisational contexts o</w:t>
      </w:r>
      <w:r w:rsidR="003E2B7E">
        <w:t>f p</w:t>
      </w:r>
      <w:r w:rsidR="00330531">
        <w:t xml:space="preserve">ractice </w:t>
      </w:r>
    </w:p>
    <w:p w14:paraId="6ABEF858" w14:textId="77777777" w:rsidR="007F73B7" w:rsidRDefault="00304D7C" w:rsidP="007F73B7">
      <w:pPr>
        <w:pStyle w:val="Body"/>
      </w:pPr>
      <w:r>
        <w:t xml:space="preserve">The following Learning Areas fall under </w:t>
      </w:r>
      <w:r w:rsidR="007F73B7">
        <w:t xml:space="preserve">this Learning Domain: </w:t>
      </w:r>
    </w:p>
    <w:p w14:paraId="1E02349F" w14:textId="46920462" w:rsidR="0033762D" w:rsidRDefault="0033762D" w:rsidP="00DA72B3">
      <w:pPr>
        <w:pStyle w:val="Bullet1"/>
      </w:pPr>
      <w:r>
        <w:t xml:space="preserve">Whole-of-system literacy </w:t>
      </w:r>
    </w:p>
    <w:p w14:paraId="473E87D0" w14:textId="19FF3D53" w:rsidR="0033762D" w:rsidRDefault="0033762D" w:rsidP="00DA72B3">
      <w:pPr>
        <w:pStyle w:val="Bullet1"/>
      </w:pPr>
      <w:r>
        <w:t>Roles and functions of different services</w:t>
      </w:r>
    </w:p>
    <w:p w14:paraId="5E4E7F01" w14:textId="3021078B" w:rsidR="0033762D" w:rsidRDefault="0033762D" w:rsidP="00DA72B3">
      <w:pPr>
        <w:pStyle w:val="Bullet1"/>
      </w:pPr>
      <w:r>
        <w:t>Legal frameworks and obligations</w:t>
      </w:r>
    </w:p>
    <w:p w14:paraId="59C51B1D" w14:textId="608D0102" w:rsidR="0033762D" w:rsidRDefault="002717FE" w:rsidP="00DA72B3">
      <w:pPr>
        <w:pStyle w:val="Bullet1"/>
      </w:pPr>
      <w:r>
        <w:t>Service user groups and communities</w:t>
      </w:r>
    </w:p>
    <w:p w14:paraId="0E139468" w14:textId="73319954" w:rsidR="002717FE" w:rsidRPr="0033762D" w:rsidRDefault="002717FE" w:rsidP="00DA72B3">
      <w:pPr>
        <w:pStyle w:val="Bullet1"/>
      </w:pPr>
      <w:r>
        <w:t xml:space="preserve">Aboriginal self-determination </w:t>
      </w:r>
    </w:p>
    <w:p w14:paraId="031FED61" w14:textId="17CF549D" w:rsidR="00330531" w:rsidRDefault="003E2B7E" w:rsidP="003E2B7E">
      <w:pPr>
        <w:pStyle w:val="Heading3"/>
      </w:pPr>
      <w:r>
        <w:t xml:space="preserve">Learning Domain: </w:t>
      </w:r>
      <w:r w:rsidR="00330531">
        <w:t xml:space="preserve">Effective and culturally responsive practice </w:t>
      </w:r>
    </w:p>
    <w:p w14:paraId="22A54DEC" w14:textId="1941CA30" w:rsidR="00610878" w:rsidRPr="00610878" w:rsidRDefault="00610878" w:rsidP="00610878">
      <w:pPr>
        <w:pStyle w:val="Body"/>
      </w:pPr>
      <w:r>
        <w:t xml:space="preserve">The following Learning Areas fall under this Learning Domain: </w:t>
      </w:r>
    </w:p>
    <w:p w14:paraId="057AF0B9" w14:textId="6A13EB1F" w:rsidR="0010641F" w:rsidRDefault="0010641F" w:rsidP="00A73F45">
      <w:pPr>
        <w:pStyle w:val="Heading4"/>
      </w:pPr>
      <w:r>
        <w:t xml:space="preserve">Professional communication and engagement </w:t>
      </w:r>
    </w:p>
    <w:p w14:paraId="5A2599E6" w14:textId="02C23C16" w:rsidR="00610878" w:rsidRDefault="00693159" w:rsidP="00DA72B3">
      <w:pPr>
        <w:pStyle w:val="Bullet1"/>
      </w:pPr>
      <w:r>
        <w:t xml:space="preserve">Engaging effectively with people individually and in groups </w:t>
      </w:r>
    </w:p>
    <w:p w14:paraId="26FF9077" w14:textId="72FFB979" w:rsidR="00693159" w:rsidRDefault="00693159" w:rsidP="00DA72B3">
      <w:pPr>
        <w:pStyle w:val="Bullet1"/>
      </w:pPr>
      <w:r>
        <w:t>Working towards change with service-users</w:t>
      </w:r>
    </w:p>
    <w:p w14:paraId="2FDD27E3" w14:textId="5C477B5F" w:rsidR="00693159" w:rsidRDefault="00B0610C" w:rsidP="00DA72B3">
      <w:pPr>
        <w:pStyle w:val="Bullet1"/>
      </w:pPr>
      <w:r>
        <w:t>Working</w:t>
      </w:r>
      <w:r w:rsidR="00636B70">
        <w:t xml:space="preserve"> with involuntary and/or reluctant </w:t>
      </w:r>
      <w:r>
        <w:t>service users</w:t>
      </w:r>
    </w:p>
    <w:p w14:paraId="35F8B633" w14:textId="0BA12F69" w:rsidR="00B0610C" w:rsidRPr="00610878" w:rsidRDefault="00B0610C" w:rsidP="00DA72B3">
      <w:pPr>
        <w:pStyle w:val="Bullet1"/>
      </w:pPr>
      <w:r>
        <w:t xml:space="preserve">Effective documentation </w:t>
      </w:r>
    </w:p>
    <w:p w14:paraId="5E004D45" w14:textId="77777777" w:rsidR="00B0610C" w:rsidRDefault="00A65A60" w:rsidP="00A73F45">
      <w:pPr>
        <w:pStyle w:val="Heading4"/>
      </w:pPr>
      <w:r>
        <w:t>Evidence and expertise informed practice</w:t>
      </w:r>
    </w:p>
    <w:p w14:paraId="6173030C" w14:textId="2FF2F581" w:rsidR="0010641F" w:rsidRDefault="00B0610C" w:rsidP="00DA72B3">
      <w:pPr>
        <w:pStyle w:val="Bullet1"/>
      </w:pPr>
      <w:r>
        <w:t xml:space="preserve">Sourcing </w:t>
      </w:r>
      <w:r w:rsidR="00277757">
        <w:t>and appraising evidence and expertise for practice</w:t>
      </w:r>
      <w:r w:rsidR="00A65A60">
        <w:t xml:space="preserve"> </w:t>
      </w:r>
    </w:p>
    <w:p w14:paraId="08A1087C" w14:textId="7B96D3A5" w:rsidR="00277757" w:rsidRDefault="004F2C14" w:rsidP="00DA72B3">
      <w:pPr>
        <w:pStyle w:val="Bullet1"/>
      </w:pPr>
      <w:r>
        <w:t xml:space="preserve">Integrating professional knowledge or practice </w:t>
      </w:r>
    </w:p>
    <w:p w14:paraId="5FA170B0" w14:textId="5E7AA4F7" w:rsidR="004F2C14" w:rsidRDefault="004F2C14" w:rsidP="00DA72B3">
      <w:pPr>
        <w:pStyle w:val="Bullet1"/>
      </w:pPr>
      <w:r>
        <w:t xml:space="preserve">Child safety, development and wellbeing </w:t>
      </w:r>
    </w:p>
    <w:p w14:paraId="66363B36" w14:textId="7548222F" w:rsidR="004F2C14" w:rsidRDefault="00D8429A" w:rsidP="00DA72B3">
      <w:pPr>
        <w:pStyle w:val="Bullet1"/>
      </w:pPr>
      <w:r>
        <w:t xml:space="preserve">Family violence and sexual assault </w:t>
      </w:r>
    </w:p>
    <w:p w14:paraId="2100180F" w14:textId="4B3CEF91" w:rsidR="00D8429A" w:rsidRDefault="00D8429A" w:rsidP="00DA72B3">
      <w:pPr>
        <w:pStyle w:val="Bullet1"/>
      </w:pPr>
      <w:r>
        <w:t xml:space="preserve">Health and mental health </w:t>
      </w:r>
    </w:p>
    <w:p w14:paraId="78B6A756" w14:textId="0BB1CEB2" w:rsidR="00D8429A" w:rsidRDefault="00D8429A" w:rsidP="00DA72B3">
      <w:pPr>
        <w:pStyle w:val="Bullet1"/>
      </w:pPr>
      <w:r>
        <w:t>Housing insecurity and homelessness</w:t>
      </w:r>
    </w:p>
    <w:p w14:paraId="558D49B2" w14:textId="4A1C3838" w:rsidR="00D8429A" w:rsidRDefault="00D8429A" w:rsidP="00DA72B3">
      <w:pPr>
        <w:pStyle w:val="Bullet1"/>
      </w:pPr>
      <w:r>
        <w:t xml:space="preserve">Disability, accessibility and inclusion </w:t>
      </w:r>
    </w:p>
    <w:p w14:paraId="469F8C53" w14:textId="666C3720" w:rsidR="00A65A60" w:rsidRDefault="00A65A60" w:rsidP="00A73F45">
      <w:pPr>
        <w:pStyle w:val="Heading4"/>
      </w:pPr>
      <w:r>
        <w:t xml:space="preserve">Cultural capability </w:t>
      </w:r>
    </w:p>
    <w:p w14:paraId="0AE397F4" w14:textId="3F62023A" w:rsidR="00402DB0" w:rsidRDefault="00402DB0" w:rsidP="00DA72B3">
      <w:pPr>
        <w:pStyle w:val="Bullet1"/>
      </w:pPr>
      <w:r>
        <w:t xml:space="preserve">Culturally responsive practice with Aboriginal people and communities </w:t>
      </w:r>
    </w:p>
    <w:p w14:paraId="42C4069E" w14:textId="5872491C" w:rsidR="00402DB0" w:rsidRPr="00402DB0" w:rsidRDefault="001D4AFA" w:rsidP="00DA72B3">
      <w:pPr>
        <w:pStyle w:val="Bullet1"/>
      </w:pPr>
      <w:r>
        <w:t xml:space="preserve">Responsive practice across cultures and communities </w:t>
      </w:r>
    </w:p>
    <w:p w14:paraId="6B0A3F32" w14:textId="165974A1" w:rsidR="00A65A60" w:rsidRDefault="00A65A60" w:rsidP="00A73F45">
      <w:pPr>
        <w:pStyle w:val="Heading4"/>
      </w:pPr>
      <w:r>
        <w:t xml:space="preserve">Holistic and ethical practice </w:t>
      </w:r>
    </w:p>
    <w:p w14:paraId="401FEED8" w14:textId="43A99C9C" w:rsidR="001D4AFA" w:rsidRDefault="001D4AFA" w:rsidP="00DA72B3">
      <w:pPr>
        <w:pStyle w:val="Bullet1"/>
      </w:pPr>
      <w:r>
        <w:t>Rights</w:t>
      </w:r>
      <w:r w:rsidR="00CF7D5E">
        <w:t>-</w:t>
      </w:r>
      <w:r>
        <w:t>based</w:t>
      </w:r>
      <w:r w:rsidR="00CF7D5E">
        <w:t xml:space="preserve">, person-centred and strengths-focused practice </w:t>
      </w:r>
    </w:p>
    <w:p w14:paraId="116E6199" w14:textId="104291F5" w:rsidR="00CF7D5E" w:rsidRDefault="00CF7D5E" w:rsidP="00DA72B3">
      <w:pPr>
        <w:pStyle w:val="Bullet1"/>
      </w:pPr>
      <w:r>
        <w:t xml:space="preserve">Trauma responsive practice </w:t>
      </w:r>
    </w:p>
    <w:p w14:paraId="6A1F9B5A" w14:textId="41F2452B" w:rsidR="00CF7D5E" w:rsidRDefault="00CF7D5E" w:rsidP="00DA72B3">
      <w:pPr>
        <w:pStyle w:val="Bullet1"/>
      </w:pPr>
      <w:r>
        <w:t>Working with an intersectional lens</w:t>
      </w:r>
    </w:p>
    <w:p w14:paraId="6FD310DC" w14:textId="3A0C3920" w:rsidR="00CF7D5E" w:rsidRDefault="00CF7D5E" w:rsidP="00DA72B3">
      <w:pPr>
        <w:pStyle w:val="Bullet1"/>
      </w:pPr>
      <w:r>
        <w:t xml:space="preserve">Ethical decision making </w:t>
      </w:r>
    </w:p>
    <w:p w14:paraId="30A1EE2B" w14:textId="2138C15E" w:rsidR="00CF7D5E" w:rsidRDefault="00CF7D5E" w:rsidP="00DA72B3">
      <w:pPr>
        <w:pStyle w:val="Bullet1"/>
      </w:pPr>
      <w:r>
        <w:t xml:space="preserve">Managing risk </w:t>
      </w:r>
    </w:p>
    <w:p w14:paraId="349CBEDC" w14:textId="22A72283" w:rsidR="001D4AFA" w:rsidRPr="001D4AFA" w:rsidRDefault="00CF7D5E" w:rsidP="00DA72B3">
      <w:pPr>
        <w:pStyle w:val="Bullet1"/>
      </w:pPr>
      <w:r>
        <w:t xml:space="preserve">Outcomes focused </w:t>
      </w:r>
    </w:p>
    <w:p w14:paraId="3D26E9AA" w14:textId="77777777" w:rsidR="00592AC7" w:rsidRDefault="00A73F45" w:rsidP="00A73F45">
      <w:pPr>
        <w:pStyle w:val="Heading4"/>
      </w:pPr>
      <w:r>
        <w:lastRenderedPageBreak/>
        <w:t>Collaborative practice</w:t>
      </w:r>
    </w:p>
    <w:p w14:paraId="39DE24DF" w14:textId="79977588" w:rsidR="00A73F45" w:rsidRDefault="00592AC7" w:rsidP="00DA72B3">
      <w:pPr>
        <w:pStyle w:val="Bullet1"/>
      </w:pPr>
      <w:r>
        <w:t xml:space="preserve">Collaborating across systems and sectors </w:t>
      </w:r>
    </w:p>
    <w:p w14:paraId="7F102B2D" w14:textId="1055977B" w:rsidR="00592AC7" w:rsidRDefault="00592AC7" w:rsidP="00DA72B3">
      <w:pPr>
        <w:pStyle w:val="Bullet1"/>
      </w:pPr>
      <w:r>
        <w:t xml:space="preserve">Collaborating with service users and engaging lived experience </w:t>
      </w:r>
    </w:p>
    <w:p w14:paraId="4820CB56" w14:textId="660122D4" w:rsidR="00592AC7" w:rsidRDefault="00592AC7" w:rsidP="00DA72B3">
      <w:pPr>
        <w:pStyle w:val="Bullet1"/>
      </w:pPr>
      <w:r>
        <w:t xml:space="preserve">Community resources and referral pathways </w:t>
      </w:r>
    </w:p>
    <w:p w14:paraId="66336B73" w14:textId="62E5AB17" w:rsidR="00592AC7" w:rsidRPr="0010641F" w:rsidRDefault="00592AC7" w:rsidP="00DA72B3">
      <w:pPr>
        <w:pStyle w:val="Bullet1"/>
      </w:pPr>
      <w:r>
        <w:t xml:space="preserve">Professional networks for advocacy </w:t>
      </w:r>
    </w:p>
    <w:p w14:paraId="476A70FC" w14:textId="11548A8F" w:rsidR="003E2B7E" w:rsidRDefault="003E2B7E" w:rsidP="003E2B7E">
      <w:pPr>
        <w:pStyle w:val="Heading3"/>
      </w:pPr>
      <w:r>
        <w:t xml:space="preserve">Learning Domain: Professional self </w:t>
      </w:r>
    </w:p>
    <w:p w14:paraId="2755A397" w14:textId="32E23361" w:rsidR="00DF0A6A" w:rsidRDefault="00DF0A6A" w:rsidP="00DA72B3">
      <w:pPr>
        <w:pStyle w:val="Bullet1"/>
      </w:pPr>
      <w:r>
        <w:t>Reflective practice models</w:t>
      </w:r>
    </w:p>
    <w:p w14:paraId="05D8E8B9" w14:textId="50D63181" w:rsidR="00DF0A6A" w:rsidRDefault="00DF0A6A" w:rsidP="00DA72B3">
      <w:pPr>
        <w:pStyle w:val="Bullet1"/>
      </w:pPr>
      <w:r>
        <w:t xml:space="preserve">Compassion fatigue, vicarious trauma and burnout </w:t>
      </w:r>
    </w:p>
    <w:p w14:paraId="68C35A81" w14:textId="7586BE47" w:rsidR="00DF0A6A" w:rsidRDefault="00DF0A6A" w:rsidP="00DA72B3">
      <w:pPr>
        <w:pStyle w:val="Bullet1"/>
      </w:pPr>
      <w:r>
        <w:t xml:space="preserve">Practitioner wellbeing </w:t>
      </w:r>
    </w:p>
    <w:p w14:paraId="7817ECDD" w14:textId="6B5424CF" w:rsidR="00DF0A6A" w:rsidRDefault="00AB04A5" w:rsidP="00DA72B3">
      <w:pPr>
        <w:pStyle w:val="Bullet1"/>
      </w:pPr>
      <w:r>
        <w:t xml:space="preserve">Building peer networks </w:t>
      </w:r>
    </w:p>
    <w:p w14:paraId="40574ECB" w14:textId="5D45072E" w:rsidR="00AB04A5" w:rsidRDefault="00AB04A5" w:rsidP="00DA72B3">
      <w:pPr>
        <w:pStyle w:val="Bullet1"/>
      </w:pPr>
      <w:r>
        <w:t xml:space="preserve">Career planning </w:t>
      </w:r>
    </w:p>
    <w:sectPr w:rsidR="00AB04A5" w:rsidSect="0085199C">
      <w:pgSz w:w="11906" w:h="16838" w:code="9"/>
      <w:pgMar w:top="1418" w:right="1304" w:bottom="851" w:left="709"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935C" w14:textId="77777777" w:rsidR="000774CD" w:rsidRDefault="000774CD">
      <w:r>
        <w:separator/>
      </w:r>
    </w:p>
    <w:p w14:paraId="17FFED1E" w14:textId="77777777" w:rsidR="000774CD" w:rsidRDefault="000774CD"/>
  </w:endnote>
  <w:endnote w:type="continuationSeparator" w:id="0">
    <w:p w14:paraId="1EE0A350" w14:textId="77777777" w:rsidR="000774CD" w:rsidRDefault="000774CD">
      <w:r>
        <w:continuationSeparator/>
      </w:r>
    </w:p>
    <w:p w14:paraId="2AE5E478" w14:textId="77777777" w:rsidR="000774CD" w:rsidRDefault="000774CD"/>
  </w:endnote>
  <w:endnote w:type="continuationNotice" w:id="1">
    <w:p w14:paraId="08F744B6" w14:textId="77777777" w:rsidR="000774CD" w:rsidRDefault="000774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SemiBold">
    <w:panose1 w:val="000007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210AD77F" w:rsidR="00EB4BC7" w:rsidRDefault="00EF27C3">
    <w:pPr>
      <w:pStyle w:val="Footer"/>
    </w:pPr>
    <w:r>
      <w:rPr>
        <w:noProof/>
      </w:rPr>
      <mc:AlternateContent>
        <mc:Choice Requires="wps">
          <w:drawing>
            <wp:anchor distT="0" distB="0" distL="0" distR="0" simplePos="0" relativeHeight="251658242" behindDoc="0" locked="0" layoutInCell="1" allowOverlap="1" wp14:anchorId="37F9E287" wp14:editId="438C56ED">
              <wp:simplePos x="635" y="635"/>
              <wp:positionH relativeFrom="page">
                <wp:align>center</wp:align>
              </wp:positionH>
              <wp:positionV relativeFrom="page">
                <wp:align>bottom</wp:align>
              </wp:positionV>
              <wp:extent cx="656590" cy="369570"/>
              <wp:effectExtent l="0" t="0" r="10160" b="0"/>
              <wp:wrapNone/>
              <wp:docPr id="112873962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A4EBBC2" w14:textId="6985E4E7" w:rsidR="00EF27C3" w:rsidRPr="00EF27C3" w:rsidRDefault="00EF27C3" w:rsidP="00EF27C3">
                          <w:pPr>
                            <w:spacing w:after="0"/>
                            <w:rPr>
                              <w:rFonts w:ascii="Arial Black" w:eastAsia="Arial Black" w:hAnsi="Arial Black" w:cs="Arial Black"/>
                              <w:noProof/>
                              <w:color w:val="000000"/>
                              <w:sz w:val="20"/>
                            </w:rPr>
                          </w:pPr>
                          <w:r w:rsidRPr="00EF27C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F9E287"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6A4EBBC2" w14:textId="6985E4E7" w:rsidR="00EF27C3" w:rsidRPr="00EF27C3" w:rsidRDefault="00EF27C3" w:rsidP="00EF27C3">
                    <w:pPr>
                      <w:spacing w:after="0"/>
                      <w:rPr>
                        <w:rFonts w:ascii="Arial Black" w:eastAsia="Arial Black" w:hAnsi="Arial Black" w:cs="Arial Black"/>
                        <w:noProof/>
                        <w:color w:val="000000"/>
                        <w:sz w:val="20"/>
                      </w:rPr>
                    </w:pPr>
                    <w:r w:rsidRPr="00EF27C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8E1F07C" w:rsidR="00431A70" w:rsidRDefault="00EF27C3">
    <w:pPr>
      <w:pStyle w:val="Footer"/>
    </w:pPr>
    <w:r>
      <w:rPr>
        <w:noProof/>
      </w:rPr>
      <mc:AlternateContent>
        <mc:Choice Requires="wps">
          <w:drawing>
            <wp:anchor distT="0" distB="0" distL="0" distR="0" simplePos="0" relativeHeight="251658243" behindDoc="0" locked="0" layoutInCell="1" allowOverlap="1" wp14:anchorId="0ED3C028" wp14:editId="29869E05">
              <wp:simplePos x="635" y="635"/>
              <wp:positionH relativeFrom="page">
                <wp:align>center</wp:align>
              </wp:positionH>
              <wp:positionV relativeFrom="page">
                <wp:align>bottom</wp:align>
              </wp:positionV>
              <wp:extent cx="656590" cy="369570"/>
              <wp:effectExtent l="0" t="0" r="10160" b="0"/>
              <wp:wrapNone/>
              <wp:docPr id="155629375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2C96B6D" w14:textId="342B321B" w:rsidR="00EF27C3" w:rsidRPr="00EF27C3" w:rsidRDefault="00EF27C3" w:rsidP="00EF27C3">
                          <w:pPr>
                            <w:spacing w:after="0"/>
                            <w:rPr>
                              <w:rFonts w:ascii="Arial Black" w:eastAsia="Arial Black" w:hAnsi="Arial Black" w:cs="Arial Black"/>
                              <w:noProof/>
                              <w:color w:val="000000"/>
                              <w:sz w:val="20"/>
                            </w:rPr>
                          </w:pPr>
                          <w:r w:rsidRPr="00EF27C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D3C028"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72C96B6D" w14:textId="342B321B" w:rsidR="00EF27C3" w:rsidRPr="00EF27C3" w:rsidRDefault="00EF27C3" w:rsidP="00EF27C3">
                    <w:pPr>
                      <w:spacing w:after="0"/>
                      <w:rPr>
                        <w:rFonts w:ascii="Arial Black" w:eastAsia="Arial Black" w:hAnsi="Arial Black" w:cs="Arial Black"/>
                        <w:noProof/>
                        <w:color w:val="000000"/>
                        <w:sz w:val="20"/>
                      </w:rPr>
                    </w:pPr>
                    <w:r w:rsidRPr="00EF27C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218A174A" w:rsidR="00EB4BC7" w:rsidRDefault="00EF27C3">
    <w:pPr>
      <w:pStyle w:val="Footer"/>
    </w:pPr>
    <w:r>
      <w:rPr>
        <w:noProof/>
      </w:rPr>
      <mc:AlternateContent>
        <mc:Choice Requires="wps">
          <w:drawing>
            <wp:anchor distT="0" distB="0" distL="0" distR="0" simplePos="0" relativeHeight="251658241" behindDoc="0" locked="0" layoutInCell="1" allowOverlap="1" wp14:anchorId="49AC37CA" wp14:editId="699A6FB3">
              <wp:simplePos x="914400" y="10106025"/>
              <wp:positionH relativeFrom="page">
                <wp:align>center</wp:align>
              </wp:positionH>
              <wp:positionV relativeFrom="page">
                <wp:align>bottom</wp:align>
              </wp:positionV>
              <wp:extent cx="656590" cy="369570"/>
              <wp:effectExtent l="0" t="0" r="10160" b="0"/>
              <wp:wrapNone/>
              <wp:docPr id="97804975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8E08F36" w14:textId="09E2E85B" w:rsidR="00EF27C3" w:rsidRPr="00EF27C3" w:rsidRDefault="00EF27C3" w:rsidP="00EF27C3">
                          <w:pPr>
                            <w:spacing w:after="0"/>
                            <w:rPr>
                              <w:rFonts w:ascii="Arial Black" w:eastAsia="Arial Black" w:hAnsi="Arial Black" w:cs="Arial Black"/>
                              <w:noProof/>
                              <w:color w:val="000000"/>
                              <w:sz w:val="20"/>
                            </w:rPr>
                          </w:pPr>
                          <w:r w:rsidRPr="00EF27C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AC37CA"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68E08F36" w14:textId="09E2E85B" w:rsidR="00EF27C3" w:rsidRPr="00EF27C3" w:rsidRDefault="00EF27C3" w:rsidP="00EF27C3">
                    <w:pPr>
                      <w:spacing w:after="0"/>
                      <w:rPr>
                        <w:rFonts w:ascii="Arial Black" w:eastAsia="Arial Black" w:hAnsi="Arial Black" w:cs="Arial Black"/>
                        <w:noProof/>
                        <w:color w:val="000000"/>
                        <w:sz w:val="20"/>
                      </w:rPr>
                    </w:pPr>
                    <w:r w:rsidRPr="00EF27C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86F5" w14:textId="61ACFCF8" w:rsidR="00EE5672" w:rsidRDefault="00EF27C3">
    <w:pPr>
      <w:pStyle w:val="Footer"/>
    </w:pPr>
    <w:r>
      <w:rPr>
        <w:noProof/>
      </w:rPr>
      <mc:AlternateContent>
        <mc:Choice Requires="wps">
          <w:drawing>
            <wp:anchor distT="0" distB="0" distL="0" distR="0" simplePos="0" relativeHeight="251658245" behindDoc="0" locked="0" layoutInCell="1" allowOverlap="1" wp14:anchorId="4471922F" wp14:editId="069CFA55">
              <wp:simplePos x="635" y="635"/>
              <wp:positionH relativeFrom="page">
                <wp:align>center</wp:align>
              </wp:positionH>
              <wp:positionV relativeFrom="page">
                <wp:align>bottom</wp:align>
              </wp:positionV>
              <wp:extent cx="656590" cy="369570"/>
              <wp:effectExtent l="0" t="0" r="10160" b="0"/>
              <wp:wrapNone/>
              <wp:docPr id="70213402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295945C" w14:textId="4F695DD2" w:rsidR="00EF27C3" w:rsidRPr="00EF27C3" w:rsidRDefault="00EF27C3" w:rsidP="00EF27C3">
                          <w:pPr>
                            <w:spacing w:after="0"/>
                            <w:rPr>
                              <w:rFonts w:ascii="Arial Black" w:eastAsia="Arial Black" w:hAnsi="Arial Black" w:cs="Arial Black"/>
                              <w:noProof/>
                              <w:color w:val="000000"/>
                              <w:sz w:val="20"/>
                            </w:rPr>
                          </w:pPr>
                          <w:r w:rsidRPr="00EF27C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71922F" id="_x0000_t202" coordsize="21600,21600" o:spt="202" path="m,l,21600r21600,l21600,xe">
              <v:stroke joinstyle="miter"/>
              <v:path gradientshapeok="t" o:connecttype="rect"/>
            </v:shapetype>
            <v:shape id="Text Box 7" o:spid="_x0000_s1030" type="#_x0000_t202" alt="OFFICIAL" style="position:absolute;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5295945C" w14:textId="4F695DD2" w:rsidR="00EF27C3" w:rsidRPr="00EF27C3" w:rsidRDefault="00EF27C3" w:rsidP="00EF27C3">
                    <w:pPr>
                      <w:spacing w:after="0"/>
                      <w:rPr>
                        <w:rFonts w:ascii="Arial Black" w:eastAsia="Arial Black" w:hAnsi="Arial Black" w:cs="Arial Black"/>
                        <w:noProof/>
                        <w:color w:val="000000"/>
                        <w:sz w:val="20"/>
                      </w:rPr>
                    </w:pPr>
                    <w:r w:rsidRPr="00EF27C3">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6C80" w14:textId="202B5681" w:rsidR="00096643" w:rsidRDefault="00EF27C3">
    <w:pPr>
      <w:pStyle w:val="Footer"/>
      <w:jc w:val="right"/>
    </w:pPr>
    <w:r>
      <w:rPr>
        <w:noProof/>
      </w:rPr>
      <mc:AlternateContent>
        <mc:Choice Requires="wps">
          <w:drawing>
            <wp:anchor distT="0" distB="0" distL="0" distR="0" simplePos="0" relativeHeight="251658246" behindDoc="0" locked="0" layoutInCell="1" allowOverlap="1" wp14:anchorId="30D7E47D" wp14:editId="5C149103">
              <wp:simplePos x="635" y="635"/>
              <wp:positionH relativeFrom="page">
                <wp:align>center</wp:align>
              </wp:positionH>
              <wp:positionV relativeFrom="page">
                <wp:align>bottom</wp:align>
              </wp:positionV>
              <wp:extent cx="656590" cy="369570"/>
              <wp:effectExtent l="0" t="0" r="10160" b="0"/>
              <wp:wrapNone/>
              <wp:docPr id="151951844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7032EF0" w14:textId="602C9AF5" w:rsidR="00EF27C3" w:rsidRPr="00EF27C3" w:rsidRDefault="00EF27C3" w:rsidP="00EF27C3">
                          <w:pPr>
                            <w:spacing w:after="0"/>
                            <w:rPr>
                              <w:rFonts w:ascii="Arial Black" w:eastAsia="Arial Black" w:hAnsi="Arial Black" w:cs="Arial Black"/>
                              <w:noProof/>
                              <w:color w:val="000000"/>
                              <w:sz w:val="20"/>
                            </w:rPr>
                          </w:pPr>
                          <w:r w:rsidRPr="00EF27C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D7E47D" id="_x0000_t202" coordsize="21600,21600" o:spt="202" path="m,l,21600r21600,l21600,xe">
              <v:stroke joinstyle="miter"/>
              <v:path gradientshapeok="t" o:connecttype="rect"/>
            </v:shapetype>
            <v:shape id="Text Box 8" o:spid="_x0000_s1031" type="#_x0000_t202" alt="OFFICIAL" style="position:absolute;left:0;text-align:left;margin-left:0;margin-top:0;width:51.7pt;height:29.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47032EF0" w14:textId="602C9AF5" w:rsidR="00EF27C3" w:rsidRPr="00EF27C3" w:rsidRDefault="00EF27C3" w:rsidP="00EF27C3">
                    <w:pPr>
                      <w:spacing w:after="0"/>
                      <w:rPr>
                        <w:rFonts w:ascii="Arial Black" w:eastAsia="Arial Black" w:hAnsi="Arial Black" w:cs="Arial Black"/>
                        <w:noProof/>
                        <w:color w:val="000000"/>
                        <w:sz w:val="20"/>
                      </w:rPr>
                    </w:pPr>
                    <w:r w:rsidRPr="00EF27C3">
                      <w:rPr>
                        <w:rFonts w:ascii="Arial Black" w:eastAsia="Arial Black" w:hAnsi="Arial Black" w:cs="Arial Black"/>
                        <w:noProof/>
                        <w:color w:val="000000"/>
                        <w:sz w:val="20"/>
                      </w:rPr>
                      <w:t>OFFICIAL</w:t>
                    </w:r>
                  </w:p>
                </w:txbxContent>
              </v:textbox>
              <w10:wrap anchorx="page" anchory="page"/>
            </v:shape>
          </w:pict>
        </mc:Fallback>
      </mc:AlternateContent>
    </w:r>
  </w:p>
  <w:p w14:paraId="07C4F667" w14:textId="7F81AA55" w:rsidR="00EE5672" w:rsidRDefault="00EE5672" w:rsidP="00DC00C1">
    <w:pPr>
      <w:pStyle w:val="Footer"/>
      <w:tabs>
        <w:tab w:val="left" w:pos="3667"/>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F177" w14:textId="39400CD2" w:rsidR="00BE7A12" w:rsidRDefault="00EF27C3">
    <w:pPr>
      <w:pStyle w:val="Footer"/>
      <w:jc w:val="right"/>
    </w:pPr>
    <w:r>
      <w:rPr>
        <w:noProof/>
      </w:rPr>
      <mc:AlternateContent>
        <mc:Choice Requires="wps">
          <w:drawing>
            <wp:anchor distT="0" distB="0" distL="0" distR="0" simplePos="0" relativeHeight="251658244" behindDoc="0" locked="0" layoutInCell="1" allowOverlap="1" wp14:anchorId="69389ACB" wp14:editId="4B0455C9">
              <wp:simplePos x="635" y="635"/>
              <wp:positionH relativeFrom="page">
                <wp:align>center</wp:align>
              </wp:positionH>
              <wp:positionV relativeFrom="page">
                <wp:align>bottom</wp:align>
              </wp:positionV>
              <wp:extent cx="656590" cy="369570"/>
              <wp:effectExtent l="0" t="0" r="10160" b="0"/>
              <wp:wrapNone/>
              <wp:docPr id="17120302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A9C95EE" w14:textId="1430B171" w:rsidR="00EF27C3" w:rsidRPr="00EF27C3" w:rsidRDefault="00EF27C3" w:rsidP="00EF27C3">
                          <w:pPr>
                            <w:spacing w:after="0"/>
                            <w:rPr>
                              <w:rFonts w:ascii="Arial Black" w:eastAsia="Arial Black" w:hAnsi="Arial Black" w:cs="Arial Black"/>
                              <w:noProof/>
                              <w:color w:val="000000"/>
                              <w:sz w:val="20"/>
                            </w:rPr>
                          </w:pPr>
                          <w:r w:rsidRPr="00EF27C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89ACB" id="_x0000_t202" coordsize="21600,21600" o:spt="202" path="m,l,21600r21600,l21600,xe">
              <v:stroke joinstyle="miter"/>
              <v:path gradientshapeok="t" o:connecttype="rect"/>
            </v:shapetype>
            <v:shape id="Text Box 6" o:spid="_x0000_s1032"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6A9C95EE" w14:textId="1430B171" w:rsidR="00EF27C3" w:rsidRPr="00EF27C3" w:rsidRDefault="00EF27C3" w:rsidP="00EF27C3">
                    <w:pPr>
                      <w:spacing w:after="0"/>
                      <w:rPr>
                        <w:rFonts w:ascii="Arial Black" w:eastAsia="Arial Black" w:hAnsi="Arial Black" w:cs="Arial Black"/>
                        <w:noProof/>
                        <w:color w:val="000000"/>
                        <w:sz w:val="20"/>
                      </w:rPr>
                    </w:pPr>
                    <w:r w:rsidRPr="00EF27C3">
                      <w:rPr>
                        <w:rFonts w:ascii="Arial Black" w:eastAsia="Arial Black" w:hAnsi="Arial Black" w:cs="Arial Black"/>
                        <w:noProof/>
                        <w:color w:val="000000"/>
                        <w:sz w:val="20"/>
                      </w:rPr>
                      <w:t>OFFICIAL</w:t>
                    </w:r>
                  </w:p>
                </w:txbxContent>
              </v:textbox>
              <w10:wrap anchorx="page" anchory="page"/>
            </v:shape>
          </w:pict>
        </mc:Fallback>
      </mc:AlternateContent>
    </w:r>
    <w:sdt>
      <w:sdtPr>
        <w:id w:val="-756134462"/>
        <w:docPartObj>
          <w:docPartGallery w:val="Page Numbers (Bottom of Page)"/>
          <w:docPartUnique/>
        </w:docPartObj>
      </w:sdtPr>
      <w:sdtEndPr>
        <w:rPr>
          <w:noProof/>
        </w:rPr>
      </w:sdtEndPr>
      <w:sdtContent>
        <w:r w:rsidR="00BE7A12">
          <w:fldChar w:fldCharType="begin"/>
        </w:r>
        <w:r w:rsidR="00BE7A12">
          <w:instrText xml:space="preserve"> PAGE   \* MERGEFORMAT </w:instrText>
        </w:r>
        <w:r w:rsidR="00BE7A12">
          <w:fldChar w:fldCharType="separate"/>
        </w:r>
        <w:r w:rsidR="00BE7A12">
          <w:rPr>
            <w:noProof/>
          </w:rPr>
          <w:t>2</w:t>
        </w:r>
        <w:r w:rsidR="00BE7A12">
          <w:rPr>
            <w:noProof/>
          </w:rPr>
          <w:fldChar w:fldCharType="end"/>
        </w:r>
      </w:sdtContent>
    </w:sdt>
  </w:p>
  <w:p w14:paraId="2F7C2F55" w14:textId="77777777" w:rsidR="00BE7A12" w:rsidRDefault="00BE7A1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6EF5E0D" w:rsidR="00D63636" w:rsidRDefault="00EF27C3">
    <w:pPr>
      <w:pStyle w:val="Footer"/>
    </w:pPr>
    <w:r>
      <w:rPr>
        <w:noProof/>
      </w:rPr>
      <mc:AlternateContent>
        <mc:Choice Requires="wps">
          <w:drawing>
            <wp:anchor distT="0" distB="0" distL="0" distR="0" simplePos="0" relativeHeight="251658247" behindDoc="0" locked="0" layoutInCell="1" allowOverlap="1" wp14:anchorId="77F7E18D" wp14:editId="0999F5C0">
              <wp:simplePos x="635" y="635"/>
              <wp:positionH relativeFrom="page">
                <wp:align>center</wp:align>
              </wp:positionH>
              <wp:positionV relativeFrom="page">
                <wp:align>bottom</wp:align>
              </wp:positionV>
              <wp:extent cx="656590" cy="369570"/>
              <wp:effectExtent l="0" t="0" r="10160" b="0"/>
              <wp:wrapNone/>
              <wp:docPr id="110032040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38D3A55" w14:textId="7C039742" w:rsidR="00EF27C3" w:rsidRPr="00EF27C3" w:rsidRDefault="00EF27C3" w:rsidP="00EF27C3">
                          <w:pPr>
                            <w:spacing w:after="0"/>
                            <w:rPr>
                              <w:rFonts w:ascii="Arial Black" w:eastAsia="Arial Black" w:hAnsi="Arial Black" w:cs="Arial Black"/>
                              <w:noProof/>
                              <w:color w:val="000000"/>
                              <w:sz w:val="20"/>
                            </w:rPr>
                          </w:pPr>
                          <w:r w:rsidRPr="00EF27C3">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F7E18D" id="_x0000_t202" coordsize="21600,21600" o:spt="202" path="m,l,21600r21600,l21600,xe">
              <v:stroke joinstyle="miter"/>
              <v:path gradientshapeok="t" o:connecttype="rect"/>
            </v:shapetype>
            <v:shape id="Text Box 9" o:spid="_x0000_s1033" type="#_x0000_t202" alt="OFFICIAL" style="position:absolute;margin-left:0;margin-top:0;width:51.7pt;height:29.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textbox style="mso-fit-shape-to-text:t" inset="0,0,0,15pt">
                <w:txbxContent>
                  <w:p w14:paraId="238D3A55" w14:textId="7C039742" w:rsidR="00EF27C3" w:rsidRPr="00EF27C3" w:rsidRDefault="00EF27C3" w:rsidP="00EF27C3">
                    <w:pPr>
                      <w:spacing w:after="0"/>
                      <w:rPr>
                        <w:rFonts w:ascii="Arial Black" w:eastAsia="Arial Black" w:hAnsi="Arial Black" w:cs="Arial Black"/>
                        <w:noProof/>
                        <w:color w:val="000000"/>
                        <w:sz w:val="20"/>
                      </w:rPr>
                    </w:pPr>
                    <w:r w:rsidRPr="00EF27C3">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EE37" w14:textId="77777777" w:rsidR="000774CD" w:rsidRDefault="000774CD" w:rsidP="00207717">
      <w:pPr>
        <w:spacing w:before="120"/>
      </w:pPr>
      <w:r>
        <w:separator/>
      </w:r>
    </w:p>
  </w:footnote>
  <w:footnote w:type="continuationSeparator" w:id="0">
    <w:p w14:paraId="3B0D161A" w14:textId="77777777" w:rsidR="000774CD" w:rsidRDefault="000774CD">
      <w:r>
        <w:continuationSeparator/>
      </w:r>
    </w:p>
    <w:p w14:paraId="0015B8F1" w14:textId="77777777" w:rsidR="000774CD" w:rsidRDefault="000774CD"/>
  </w:footnote>
  <w:footnote w:type="continuationNotice" w:id="1">
    <w:p w14:paraId="1E281289" w14:textId="77777777" w:rsidR="000774CD" w:rsidRDefault="000774CD">
      <w:pPr>
        <w:spacing w:after="0" w:line="240" w:lineRule="auto"/>
      </w:pPr>
    </w:p>
  </w:footnote>
  <w:footnote w:id="2">
    <w:p w14:paraId="639664BD" w14:textId="77777777" w:rsidR="005158BE" w:rsidRDefault="005158BE" w:rsidP="005158BE">
      <w:pPr>
        <w:pStyle w:val="FootnoteText"/>
      </w:pPr>
      <w:r>
        <w:rPr>
          <w:rStyle w:val="FootnoteReference"/>
        </w:rPr>
        <w:footnoteRef/>
      </w:r>
      <w:r>
        <w:t xml:space="preserve"> </w:t>
      </w:r>
      <w:r w:rsidRPr="00783B90">
        <w:t>https://www.accesshub.gov.au/about-the-nrs/nrs-call-numbers-and-links</w:t>
      </w:r>
    </w:p>
  </w:footnote>
  <w:footnote w:id="3">
    <w:p w14:paraId="1BA3824D" w14:textId="77777777" w:rsidR="005158BE" w:rsidRDefault="005158BE" w:rsidP="005158BE">
      <w:pPr>
        <w:pStyle w:val="FootnoteText"/>
      </w:pPr>
      <w:r>
        <w:rPr>
          <w:rStyle w:val="FootnoteReference"/>
        </w:rPr>
        <w:footnoteRef/>
      </w:r>
      <w:r>
        <w:t xml:space="preserve"> </w:t>
      </w:r>
      <w:r w:rsidRPr="001C1C26">
        <w:t>https://www.accesshub.gov.au/about-the-nrs</w:t>
      </w:r>
    </w:p>
  </w:footnote>
  <w:footnote w:id="4">
    <w:p w14:paraId="02B1B179" w14:textId="77777777" w:rsidR="009D0E8B" w:rsidRPr="00015F4F" w:rsidRDefault="00E467EA" w:rsidP="00825986">
      <w:pPr>
        <w:pStyle w:val="FootnoteText"/>
        <w:spacing w:before="0" w:after="0" w:line="240" w:lineRule="auto"/>
        <w:rPr>
          <w:szCs w:val="18"/>
        </w:rPr>
      </w:pPr>
      <w:r>
        <w:rPr>
          <w:rStyle w:val="FootnoteReference"/>
        </w:rPr>
        <w:footnoteRef/>
      </w:r>
      <w:r>
        <w:t xml:space="preserve"> </w:t>
      </w:r>
      <w:r w:rsidR="009D0E8B" w:rsidRPr="00015F4F">
        <w:rPr>
          <w:szCs w:val="18"/>
        </w:rPr>
        <w:t>Literature review included:</w:t>
      </w:r>
    </w:p>
    <w:p w14:paraId="75F2298C" w14:textId="77777777" w:rsidR="009D0E8B" w:rsidRPr="00015F4F" w:rsidRDefault="009D0E8B" w:rsidP="00825986">
      <w:pPr>
        <w:pStyle w:val="FootnoteText"/>
        <w:spacing w:before="0" w:after="0" w:line="240" w:lineRule="auto"/>
        <w:rPr>
          <w:szCs w:val="18"/>
        </w:rPr>
      </w:pPr>
      <w:r w:rsidRPr="00015F4F">
        <w:rPr>
          <w:szCs w:val="18"/>
        </w:rPr>
        <w:t xml:space="preserve">Bates, N., Immins, T., Parker, J., Keen, S., Rutter, L., Brown, K., &amp; Zsigo, S. (2010). “Baptism of fire”: The first year in the life of a newly qualified social worker. </w:t>
      </w:r>
      <w:r w:rsidRPr="00015F4F">
        <w:rPr>
          <w:i/>
          <w:iCs/>
          <w:szCs w:val="18"/>
        </w:rPr>
        <w:t>Social Work Education, 29</w:t>
      </w:r>
      <w:r w:rsidRPr="00015F4F">
        <w:rPr>
          <w:szCs w:val="18"/>
        </w:rPr>
        <w:t>(2), 152–170.</w:t>
      </w:r>
    </w:p>
    <w:p w14:paraId="6630E1B6" w14:textId="77777777" w:rsidR="009D0E8B" w:rsidRPr="00015F4F" w:rsidRDefault="009D0E8B" w:rsidP="00825986">
      <w:pPr>
        <w:pStyle w:val="FootnoteText"/>
        <w:spacing w:before="0" w:after="0" w:line="240" w:lineRule="auto"/>
        <w:rPr>
          <w:szCs w:val="18"/>
        </w:rPr>
      </w:pPr>
      <w:r w:rsidRPr="00015F4F">
        <w:rPr>
          <w:szCs w:val="18"/>
        </w:rPr>
        <w:t xml:space="preserve">Davidson, D., &amp; Darracott, R. (2024). Learning by stealth: Newly qualified social workers’ experiences of navigating health and hospital social work. </w:t>
      </w:r>
      <w:r w:rsidRPr="00015F4F">
        <w:rPr>
          <w:i/>
          <w:iCs/>
          <w:szCs w:val="18"/>
        </w:rPr>
        <w:t>British Journal of Social Work, 54</w:t>
      </w:r>
      <w:r w:rsidRPr="00015F4F">
        <w:rPr>
          <w:szCs w:val="18"/>
        </w:rPr>
        <w:t>, 1340-1355.</w:t>
      </w:r>
    </w:p>
    <w:p w14:paraId="7C4FEBA4" w14:textId="6BF4F910" w:rsidR="009D0E8B" w:rsidRPr="00015F4F" w:rsidRDefault="009D0E8B" w:rsidP="00825986">
      <w:pPr>
        <w:pStyle w:val="FootnoteText"/>
        <w:spacing w:before="0" w:after="0" w:line="240" w:lineRule="auto"/>
        <w:rPr>
          <w:szCs w:val="18"/>
        </w:rPr>
      </w:pPr>
      <w:r w:rsidRPr="00015F4F">
        <w:rPr>
          <w:szCs w:val="18"/>
        </w:rPr>
        <w:t xml:space="preserve">Department of Education. (n.d.). </w:t>
      </w:r>
      <w:hyperlink r:id="rId1" w:history="1">
        <w:r w:rsidRPr="00596D3D">
          <w:rPr>
            <w:rStyle w:val="Hyperlink"/>
            <w:szCs w:val="18"/>
          </w:rPr>
          <w:t>Assessed and Supported Year in Employment (ASYE)</w:t>
        </w:r>
      </w:hyperlink>
      <w:r w:rsidRPr="00015F4F">
        <w:rPr>
          <w:szCs w:val="18"/>
        </w:rPr>
        <w:t xml:space="preserve">. </w:t>
      </w:r>
      <w:r w:rsidRPr="00596D3D">
        <w:rPr>
          <w:szCs w:val="18"/>
        </w:rPr>
        <w:t>https://www.develop-child-family-social-work-career.education.gov.uk/asye?preferenceSet=True</w:t>
      </w:r>
    </w:p>
    <w:p w14:paraId="210FDB55" w14:textId="77777777" w:rsidR="009D0E8B" w:rsidRPr="00015F4F" w:rsidRDefault="009D0E8B" w:rsidP="00825986">
      <w:pPr>
        <w:pStyle w:val="FootnoteText"/>
        <w:spacing w:before="0" w:after="0" w:line="240" w:lineRule="auto"/>
        <w:rPr>
          <w:szCs w:val="18"/>
        </w:rPr>
      </w:pPr>
      <w:r w:rsidRPr="00015F4F">
        <w:rPr>
          <w:szCs w:val="18"/>
        </w:rPr>
        <w:t xml:space="preserve">Harrison, G., &amp; Healy, K. (2016). Forging an identity as a newly qualified worker in the non-government community services sector. </w:t>
      </w:r>
      <w:r w:rsidRPr="00015F4F">
        <w:rPr>
          <w:i/>
          <w:iCs/>
          <w:szCs w:val="18"/>
        </w:rPr>
        <w:t>Australian Social Work, 69</w:t>
      </w:r>
      <w:r w:rsidRPr="00015F4F">
        <w:rPr>
          <w:szCs w:val="18"/>
        </w:rPr>
        <w:t>(1), 80–91.</w:t>
      </w:r>
    </w:p>
    <w:p w14:paraId="785DFCF4" w14:textId="77777777" w:rsidR="009D0E8B" w:rsidRPr="00015F4F" w:rsidRDefault="009D0E8B" w:rsidP="00825986">
      <w:pPr>
        <w:pStyle w:val="FootnoteText"/>
        <w:spacing w:before="0" w:after="0" w:line="240" w:lineRule="auto"/>
        <w:rPr>
          <w:szCs w:val="18"/>
        </w:rPr>
      </w:pPr>
      <w:r w:rsidRPr="00015F4F">
        <w:rPr>
          <w:szCs w:val="18"/>
        </w:rPr>
        <w:t xml:space="preserve">Kinman, G., &amp; Grant, L. (2017). Building resilience in early-career social workers: Evaluating a multi-modal intervention. </w:t>
      </w:r>
      <w:r w:rsidRPr="00015F4F">
        <w:rPr>
          <w:i/>
          <w:iCs/>
          <w:szCs w:val="18"/>
        </w:rPr>
        <w:t>British Journal of Social Work, 47</w:t>
      </w:r>
      <w:r w:rsidRPr="00015F4F">
        <w:rPr>
          <w:szCs w:val="18"/>
        </w:rPr>
        <w:t>, 1979-1998.</w:t>
      </w:r>
    </w:p>
    <w:p w14:paraId="743C2EE6" w14:textId="596B2EE1" w:rsidR="00E467EA" w:rsidRPr="00015F4F" w:rsidRDefault="009D0E8B" w:rsidP="00E467EA">
      <w:pPr>
        <w:pStyle w:val="FootnoteText"/>
        <w:spacing w:after="0" w:line="240" w:lineRule="auto"/>
        <w:rPr>
          <w:szCs w:val="18"/>
        </w:rPr>
      </w:pPr>
      <w:r w:rsidRPr="00015F4F">
        <w:rPr>
          <w:szCs w:val="18"/>
        </w:rPr>
        <w:t xml:space="preserve">Manthorpe, J., Moriarty, J., Stevens, M., Hussein, S., &amp; Sharpe, E. (2014). The “making” of social workers: Findings from interviews with managers of newly qualified social workers. </w:t>
      </w:r>
      <w:r w:rsidRPr="00015F4F">
        <w:rPr>
          <w:i/>
          <w:iCs/>
          <w:szCs w:val="18"/>
        </w:rPr>
        <w:t>Practice, 26</w:t>
      </w:r>
      <w:r w:rsidRPr="00015F4F">
        <w:rPr>
          <w:szCs w:val="18"/>
        </w:rPr>
        <w:t>(2), 97–111.</w:t>
      </w:r>
    </w:p>
  </w:footnote>
  <w:footnote w:id="5">
    <w:p w14:paraId="72BCDB45" w14:textId="29644CF4" w:rsidR="004A643F" w:rsidRDefault="004A643F" w:rsidP="00955AAD">
      <w:pPr>
        <w:pStyle w:val="FootnoteText"/>
        <w:spacing w:before="0" w:after="0" w:line="240" w:lineRule="auto"/>
      </w:pPr>
      <w:r w:rsidRPr="00015F4F">
        <w:rPr>
          <w:rStyle w:val="FootnoteReference"/>
          <w:szCs w:val="18"/>
        </w:rPr>
        <w:footnoteRef/>
      </w:r>
      <w:r w:rsidRPr="00015F4F">
        <w:rPr>
          <w:szCs w:val="18"/>
        </w:rPr>
        <w:t xml:space="preserve"> </w:t>
      </w:r>
      <w:r w:rsidRPr="00015F4F">
        <w:rPr>
          <w:rFonts w:eastAsia="Aptos"/>
          <w:szCs w:val="18"/>
        </w:rPr>
        <w:t xml:space="preserve">The available research literature on professional learning highlights the pre-eminence of structured and intentional ‘on the job’ learning for newly qualified practitioners to build confidence and competence in practice. For example, </w:t>
      </w:r>
      <w:r w:rsidRPr="00015F4F">
        <w:rPr>
          <w:rStyle w:val="normaltextrun"/>
          <w:color w:val="000000"/>
          <w:szCs w:val="18"/>
          <w:shd w:val="clear" w:color="auto" w:fill="FFFFFF"/>
        </w:rPr>
        <w:t xml:space="preserve">Carpenter, J., Shardlow, S. M., Patios, D., and Wood, M. (2015). Developing the confidence and competence of newly qualified child and family social workers in England: Outcomes of a national programme. </w:t>
      </w:r>
      <w:r w:rsidRPr="00015F4F">
        <w:rPr>
          <w:rStyle w:val="normaltextrun"/>
          <w:i/>
          <w:iCs/>
          <w:color w:val="000000"/>
          <w:szCs w:val="18"/>
          <w:shd w:val="clear" w:color="auto" w:fill="FFFFFF"/>
        </w:rPr>
        <w:t>British Journal of Social Work</w:t>
      </w:r>
      <w:r w:rsidRPr="00015F4F">
        <w:rPr>
          <w:rStyle w:val="normaltextrun"/>
          <w:color w:val="000000"/>
          <w:szCs w:val="18"/>
          <w:shd w:val="clear" w:color="auto" w:fill="FFFFFF"/>
        </w:rPr>
        <w:t>, 45(1): 153-176.</w:t>
      </w:r>
      <w:r w:rsidRPr="004A4DDB">
        <w:rPr>
          <w:rStyle w:val="eop"/>
          <w:color w:val="000000"/>
          <w:shd w:val="clear" w:color="auto" w:fill="FFFFFF"/>
        </w:rPr>
        <w:t> </w:t>
      </w:r>
    </w:p>
  </w:footnote>
  <w:footnote w:id="6">
    <w:p w14:paraId="4EA0AC05" w14:textId="50BF6376" w:rsidR="004A643F" w:rsidRDefault="004A643F" w:rsidP="006044F6">
      <w:pPr>
        <w:pStyle w:val="FootnoteText"/>
        <w:spacing w:before="0" w:after="0" w:line="240" w:lineRule="auto"/>
        <w:rPr>
          <w:rFonts w:ascii="Aptos" w:eastAsia="Aptos" w:hAnsi="Aptos" w:cs="Aptos"/>
          <w:sz w:val="20"/>
          <w:szCs w:val="20"/>
        </w:rPr>
      </w:pPr>
      <w:r>
        <w:rPr>
          <w:rStyle w:val="FootnoteReference"/>
        </w:rPr>
        <w:footnoteRef/>
      </w:r>
      <w:r>
        <w:t xml:space="preserve"> </w:t>
      </w:r>
      <w:r w:rsidRPr="00015F4F">
        <w:rPr>
          <w:rFonts w:eastAsia="Aptos"/>
          <w:szCs w:val="18"/>
        </w:rPr>
        <w:t>The learning principles align coherently with a social constructivist approach to learning whereby all learning is mediated through the socio-cultural contexts of practices, imbued by graduate-to-graduate and experienced practitioner-graduate collaboration in real world practice situations. In line with this perspective, the Framework draws heavily on the ‘learning as participation’ concept introduced by Wenger (1998) and operationalised by Wilcock (2006). Professional learning is conceptualised as a multidimensional process that involves a combination of learning by doing (practice), belonging (community), becoming (identity creation) and reflecting (meaning creation). Noteworthy are the parallels between these learning design principles and the expectations of graduates as practitioners within community and social services system, as reflected in existing workforce capability frameworks.</w:t>
      </w:r>
    </w:p>
    <w:p w14:paraId="5850700B" w14:textId="2E8311FA" w:rsidR="004A643F" w:rsidRPr="00015F4F" w:rsidRDefault="004A643F" w:rsidP="006044F6">
      <w:pPr>
        <w:pStyle w:val="FootnoteText"/>
        <w:spacing w:before="0" w:after="0" w:line="240" w:lineRule="auto"/>
        <w:rPr>
          <w:szCs w:val="18"/>
        </w:rPr>
      </w:pPr>
      <w:r w:rsidRPr="00015F4F">
        <w:rPr>
          <w:szCs w:val="18"/>
        </w:rPr>
        <w:t xml:space="preserve">Wenger, E. (1998). </w:t>
      </w:r>
      <w:r w:rsidRPr="00015F4F">
        <w:rPr>
          <w:i/>
          <w:iCs/>
          <w:szCs w:val="18"/>
        </w:rPr>
        <w:t>Communities of Practice</w:t>
      </w:r>
      <w:r w:rsidRPr="00015F4F">
        <w:rPr>
          <w:szCs w:val="18"/>
        </w:rPr>
        <w:t>. Cambridge University Press.</w:t>
      </w:r>
    </w:p>
    <w:p w14:paraId="37989099" w14:textId="79F71AC9" w:rsidR="004A643F" w:rsidRPr="007A6D25" w:rsidRDefault="004A643F" w:rsidP="006044F6">
      <w:pPr>
        <w:pStyle w:val="FootnoteText"/>
        <w:spacing w:before="0" w:after="0" w:line="240" w:lineRule="auto"/>
        <w:rPr>
          <w:sz w:val="20"/>
          <w:szCs w:val="20"/>
        </w:rPr>
      </w:pPr>
      <w:r w:rsidRPr="00015F4F">
        <w:rPr>
          <w:szCs w:val="18"/>
        </w:rPr>
        <w:t>Wilcock, A. (2006). An Occupational Perspective of Health (2nd ed), Slack.</w:t>
      </w:r>
    </w:p>
  </w:footnote>
  <w:footnote w:id="7">
    <w:p w14:paraId="798DF7AB" w14:textId="77446F2A" w:rsidR="004A643F" w:rsidRDefault="004A643F">
      <w:pPr>
        <w:pStyle w:val="FootnoteText"/>
      </w:pPr>
      <w:r>
        <w:rPr>
          <w:rStyle w:val="FootnoteReference"/>
        </w:rPr>
        <w:footnoteRef/>
      </w:r>
      <w:r>
        <w:t xml:space="preserve"> </w:t>
      </w:r>
      <w:r w:rsidRPr="00DD2E37">
        <w:rPr>
          <w:rFonts w:eastAsia="Aptos"/>
          <w:szCs w:val="18"/>
        </w:rPr>
        <w:t xml:space="preserve">Adapted from Bogo et al.’s </w:t>
      </w:r>
      <w:r w:rsidRPr="00DD2E37">
        <w:rPr>
          <w:rFonts w:eastAsia="Aptos"/>
          <w:i/>
          <w:iCs/>
          <w:szCs w:val="18"/>
        </w:rPr>
        <w:t xml:space="preserve">Model of Holistic Competence for Complex Practice. </w:t>
      </w:r>
      <w:r w:rsidRPr="00DD2E37">
        <w:rPr>
          <w:szCs w:val="18"/>
        </w:rPr>
        <w:t xml:space="preserve">Bogo, M., Rawlings, M., Katz, E., &amp; Logie, C. (2014). </w:t>
      </w:r>
      <w:r w:rsidRPr="00DD2E37">
        <w:rPr>
          <w:i/>
          <w:iCs/>
          <w:szCs w:val="18"/>
        </w:rPr>
        <w:t>Using simulation in assessment and teaching: OSCE adapted for social work</w:t>
      </w:r>
      <w:r w:rsidRPr="00DD2E37">
        <w:rPr>
          <w:szCs w:val="18"/>
        </w:rPr>
        <w:t>. Council on Social Work Education.</w:t>
      </w:r>
    </w:p>
  </w:footnote>
  <w:footnote w:id="8">
    <w:p w14:paraId="1EED93B0" w14:textId="537A9D30" w:rsidR="0079118C" w:rsidRPr="0079118C" w:rsidRDefault="0079118C">
      <w:pPr>
        <w:pStyle w:val="FootnoteText"/>
        <w:rPr>
          <w:lang w:val="en-US"/>
        </w:rPr>
      </w:pPr>
      <w:r>
        <w:rPr>
          <w:rStyle w:val="FootnoteReference"/>
        </w:rPr>
        <w:footnoteRef/>
      </w:r>
      <w:r>
        <w:t xml:space="preserve"> https://www.cpmanual.vic.gov.au/our-workforce/learning-and-development/child-protection-capability-framework</w:t>
      </w:r>
    </w:p>
  </w:footnote>
  <w:footnote w:id="9">
    <w:p w14:paraId="0FE1F9EE" w14:textId="28742714" w:rsidR="00757132" w:rsidRPr="00757132" w:rsidRDefault="00757132">
      <w:pPr>
        <w:pStyle w:val="FootnoteText"/>
        <w:rPr>
          <w:lang w:val="en-US"/>
        </w:rPr>
      </w:pPr>
      <w:r>
        <w:rPr>
          <w:rStyle w:val="FootnoteReference"/>
        </w:rPr>
        <w:footnoteRef/>
      </w:r>
      <w:r w:rsidR="00A00F5A">
        <w:t xml:space="preserve"> </w:t>
      </w:r>
      <w:r w:rsidR="00A00F5A" w:rsidRPr="00A00F5A">
        <w:t>https://www.cfecfw.asn.au/learning-development/https://www.cfecfw.asn.au/learning-development/</w:t>
      </w:r>
    </w:p>
  </w:footnote>
  <w:footnote w:id="10">
    <w:p w14:paraId="74C91D2E" w14:textId="71D6C567" w:rsidR="009E4742" w:rsidRPr="009E4742" w:rsidRDefault="009E4742">
      <w:pPr>
        <w:pStyle w:val="FootnoteText"/>
        <w:rPr>
          <w:lang w:val="en-US"/>
        </w:rPr>
      </w:pPr>
      <w:r>
        <w:rPr>
          <w:rStyle w:val="FootnoteReference"/>
        </w:rPr>
        <w:footnoteRef/>
      </w:r>
      <w:r>
        <w:t xml:space="preserve"> </w:t>
      </w:r>
      <w:r w:rsidRPr="009E4742">
        <w:t>https://www.vic.gov.au/family-violence-capability-frameworks</w:t>
      </w:r>
    </w:p>
  </w:footnote>
  <w:footnote w:id="11">
    <w:p w14:paraId="29D610B8" w14:textId="6F2614AD" w:rsidR="001B26CF" w:rsidRPr="001B26CF" w:rsidRDefault="001B26CF">
      <w:pPr>
        <w:pStyle w:val="FootnoteText"/>
        <w:rPr>
          <w:lang w:val="en-US"/>
        </w:rPr>
      </w:pPr>
      <w:r>
        <w:rPr>
          <w:rStyle w:val="FootnoteReference"/>
        </w:rPr>
        <w:footnoteRef/>
      </w:r>
      <w:r>
        <w:t xml:space="preserve"> </w:t>
      </w:r>
      <w:r w:rsidRPr="001B26CF">
        <w:t>https://www.vic.gov.au/family-violence-capability-frameworks</w:t>
      </w:r>
    </w:p>
  </w:footnote>
  <w:footnote w:id="12">
    <w:p w14:paraId="20F6F8F8" w14:textId="011ADC50" w:rsidR="00365B21" w:rsidRPr="00365B21" w:rsidRDefault="00365B21">
      <w:pPr>
        <w:pStyle w:val="FootnoteText"/>
        <w:rPr>
          <w:lang w:val="en-US"/>
        </w:rPr>
      </w:pPr>
      <w:r>
        <w:rPr>
          <w:rStyle w:val="FootnoteReference"/>
        </w:rPr>
        <w:footnoteRef/>
      </w:r>
      <w:r>
        <w:t xml:space="preserve"> </w:t>
      </w:r>
      <w:r w:rsidRPr="00365B21">
        <w:t>https://chp.org.au/publication/specialist-homelessness-sector-workforce-capability-framework/</w:t>
      </w:r>
    </w:p>
  </w:footnote>
  <w:footnote w:id="13">
    <w:p w14:paraId="536620AC" w14:textId="2145D600" w:rsidR="007C076A" w:rsidRPr="007C076A" w:rsidRDefault="007C076A">
      <w:pPr>
        <w:pStyle w:val="FootnoteText"/>
        <w:rPr>
          <w:lang w:val="en-US"/>
        </w:rPr>
      </w:pPr>
      <w:r>
        <w:rPr>
          <w:rStyle w:val="FootnoteReference"/>
        </w:rPr>
        <w:footnoteRef/>
      </w:r>
      <w:r>
        <w:t xml:space="preserve"> </w:t>
      </w:r>
      <w:r w:rsidR="00284982" w:rsidRPr="00284982">
        <w:t>https://chiavic.com.au/victorian-community-housing-workforce-strategy-2023-2025/</w:t>
      </w:r>
    </w:p>
  </w:footnote>
  <w:footnote w:id="14">
    <w:p w14:paraId="271D9C44" w14:textId="4251F6A9" w:rsidR="009A44CE" w:rsidRPr="009A44CE" w:rsidRDefault="009A44CE">
      <w:pPr>
        <w:pStyle w:val="FootnoteText"/>
        <w:rPr>
          <w:lang w:val="en-US"/>
        </w:rPr>
      </w:pPr>
      <w:r>
        <w:rPr>
          <w:rStyle w:val="FootnoteReference"/>
        </w:rPr>
        <w:footnoteRef/>
      </w:r>
      <w:r>
        <w:t xml:space="preserve"> </w:t>
      </w:r>
      <w:r w:rsidRPr="00EA2429">
        <w:t>https://workforcecapability.ndiscommission.gov.au/framework</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9CC6" w14:textId="66F3197F" w:rsidR="008E2C87" w:rsidRDefault="00606B2E">
    <w:pPr>
      <w:pStyle w:val="Header"/>
    </w:pPr>
    <w:r>
      <w:t>Community and Social Services Graduate Program</w:t>
    </w:r>
    <w:r w:rsidRPr="00587174">
      <w:t xml:space="preserve"> Professional Learning Framework</w:t>
    </w:r>
    <w:r>
      <w:ptab w:relativeTo="margin" w:alignment="right" w:leader="none"/>
    </w:r>
    <w:r w:rsidRPr="00EF27C3">
      <w:fldChar w:fldCharType="begin"/>
    </w:r>
    <w:r w:rsidRPr="00EF27C3">
      <w:instrText xml:space="preserve"> PAGE   \* MERGEFORMAT </w:instrText>
    </w:r>
    <w:r w:rsidRPr="00EF27C3">
      <w:fldChar w:fldCharType="separate"/>
    </w:r>
    <w:r>
      <w:t>2</w:t>
    </w:r>
    <w:r w:rsidRPr="00EF27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D68F8" w14:textId="77777777" w:rsidR="00B23644" w:rsidRPr="004118FD" w:rsidRDefault="00B23644" w:rsidP="004118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3B3B" w14:textId="77777777" w:rsidR="00EE5672" w:rsidRDefault="00EE5672">
    <w:pPr>
      <w:pStyle w:val="Header"/>
    </w:pPr>
    <w:r>
      <w:rPr>
        <w:noProof/>
      </w:rPr>
      <mc:AlternateContent>
        <mc:Choice Requires="wps">
          <w:drawing>
            <wp:anchor distT="0" distB="0" distL="114300" distR="114300" simplePos="0" relativeHeight="251658240" behindDoc="1" locked="0" layoutInCell="0" allowOverlap="1" wp14:anchorId="05833D2A" wp14:editId="16CE2B09">
              <wp:simplePos x="0" y="0"/>
              <wp:positionH relativeFrom="margin">
                <wp:align>center</wp:align>
              </wp:positionH>
              <wp:positionV relativeFrom="margin">
                <wp:align>center</wp:align>
              </wp:positionV>
              <wp:extent cx="7804150" cy="520065"/>
              <wp:effectExtent l="0" t="0" r="0" b="0"/>
              <wp:wrapNone/>
              <wp:docPr id="214808534" name="PowerPlusWaterMarkObject17818119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804150" cy="520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17D1CA" w14:textId="77777777" w:rsidR="00EE5672" w:rsidRDefault="00EE5672">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WORKING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5833D2A" id="_x0000_t202" coordsize="21600,21600" o:spt="202" path="m,l,21600r21600,l21600,xe">
              <v:stroke joinstyle="miter"/>
              <v:path gradientshapeok="t" o:connecttype="rect"/>
            </v:shapetype>
            <v:shape id="PowerPlusWaterMarkObject178181191" o:spid="_x0000_s1029" type="#_x0000_t202" style="position:absolute;margin-left:0;margin-top:0;width:614.5pt;height:40.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" o:allowincell="f" filled="f" stroked="f">
              <v:stroke joinstyle="round"/>
              <o:lock v:ext="edit" rotation="t" aspectratio="t" verticies="t" adjusthandles="t" grouping="t" shapetype="t"/>
              <v:textbox>
                <w:txbxContent>
                  <w:p w14:paraId="3B17D1CA" w14:textId="77777777" w:rsidR="00EE5672" w:rsidRDefault="00EE5672">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WORKING DRAFT</w:t>
                    </w:r>
                  </w:p>
                </w:txbxContent>
              </v:textbox>
              <w10:wrap anchorx="margin" anchory="margin"/>
            </v:shape>
          </w:pict>
        </mc:Fallback>
      </mc:AlternateContent>
    </w: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Pr="009C245E">
      <w:rPr>
        <w:noProof/>
      </w:rPr>
      <w:t>(use Header style)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956A" w14:textId="74EB31F8" w:rsidR="00DE4CBE" w:rsidRDefault="00DE4C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360F" w14:textId="7FB9CA71" w:rsidR="00E03043" w:rsidRDefault="00E030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CFE12D8"/>
    <w:multiLevelType w:val="multilevel"/>
    <w:tmpl w:val="F496A172"/>
    <w:lvl w:ilvl="0">
      <w:start w:val="1"/>
      <w:numFmt w:val="bullet"/>
      <w:lvlText w:val=""/>
      <w:lvlJc w:val="left"/>
      <w:pPr>
        <w:ind w:left="227" w:hanging="227"/>
      </w:pPr>
      <w:rPr>
        <w:rFonts w:ascii="Symbol" w:hAnsi="Symbol"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7B6298"/>
    <w:multiLevelType w:val="multilevel"/>
    <w:tmpl w:val="652A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00F43"/>
    <w:multiLevelType w:val="hybridMultilevel"/>
    <w:tmpl w:val="597C6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FD482C"/>
    <w:multiLevelType w:val="hybridMultilevel"/>
    <w:tmpl w:val="89061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747C42"/>
    <w:multiLevelType w:val="hybridMultilevel"/>
    <w:tmpl w:val="A0A08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7113F3"/>
    <w:multiLevelType w:val="hybridMultilevel"/>
    <w:tmpl w:val="0CEC1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752D3B"/>
    <w:multiLevelType w:val="hybridMultilevel"/>
    <w:tmpl w:val="EBFA9858"/>
    <w:lvl w:ilvl="0" w:tplc="EC9EF088">
      <w:start w:val="1"/>
      <w:numFmt w:val="decimal"/>
      <w:lvlText w:val="%1."/>
      <w:lvlJc w:val="left"/>
      <w:pPr>
        <w:ind w:left="1020" w:hanging="360"/>
      </w:pPr>
    </w:lvl>
    <w:lvl w:ilvl="1" w:tplc="319C9014">
      <w:start w:val="1"/>
      <w:numFmt w:val="decimal"/>
      <w:lvlText w:val="%2."/>
      <w:lvlJc w:val="left"/>
      <w:pPr>
        <w:ind w:left="1020" w:hanging="360"/>
      </w:pPr>
    </w:lvl>
    <w:lvl w:ilvl="2" w:tplc="EEC6AE1E">
      <w:start w:val="1"/>
      <w:numFmt w:val="decimal"/>
      <w:lvlText w:val="%3."/>
      <w:lvlJc w:val="left"/>
      <w:pPr>
        <w:ind w:left="1020" w:hanging="360"/>
      </w:pPr>
    </w:lvl>
    <w:lvl w:ilvl="3" w:tplc="44F25BD8">
      <w:start w:val="1"/>
      <w:numFmt w:val="decimal"/>
      <w:lvlText w:val="%4."/>
      <w:lvlJc w:val="left"/>
      <w:pPr>
        <w:ind w:left="1020" w:hanging="360"/>
      </w:pPr>
    </w:lvl>
    <w:lvl w:ilvl="4" w:tplc="C5EC7396">
      <w:start w:val="1"/>
      <w:numFmt w:val="decimal"/>
      <w:lvlText w:val="%5."/>
      <w:lvlJc w:val="left"/>
      <w:pPr>
        <w:ind w:left="1020" w:hanging="360"/>
      </w:pPr>
    </w:lvl>
    <w:lvl w:ilvl="5" w:tplc="A8AEA5C2">
      <w:start w:val="1"/>
      <w:numFmt w:val="decimal"/>
      <w:lvlText w:val="%6."/>
      <w:lvlJc w:val="left"/>
      <w:pPr>
        <w:ind w:left="1020" w:hanging="360"/>
      </w:pPr>
    </w:lvl>
    <w:lvl w:ilvl="6" w:tplc="88F22884">
      <w:start w:val="1"/>
      <w:numFmt w:val="decimal"/>
      <w:lvlText w:val="%7."/>
      <w:lvlJc w:val="left"/>
      <w:pPr>
        <w:ind w:left="1020" w:hanging="360"/>
      </w:pPr>
    </w:lvl>
    <w:lvl w:ilvl="7" w:tplc="DD8A97B8">
      <w:start w:val="1"/>
      <w:numFmt w:val="decimal"/>
      <w:lvlText w:val="%8."/>
      <w:lvlJc w:val="left"/>
      <w:pPr>
        <w:ind w:left="1020" w:hanging="360"/>
      </w:pPr>
    </w:lvl>
    <w:lvl w:ilvl="8" w:tplc="DF26780C">
      <w:start w:val="1"/>
      <w:numFmt w:val="decimal"/>
      <w:lvlText w:val="%9."/>
      <w:lvlJc w:val="left"/>
      <w:pPr>
        <w:ind w:left="1020" w:hanging="360"/>
      </w:pPr>
    </w:lvl>
  </w:abstractNum>
  <w:abstractNum w:abstractNumId="9" w15:restartNumberingAfterBreak="0">
    <w:nsid w:val="32314474"/>
    <w:multiLevelType w:val="hybridMultilevel"/>
    <w:tmpl w:val="A6E07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E23A3D"/>
    <w:multiLevelType w:val="hybridMultilevel"/>
    <w:tmpl w:val="0F56B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6C68D4"/>
    <w:multiLevelType w:val="multilevel"/>
    <w:tmpl w:val="9D040EF8"/>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F491205"/>
    <w:multiLevelType w:val="hybridMultilevel"/>
    <w:tmpl w:val="DEFAD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A55FAE"/>
    <w:multiLevelType w:val="hybridMultilevel"/>
    <w:tmpl w:val="B8C4E46A"/>
    <w:lvl w:ilvl="0" w:tplc="6338B1AA">
      <w:start w:val="1"/>
      <w:numFmt w:val="decimal"/>
      <w:lvlText w:val="%1."/>
      <w:lvlJc w:val="left"/>
      <w:pPr>
        <w:ind w:left="1020" w:hanging="360"/>
      </w:pPr>
    </w:lvl>
    <w:lvl w:ilvl="1" w:tplc="6C4E508E">
      <w:start w:val="1"/>
      <w:numFmt w:val="decimal"/>
      <w:lvlText w:val="%2."/>
      <w:lvlJc w:val="left"/>
      <w:pPr>
        <w:ind w:left="1020" w:hanging="360"/>
      </w:pPr>
    </w:lvl>
    <w:lvl w:ilvl="2" w:tplc="AA9E24FA">
      <w:start w:val="1"/>
      <w:numFmt w:val="decimal"/>
      <w:lvlText w:val="%3."/>
      <w:lvlJc w:val="left"/>
      <w:pPr>
        <w:ind w:left="1020" w:hanging="360"/>
      </w:pPr>
    </w:lvl>
    <w:lvl w:ilvl="3" w:tplc="D4D45376">
      <w:start w:val="1"/>
      <w:numFmt w:val="decimal"/>
      <w:lvlText w:val="%4."/>
      <w:lvlJc w:val="left"/>
      <w:pPr>
        <w:ind w:left="1020" w:hanging="360"/>
      </w:pPr>
    </w:lvl>
    <w:lvl w:ilvl="4" w:tplc="32AA0B7C">
      <w:start w:val="1"/>
      <w:numFmt w:val="decimal"/>
      <w:lvlText w:val="%5."/>
      <w:lvlJc w:val="left"/>
      <w:pPr>
        <w:ind w:left="1020" w:hanging="360"/>
      </w:pPr>
    </w:lvl>
    <w:lvl w:ilvl="5" w:tplc="18249352">
      <w:start w:val="1"/>
      <w:numFmt w:val="decimal"/>
      <w:lvlText w:val="%6."/>
      <w:lvlJc w:val="left"/>
      <w:pPr>
        <w:ind w:left="1020" w:hanging="360"/>
      </w:pPr>
    </w:lvl>
    <w:lvl w:ilvl="6" w:tplc="1B58491E">
      <w:start w:val="1"/>
      <w:numFmt w:val="decimal"/>
      <w:lvlText w:val="%7."/>
      <w:lvlJc w:val="left"/>
      <w:pPr>
        <w:ind w:left="1020" w:hanging="360"/>
      </w:pPr>
    </w:lvl>
    <w:lvl w:ilvl="7" w:tplc="70083EDC">
      <w:start w:val="1"/>
      <w:numFmt w:val="decimal"/>
      <w:lvlText w:val="%8."/>
      <w:lvlJc w:val="left"/>
      <w:pPr>
        <w:ind w:left="1020" w:hanging="360"/>
      </w:pPr>
    </w:lvl>
    <w:lvl w:ilvl="8" w:tplc="D2EAEEBE">
      <w:start w:val="1"/>
      <w:numFmt w:val="decimal"/>
      <w:lvlText w:val="%9."/>
      <w:lvlJc w:val="left"/>
      <w:pPr>
        <w:ind w:left="1020" w:hanging="360"/>
      </w:pPr>
    </w:lvl>
  </w:abstractNum>
  <w:abstractNum w:abstractNumId="15" w15:restartNumberingAfterBreak="0">
    <w:nsid w:val="49E22DB4"/>
    <w:multiLevelType w:val="multilevel"/>
    <w:tmpl w:val="E7F8D904"/>
    <w:lvl w:ilvl="0">
      <w:start w:val="1"/>
      <w:numFmt w:val="decimal"/>
      <w:lvlText w:val="%1."/>
      <w:lvlJc w:val="left"/>
      <w:pPr>
        <w:ind w:left="1080" w:hanging="720"/>
      </w:pPr>
      <w:rPr>
        <w:rFonts w:hint="default"/>
        <w:sz w:val="40"/>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C77432C"/>
    <w:multiLevelType w:val="multilevel"/>
    <w:tmpl w:val="6B58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5DC27FD"/>
    <w:multiLevelType w:val="hybridMultilevel"/>
    <w:tmpl w:val="91DE7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EB239A"/>
    <w:multiLevelType w:val="hybridMultilevel"/>
    <w:tmpl w:val="EC4CA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863000"/>
    <w:multiLevelType w:val="hybridMultilevel"/>
    <w:tmpl w:val="5D0CF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7A8C1437"/>
    <w:multiLevelType w:val="hybridMultilevel"/>
    <w:tmpl w:val="78F2653E"/>
    <w:lvl w:ilvl="0" w:tplc="8E026FA2">
      <w:start w:val="1"/>
      <w:numFmt w:val="decimal"/>
      <w:lvlText w:val="%1."/>
      <w:lvlJc w:val="left"/>
      <w:pPr>
        <w:ind w:left="1020" w:hanging="360"/>
      </w:pPr>
    </w:lvl>
    <w:lvl w:ilvl="1" w:tplc="F77E4AE2">
      <w:start w:val="1"/>
      <w:numFmt w:val="decimal"/>
      <w:lvlText w:val="%2."/>
      <w:lvlJc w:val="left"/>
      <w:pPr>
        <w:ind w:left="1020" w:hanging="360"/>
      </w:pPr>
    </w:lvl>
    <w:lvl w:ilvl="2" w:tplc="4E7EA682">
      <w:start w:val="1"/>
      <w:numFmt w:val="decimal"/>
      <w:lvlText w:val="%3."/>
      <w:lvlJc w:val="left"/>
      <w:pPr>
        <w:ind w:left="1020" w:hanging="360"/>
      </w:pPr>
    </w:lvl>
    <w:lvl w:ilvl="3" w:tplc="41BE9920">
      <w:start w:val="1"/>
      <w:numFmt w:val="decimal"/>
      <w:lvlText w:val="%4."/>
      <w:lvlJc w:val="left"/>
      <w:pPr>
        <w:ind w:left="1020" w:hanging="360"/>
      </w:pPr>
    </w:lvl>
    <w:lvl w:ilvl="4" w:tplc="DF2E668C">
      <w:start w:val="1"/>
      <w:numFmt w:val="decimal"/>
      <w:lvlText w:val="%5."/>
      <w:lvlJc w:val="left"/>
      <w:pPr>
        <w:ind w:left="1020" w:hanging="360"/>
      </w:pPr>
    </w:lvl>
    <w:lvl w:ilvl="5" w:tplc="6CB0073C">
      <w:start w:val="1"/>
      <w:numFmt w:val="decimal"/>
      <w:lvlText w:val="%6."/>
      <w:lvlJc w:val="left"/>
      <w:pPr>
        <w:ind w:left="1020" w:hanging="360"/>
      </w:pPr>
    </w:lvl>
    <w:lvl w:ilvl="6" w:tplc="CB983AE8">
      <w:start w:val="1"/>
      <w:numFmt w:val="decimal"/>
      <w:lvlText w:val="%7."/>
      <w:lvlJc w:val="left"/>
      <w:pPr>
        <w:ind w:left="1020" w:hanging="360"/>
      </w:pPr>
    </w:lvl>
    <w:lvl w:ilvl="7" w:tplc="47ACE296">
      <w:start w:val="1"/>
      <w:numFmt w:val="decimal"/>
      <w:lvlText w:val="%8."/>
      <w:lvlJc w:val="left"/>
      <w:pPr>
        <w:ind w:left="1020" w:hanging="360"/>
      </w:pPr>
    </w:lvl>
    <w:lvl w:ilvl="8" w:tplc="11B6B0C0">
      <w:start w:val="1"/>
      <w:numFmt w:val="decimal"/>
      <w:lvlText w:val="%9."/>
      <w:lvlJc w:val="left"/>
      <w:pPr>
        <w:ind w:left="1020" w:hanging="360"/>
      </w:pPr>
    </w:lvl>
  </w:abstractNum>
  <w:num w:numId="1" w16cid:durableId="1502424340">
    <w:abstractNumId w:val="0"/>
  </w:num>
  <w:num w:numId="2" w16cid:durableId="1282348079">
    <w:abstractNumId w:val="11"/>
  </w:num>
  <w:num w:numId="3" w16cid:durableId="638262027">
    <w:abstractNumId w:val="18"/>
  </w:num>
  <w:num w:numId="4" w16cid:durableId="1209879429">
    <w:abstractNumId w:val="17"/>
  </w:num>
  <w:num w:numId="5" w16cid:durableId="297226543">
    <w:abstractNumId w:val="22"/>
  </w:num>
  <w:num w:numId="6" w16cid:durableId="305621875">
    <w:abstractNumId w:val="12"/>
  </w:num>
  <w:num w:numId="7" w16cid:durableId="588199639">
    <w:abstractNumId w:val="1"/>
  </w:num>
  <w:num w:numId="8" w16cid:durableId="538670369">
    <w:abstractNumId w:val="2"/>
  </w:num>
  <w:num w:numId="9" w16cid:durableId="1681002551">
    <w:abstractNumId w:val="15"/>
  </w:num>
  <w:num w:numId="10" w16cid:durableId="1620455462">
    <w:abstractNumId w:val="20"/>
  </w:num>
  <w:num w:numId="11" w16cid:durableId="33892398">
    <w:abstractNumId w:val="10"/>
  </w:num>
  <w:num w:numId="12" w16cid:durableId="1793674078">
    <w:abstractNumId w:val="6"/>
  </w:num>
  <w:num w:numId="13" w16cid:durableId="376440959">
    <w:abstractNumId w:val="9"/>
  </w:num>
  <w:num w:numId="14" w16cid:durableId="132019682">
    <w:abstractNumId w:val="7"/>
  </w:num>
  <w:num w:numId="15" w16cid:durableId="285545440">
    <w:abstractNumId w:val="5"/>
  </w:num>
  <w:num w:numId="16" w16cid:durableId="271517089">
    <w:abstractNumId w:val="4"/>
  </w:num>
  <w:num w:numId="17" w16cid:durableId="293947398">
    <w:abstractNumId w:val="19"/>
  </w:num>
  <w:num w:numId="18" w16cid:durableId="1145465862">
    <w:abstractNumId w:val="14"/>
  </w:num>
  <w:num w:numId="19" w16cid:durableId="1883201196">
    <w:abstractNumId w:val="3"/>
  </w:num>
  <w:num w:numId="20" w16cid:durableId="871303809">
    <w:abstractNumId w:val="16"/>
  </w:num>
  <w:num w:numId="21" w16cid:durableId="1839685399">
    <w:abstractNumId w:val="8"/>
  </w:num>
  <w:num w:numId="22" w16cid:durableId="447702838">
    <w:abstractNumId w:val="23"/>
  </w:num>
  <w:num w:numId="23" w16cid:durableId="886182421">
    <w:abstractNumId w:val="21"/>
  </w:num>
  <w:num w:numId="24" w16cid:durableId="143913262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0971"/>
    <w:rsid w:val="00001A62"/>
    <w:rsid w:val="00002291"/>
    <w:rsid w:val="00002D68"/>
    <w:rsid w:val="000033F7"/>
    <w:rsid w:val="00003403"/>
    <w:rsid w:val="00004A2D"/>
    <w:rsid w:val="00005347"/>
    <w:rsid w:val="000054FA"/>
    <w:rsid w:val="00005AC3"/>
    <w:rsid w:val="000072B6"/>
    <w:rsid w:val="00007795"/>
    <w:rsid w:val="0001021B"/>
    <w:rsid w:val="000107E9"/>
    <w:rsid w:val="000114A8"/>
    <w:rsid w:val="00011D89"/>
    <w:rsid w:val="000154FD"/>
    <w:rsid w:val="00015F4F"/>
    <w:rsid w:val="00020678"/>
    <w:rsid w:val="00020979"/>
    <w:rsid w:val="00022271"/>
    <w:rsid w:val="000235E8"/>
    <w:rsid w:val="000244F0"/>
    <w:rsid w:val="00024855"/>
    <w:rsid w:val="00024D89"/>
    <w:rsid w:val="000250B6"/>
    <w:rsid w:val="000251A0"/>
    <w:rsid w:val="00025E6D"/>
    <w:rsid w:val="0003000F"/>
    <w:rsid w:val="000306BA"/>
    <w:rsid w:val="000307C1"/>
    <w:rsid w:val="00030A2E"/>
    <w:rsid w:val="00031494"/>
    <w:rsid w:val="00031B0D"/>
    <w:rsid w:val="00033D81"/>
    <w:rsid w:val="00033DC9"/>
    <w:rsid w:val="0003451A"/>
    <w:rsid w:val="000348B9"/>
    <w:rsid w:val="00034E71"/>
    <w:rsid w:val="00036EC5"/>
    <w:rsid w:val="00036F60"/>
    <w:rsid w:val="00037366"/>
    <w:rsid w:val="0004098B"/>
    <w:rsid w:val="00041BF0"/>
    <w:rsid w:val="00042C8A"/>
    <w:rsid w:val="00044CDA"/>
    <w:rsid w:val="0004536B"/>
    <w:rsid w:val="000461C4"/>
    <w:rsid w:val="00046B68"/>
    <w:rsid w:val="00051106"/>
    <w:rsid w:val="0005139B"/>
    <w:rsid w:val="00052710"/>
    <w:rsid w:val="000527DD"/>
    <w:rsid w:val="00052E50"/>
    <w:rsid w:val="00054080"/>
    <w:rsid w:val="00054B8D"/>
    <w:rsid w:val="00056E46"/>
    <w:rsid w:val="00056EC4"/>
    <w:rsid w:val="0005726B"/>
    <w:rsid w:val="000578B2"/>
    <w:rsid w:val="00060644"/>
    <w:rsid w:val="00060959"/>
    <w:rsid w:val="00060C8F"/>
    <w:rsid w:val="0006298A"/>
    <w:rsid w:val="000646AA"/>
    <w:rsid w:val="000663CD"/>
    <w:rsid w:val="000676EC"/>
    <w:rsid w:val="00072DB3"/>
    <w:rsid w:val="000733FE"/>
    <w:rsid w:val="00073750"/>
    <w:rsid w:val="00073F62"/>
    <w:rsid w:val="00074219"/>
    <w:rsid w:val="000749D7"/>
    <w:rsid w:val="00074ED5"/>
    <w:rsid w:val="000761F9"/>
    <w:rsid w:val="000768F8"/>
    <w:rsid w:val="000771B2"/>
    <w:rsid w:val="000774CD"/>
    <w:rsid w:val="000776A0"/>
    <w:rsid w:val="00080831"/>
    <w:rsid w:val="00080C2A"/>
    <w:rsid w:val="0008170F"/>
    <w:rsid w:val="0008204A"/>
    <w:rsid w:val="00083F3C"/>
    <w:rsid w:val="0008508E"/>
    <w:rsid w:val="00085341"/>
    <w:rsid w:val="00086D0D"/>
    <w:rsid w:val="00086F0B"/>
    <w:rsid w:val="00087951"/>
    <w:rsid w:val="000903D6"/>
    <w:rsid w:val="0009113B"/>
    <w:rsid w:val="000931E3"/>
    <w:rsid w:val="00093402"/>
    <w:rsid w:val="000939ED"/>
    <w:rsid w:val="00094DA3"/>
    <w:rsid w:val="00095695"/>
    <w:rsid w:val="00095725"/>
    <w:rsid w:val="00096643"/>
    <w:rsid w:val="00096CD1"/>
    <w:rsid w:val="000A012C"/>
    <w:rsid w:val="000A0E36"/>
    <w:rsid w:val="000A0EB9"/>
    <w:rsid w:val="000A13C0"/>
    <w:rsid w:val="000A1538"/>
    <w:rsid w:val="000A186C"/>
    <w:rsid w:val="000A1BCC"/>
    <w:rsid w:val="000A1EA4"/>
    <w:rsid w:val="000A2476"/>
    <w:rsid w:val="000A2567"/>
    <w:rsid w:val="000A26D1"/>
    <w:rsid w:val="000A2DEA"/>
    <w:rsid w:val="000A4234"/>
    <w:rsid w:val="000A4512"/>
    <w:rsid w:val="000A537B"/>
    <w:rsid w:val="000A58A6"/>
    <w:rsid w:val="000A641A"/>
    <w:rsid w:val="000A6D2D"/>
    <w:rsid w:val="000A6FC1"/>
    <w:rsid w:val="000A6FC2"/>
    <w:rsid w:val="000A7A90"/>
    <w:rsid w:val="000B033C"/>
    <w:rsid w:val="000B1E81"/>
    <w:rsid w:val="000B34F7"/>
    <w:rsid w:val="000B3EDB"/>
    <w:rsid w:val="000B543D"/>
    <w:rsid w:val="000B55F9"/>
    <w:rsid w:val="000B5BF7"/>
    <w:rsid w:val="000B6BC8"/>
    <w:rsid w:val="000B716E"/>
    <w:rsid w:val="000C0303"/>
    <w:rsid w:val="000C0579"/>
    <w:rsid w:val="000C0A71"/>
    <w:rsid w:val="000C1C59"/>
    <w:rsid w:val="000C265C"/>
    <w:rsid w:val="000C2B5E"/>
    <w:rsid w:val="000C3FC9"/>
    <w:rsid w:val="000C42EA"/>
    <w:rsid w:val="000C4546"/>
    <w:rsid w:val="000C4619"/>
    <w:rsid w:val="000C7EE9"/>
    <w:rsid w:val="000D02EC"/>
    <w:rsid w:val="000D0820"/>
    <w:rsid w:val="000D09FE"/>
    <w:rsid w:val="000D0AD2"/>
    <w:rsid w:val="000D1242"/>
    <w:rsid w:val="000D1640"/>
    <w:rsid w:val="000D2ABA"/>
    <w:rsid w:val="000D3B5B"/>
    <w:rsid w:val="000D4B46"/>
    <w:rsid w:val="000D5498"/>
    <w:rsid w:val="000D6438"/>
    <w:rsid w:val="000D6827"/>
    <w:rsid w:val="000D7D6F"/>
    <w:rsid w:val="000E0970"/>
    <w:rsid w:val="000E26AA"/>
    <w:rsid w:val="000E2B2C"/>
    <w:rsid w:val="000E3BCA"/>
    <w:rsid w:val="000E3CC7"/>
    <w:rsid w:val="000E6BD4"/>
    <w:rsid w:val="000E6D6D"/>
    <w:rsid w:val="000E7C9A"/>
    <w:rsid w:val="000F09D5"/>
    <w:rsid w:val="000F1F1E"/>
    <w:rsid w:val="000F2259"/>
    <w:rsid w:val="000F2DDA"/>
    <w:rsid w:val="000F2EA0"/>
    <w:rsid w:val="000F368E"/>
    <w:rsid w:val="000F3B7A"/>
    <w:rsid w:val="000F41EE"/>
    <w:rsid w:val="000F4AD5"/>
    <w:rsid w:val="000F5213"/>
    <w:rsid w:val="000F73A1"/>
    <w:rsid w:val="00100921"/>
    <w:rsid w:val="00100C6D"/>
    <w:rsid w:val="00101001"/>
    <w:rsid w:val="00101522"/>
    <w:rsid w:val="00101FF8"/>
    <w:rsid w:val="0010209A"/>
    <w:rsid w:val="00103276"/>
    <w:rsid w:val="0010392D"/>
    <w:rsid w:val="0010447F"/>
    <w:rsid w:val="00104547"/>
    <w:rsid w:val="001049A3"/>
    <w:rsid w:val="00104BC1"/>
    <w:rsid w:val="00104FE3"/>
    <w:rsid w:val="00105F1B"/>
    <w:rsid w:val="00105FA0"/>
    <w:rsid w:val="0010641F"/>
    <w:rsid w:val="00106D77"/>
    <w:rsid w:val="0010714F"/>
    <w:rsid w:val="0010775B"/>
    <w:rsid w:val="00110032"/>
    <w:rsid w:val="00110892"/>
    <w:rsid w:val="00111470"/>
    <w:rsid w:val="001120C5"/>
    <w:rsid w:val="00113C58"/>
    <w:rsid w:val="00115D41"/>
    <w:rsid w:val="001163EA"/>
    <w:rsid w:val="00120BD3"/>
    <w:rsid w:val="00121E3C"/>
    <w:rsid w:val="00122416"/>
    <w:rsid w:val="00122FEA"/>
    <w:rsid w:val="001232BD"/>
    <w:rsid w:val="00123405"/>
    <w:rsid w:val="0012360E"/>
    <w:rsid w:val="001245FF"/>
    <w:rsid w:val="00124ED5"/>
    <w:rsid w:val="00124FCC"/>
    <w:rsid w:val="00126E8E"/>
    <w:rsid w:val="001276FA"/>
    <w:rsid w:val="00130401"/>
    <w:rsid w:val="00130986"/>
    <w:rsid w:val="00130DA0"/>
    <w:rsid w:val="0013146C"/>
    <w:rsid w:val="001327DF"/>
    <w:rsid w:val="001337C3"/>
    <w:rsid w:val="00134C6F"/>
    <w:rsid w:val="001358C4"/>
    <w:rsid w:val="00136F71"/>
    <w:rsid w:val="00137BB2"/>
    <w:rsid w:val="00140032"/>
    <w:rsid w:val="00140145"/>
    <w:rsid w:val="00140223"/>
    <w:rsid w:val="001402F8"/>
    <w:rsid w:val="00140B1D"/>
    <w:rsid w:val="0014159E"/>
    <w:rsid w:val="001418DD"/>
    <w:rsid w:val="001424C5"/>
    <w:rsid w:val="00143108"/>
    <w:rsid w:val="001447B3"/>
    <w:rsid w:val="00144D16"/>
    <w:rsid w:val="001463BD"/>
    <w:rsid w:val="00147A4F"/>
    <w:rsid w:val="00150313"/>
    <w:rsid w:val="00150FF0"/>
    <w:rsid w:val="00151CBD"/>
    <w:rsid w:val="00152073"/>
    <w:rsid w:val="00152329"/>
    <w:rsid w:val="00152357"/>
    <w:rsid w:val="00152CE4"/>
    <w:rsid w:val="0015533F"/>
    <w:rsid w:val="00156598"/>
    <w:rsid w:val="0015786E"/>
    <w:rsid w:val="001601F3"/>
    <w:rsid w:val="00161939"/>
    <w:rsid w:val="00161AA0"/>
    <w:rsid w:val="00161D2E"/>
    <w:rsid w:val="00161F3E"/>
    <w:rsid w:val="00162093"/>
    <w:rsid w:val="00162551"/>
    <w:rsid w:val="00162760"/>
    <w:rsid w:val="001628EC"/>
    <w:rsid w:val="00162CA9"/>
    <w:rsid w:val="00165459"/>
    <w:rsid w:val="001654B9"/>
    <w:rsid w:val="001654F9"/>
    <w:rsid w:val="00165A57"/>
    <w:rsid w:val="00166036"/>
    <w:rsid w:val="001708A9"/>
    <w:rsid w:val="0017112E"/>
    <w:rsid w:val="001712C2"/>
    <w:rsid w:val="00171EC4"/>
    <w:rsid w:val="00172160"/>
    <w:rsid w:val="0017216A"/>
    <w:rsid w:val="001729D1"/>
    <w:rsid w:val="00172BAF"/>
    <w:rsid w:val="00172ED0"/>
    <w:rsid w:val="0017306F"/>
    <w:rsid w:val="00173A37"/>
    <w:rsid w:val="001758A5"/>
    <w:rsid w:val="00176591"/>
    <w:rsid w:val="0017674D"/>
    <w:rsid w:val="001771DD"/>
    <w:rsid w:val="00177210"/>
    <w:rsid w:val="00177268"/>
    <w:rsid w:val="0017778B"/>
    <w:rsid w:val="00177995"/>
    <w:rsid w:val="00177A8C"/>
    <w:rsid w:val="00177D2A"/>
    <w:rsid w:val="00180906"/>
    <w:rsid w:val="001821F9"/>
    <w:rsid w:val="0018244E"/>
    <w:rsid w:val="00183356"/>
    <w:rsid w:val="0018376A"/>
    <w:rsid w:val="00184020"/>
    <w:rsid w:val="00184F51"/>
    <w:rsid w:val="00185A39"/>
    <w:rsid w:val="00186B33"/>
    <w:rsid w:val="00186B45"/>
    <w:rsid w:val="001878D7"/>
    <w:rsid w:val="0019222B"/>
    <w:rsid w:val="00192C5E"/>
    <w:rsid w:val="00192F9D"/>
    <w:rsid w:val="0019371E"/>
    <w:rsid w:val="001945E2"/>
    <w:rsid w:val="00194694"/>
    <w:rsid w:val="001946B8"/>
    <w:rsid w:val="001958FF"/>
    <w:rsid w:val="00196EB8"/>
    <w:rsid w:val="00196EFB"/>
    <w:rsid w:val="00197289"/>
    <w:rsid w:val="001979FF"/>
    <w:rsid w:val="00197B17"/>
    <w:rsid w:val="001A1950"/>
    <w:rsid w:val="001A1C54"/>
    <w:rsid w:val="001A345C"/>
    <w:rsid w:val="001A3ACE"/>
    <w:rsid w:val="001A44A1"/>
    <w:rsid w:val="001A4C78"/>
    <w:rsid w:val="001A5DC7"/>
    <w:rsid w:val="001A6272"/>
    <w:rsid w:val="001A65F6"/>
    <w:rsid w:val="001A66D1"/>
    <w:rsid w:val="001A7211"/>
    <w:rsid w:val="001A7A61"/>
    <w:rsid w:val="001B0534"/>
    <w:rsid w:val="001B058F"/>
    <w:rsid w:val="001B26CF"/>
    <w:rsid w:val="001B342C"/>
    <w:rsid w:val="001B3C62"/>
    <w:rsid w:val="001B3D50"/>
    <w:rsid w:val="001B45CC"/>
    <w:rsid w:val="001B49DF"/>
    <w:rsid w:val="001B4ECA"/>
    <w:rsid w:val="001B62BB"/>
    <w:rsid w:val="001B6B96"/>
    <w:rsid w:val="001B738B"/>
    <w:rsid w:val="001B7AD0"/>
    <w:rsid w:val="001B7B0A"/>
    <w:rsid w:val="001C09DB"/>
    <w:rsid w:val="001C1016"/>
    <w:rsid w:val="001C277E"/>
    <w:rsid w:val="001C2A72"/>
    <w:rsid w:val="001C2D11"/>
    <w:rsid w:val="001C31B7"/>
    <w:rsid w:val="001C396F"/>
    <w:rsid w:val="001C4101"/>
    <w:rsid w:val="001C7128"/>
    <w:rsid w:val="001C7BB6"/>
    <w:rsid w:val="001D0559"/>
    <w:rsid w:val="001D0B75"/>
    <w:rsid w:val="001D1C57"/>
    <w:rsid w:val="001D33EE"/>
    <w:rsid w:val="001D39A5"/>
    <w:rsid w:val="001D3C09"/>
    <w:rsid w:val="001D44E8"/>
    <w:rsid w:val="001D47CC"/>
    <w:rsid w:val="001D4800"/>
    <w:rsid w:val="001D4AFA"/>
    <w:rsid w:val="001D5352"/>
    <w:rsid w:val="001D5B14"/>
    <w:rsid w:val="001D5F26"/>
    <w:rsid w:val="001D5FC7"/>
    <w:rsid w:val="001D60EC"/>
    <w:rsid w:val="001D610B"/>
    <w:rsid w:val="001D663D"/>
    <w:rsid w:val="001D6F59"/>
    <w:rsid w:val="001E0EF0"/>
    <w:rsid w:val="001E15F2"/>
    <w:rsid w:val="001E2E41"/>
    <w:rsid w:val="001E37F1"/>
    <w:rsid w:val="001E44DF"/>
    <w:rsid w:val="001E5108"/>
    <w:rsid w:val="001E55E8"/>
    <w:rsid w:val="001E5FF3"/>
    <w:rsid w:val="001E68A5"/>
    <w:rsid w:val="001E6B48"/>
    <w:rsid w:val="001E6BB0"/>
    <w:rsid w:val="001E6E58"/>
    <w:rsid w:val="001E7282"/>
    <w:rsid w:val="001E7989"/>
    <w:rsid w:val="001E7CE9"/>
    <w:rsid w:val="001F05C3"/>
    <w:rsid w:val="001F31E5"/>
    <w:rsid w:val="001F32F5"/>
    <w:rsid w:val="001F3826"/>
    <w:rsid w:val="001F3876"/>
    <w:rsid w:val="001F4366"/>
    <w:rsid w:val="001F460F"/>
    <w:rsid w:val="001F4AFF"/>
    <w:rsid w:val="001F5604"/>
    <w:rsid w:val="001F6490"/>
    <w:rsid w:val="001F6B3A"/>
    <w:rsid w:val="001F6E46"/>
    <w:rsid w:val="001F77D3"/>
    <w:rsid w:val="001F7BB3"/>
    <w:rsid w:val="001F7C91"/>
    <w:rsid w:val="002004BF"/>
    <w:rsid w:val="002012B4"/>
    <w:rsid w:val="0020132A"/>
    <w:rsid w:val="002023CD"/>
    <w:rsid w:val="002028EA"/>
    <w:rsid w:val="00202D6C"/>
    <w:rsid w:val="002033B7"/>
    <w:rsid w:val="0020346E"/>
    <w:rsid w:val="00203569"/>
    <w:rsid w:val="00203A1D"/>
    <w:rsid w:val="00203ED3"/>
    <w:rsid w:val="002051EE"/>
    <w:rsid w:val="00206463"/>
    <w:rsid w:val="00206F2F"/>
    <w:rsid w:val="00207717"/>
    <w:rsid w:val="00207C0B"/>
    <w:rsid w:val="0021053D"/>
    <w:rsid w:val="00210A92"/>
    <w:rsid w:val="002113B6"/>
    <w:rsid w:val="00211A7A"/>
    <w:rsid w:val="00211F3A"/>
    <w:rsid w:val="00212B95"/>
    <w:rsid w:val="0021312C"/>
    <w:rsid w:val="00213512"/>
    <w:rsid w:val="0021370F"/>
    <w:rsid w:val="00213797"/>
    <w:rsid w:val="002157A4"/>
    <w:rsid w:val="00215CC8"/>
    <w:rsid w:val="00216A23"/>
    <w:rsid w:val="00216C03"/>
    <w:rsid w:val="00216E65"/>
    <w:rsid w:val="00220A1A"/>
    <w:rsid w:val="00220C04"/>
    <w:rsid w:val="002214CB"/>
    <w:rsid w:val="002223EE"/>
    <w:rsid w:val="0022278D"/>
    <w:rsid w:val="002243AE"/>
    <w:rsid w:val="00225AB3"/>
    <w:rsid w:val="0022701F"/>
    <w:rsid w:val="002272CB"/>
    <w:rsid w:val="00227C68"/>
    <w:rsid w:val="002308FC"/>
    <w:rsid w:val="00231818"/>
    <w:rsid w:val="00231C56"/>
    <w:rsid w:val="00232AF9"/>
    <w:rsid w:val="002333F5"/>
    <w:rsid w:val="00233724"/>
    <w:rsid w:val="00233CEE"/>
    <w:rsid w:val="00234055"/>
    <w:rsid w:val="002342C5"/>
    <w:rsid w:val="002359EB"/>
    <w:rsid w:val="002365B4"/>
    <w:rsid w:val="00236AE3"/>
    <w:rsid w:val="00240100"/>
    <w:rsid w:val="00240F63"/>
    <w:rsid w:val="002426CD"/>
    <w:rsid w:val="002432E1"/>
    <w:rsid w:val="00243D67"/>
    <w:rsid w:val="0024430D"/>
    <w:rsid w:val="00244565"/>
    <w:rsid w:val="00246207"/>
    <w:rsid w:val="00246759"/>
    <w:rsid w:val="002467A0"/>
    <w:rsid w:val="00246C5E"/>
    <w:rsid w:val="00246F56"/>
    <w:rsid w:val="002504A0"/>
    <w:rsid w:val="00250960"/>
    <w:rsid w:val="00250F24"/>
    <w:rsid w:val="00251343"/>
    <w:rsid w:val="00251A5F"/>
    <w:rsid w:val="00251BCD"/>
    <w:rsid w:val="002536A4"/>
    <w:rsid w:val="00253A3E"/>
    <w:rsid w:val="0025426E"/>
    <w:rsid w:val="00254F58"/>
    <w:rsid w:val="00255E8E"/>
    <w:rsid w:val="00256775"/>
    <w:rsid w:val="00256903"/>
    <w:rsid w:val="00256987"/>
    <w:rsid w:val="00257BB1"/>
    <w:rsid w:val="002600BD"/>
    <w:rsid w:val="002601CE"/>
    <w:rsid w:val="002620BC"/>
    <w:rsid w:val="00262802"/>
    <w:rsid w:val="0026328C"/>
    <w:rsid w:val="002637F8"/>
    <w:rsid w:val="00263A26"/>
    <w:rsid w:val="00263A90"/>
    <w:rsid w:val="00263D74"/>
    <w:rsid w:val="0026408B"/>
    <w:rsid w:val="002649B2"/>
    <w:rsid w:val="00264E2A"/>
    <w:rsid w:val="002655E4"/>
    <w:rsid w:val="002659EA"/>
    <w:rsid w:val="0026714D"/>
    <w:rsid w:val="002677D0"/>
    <w:rsid w:val="00267C3E"/>
    <w:rsid w:val="002705BE"/>
    <w:rsid w:val="002709BB"/>
    <w:rsid w:val="0027131C"/>
    <w:rsid w:val="002717FE"/>
    <w:rsid w:val="00272861"/>
    <w:rsid w:val="00272BCF"/>
    <w:rsid w:val="00273B96"/>
    <w:rsid w:val="00273BAC"/>
    <w:rsid w:val="00274187"/>
    <w:rsid w:val="002751B5"/>
    <w:rsid w:val="0027562E"/>
    <w:rsid w:val="002763B3"/>
    <w:rsid w:val="00277757"/>
    <w:rsid w:val="002802E3"/>
    <w:rsid w:val="00280706"/>
    <w:rsid w:val="00280BFC"/>
    <w:rsid w:val="00281570"/>
    <w:rsid w:val="002820B3"/>
    <w:rsid w:val="0028213D"/>
    <w:rsid w:val="00282A7F"/>
    <w:rsid w:val="002831E8"/>
    <w:rsid w:val="00283946"/>
    <w:rsid w:val="00283E61"/>
    <w:rsid w:val="00284982"/>
    <w:rsid w:val="002862F1"/>
    <w:rsid w:val="002864D0"/>
    <w:rsid w:val="002864D6"/>
    <w:rsid w:val="00286C77"/>
    <w:rsid w:val="0029054B"/>
    <w:rsid w:val="00291373"/>
    <w:rsid w:val="00291764"/>
    <w:rsid w:val="00292E4D"/>
    <w:rsid w:val="0029597D"/>
    <w:rsid w:val="0029610F"/>
    <w:rsid w:val="002962C3"/>
    <w:rsid w:val="00296501"/>
    <w:rsid w:val="00296F78"/>
    <w:rsid w:val="0029752B"/>
    <w:rsid w:val="0029761A"/>
    <w:rsid w:val="00297C23"/>
    <w:rsid w:val="002A011C"/>
    <w:rsid w:val="002A0126"/>
    <w:rsid w:val="002A01D8"/>
    <w:rsid w:val="002A01F3"/>
    <w:rsid w:val="002A0A9C"/>
    <w:rsid w:val="002A0FD2"/>
    <w:rsid w:val="002A12D1"/>
    <w:rsid w:val="002A1BB6"/>
    <w:rsid w:val="002A2049"/>
    <w:rsid w:val="002A483C"/>
    <w:rsid w:val="002A5645"/>
    <w:rsid w:val="002A5647"/>
    <w:rsid w:val="002A5950"/>
    <w:rsid w:val="002A6BF6"/>
    <w:rsid w:val="002B09C4"/>
    <w:rsid w:val="002B0C7C"/>
    <w:rsid w:val="002B15F1"/>
    <w:rsid w:val="002B1729"/>
    <w:rsid w:val="002B36C7"/>
    <w:rsid w:val="002B37FC"/>
    <w:rsid w:val="002B3986"/>
    <w:rsid w:val="002B4C26"/>
    <w:rsid w:val="002B4DD4"/>
    <w:rsid w:val="002B5277"/>
    <w:rsid w:val="002B5375"/>
    <w:rsid w:val="002B5FD8"/>
    <w:rsid w:val="002B64DD"/>
    <w:rsid w:val="002B6EA6"/>
    <w:rsid w:val="002B77C1"/>
    <w:rsid w:val="002C051A"/>
    <w:rsid w:val="002C0ED7"/>
    <w:rsid w:val="002C2728"/>
    <w:rsid w:val="002C4BE9"/>
    <w:rsid w:val="002C593B"/>
    <w:rsid w:val="002C5B7C"/>
    <w:rsid w:val="002C74E4"/>
    <w:rsid w:val="002D00FF"/>
    <w:rsid w:val="002D0776"/>
    <w:rsid w:val="002D19AE"/>
    <w:rsid w:val="002D1E0D"/>
    <w:rsid w:val="002D2B40"/>
    <w:rsid w:val="002D4059"/>
    <w:rsid w:val="002D477C"/>
    <w:rsid w:val="002D4BA7"/>
    <w:rsid w:val="002D5006"/>
    <w:rsid w:val="002D504C"/>
    <w:rsid w:val="002D511E"/>
    <w:rsid w:val="002D5C1B"/>
    <w:rsid w:val="002D6E54"/>
    <w:rsid w:val="002D7C61"/>
    <w:rsid w:val="002D7D65"/>
    <w:rsid w:val="002E01D0"/>
    <w:rsid w:val="002E0E12"/>
    <w:rsid w:val="002E161D"/>
    <w:rsid w:val="002E2007"/>
    <w:rsid w:val="002E26DF"/>
    <w:rsid w:val="002E28A2"/>
    <w:rsid w:val="002E29B1"/>
    <w:rsid w:val="002E3100"/>
    <w:rsid w:val="002E321A"/>
    <w:rsid w:val="002E37BE"/>
    <w:rsid w:val="002E3806"/>
    <w:rsid w:val="002E3E7F"/>
    <w:rsid w:val="002E6ADC"/>
    <w:rsid w:val="002E6C95"/>
    <w:rsid w:val="002E7B86"/>
    <w:rsid w:val="002E7C36"/>
    <w:rsid w:val="002F332F"/>
    <w:rsid w:val="002F3D32"/>
    <w:rsid w:val="002F50EE"/>
    <w:rsid w:val="002F53D4"/>
    <w:rsid w:val="002F554D"/>
    <w:rsid w:val="002F5F31"/>
    <w:rsid w:val="002F5F46"/>
    <w:rsid w:val="002F745F"/>
    <w:rsid w:val="00300796"/>
    <w:rsid w:val="003009A2"/>
    <w:rsid w:val="00300AB4"/>
    <w:rsid w:val="00302216"/>
    <w:rsid w:val="00303E53"/>
    <w:rsid w:val="00304D7C"/>
    <w:rsid w:val="00305CC1"/>
    <w:rsid w:val="00305D0E"/>
    <w:rsid w:val="0030622E"/>
    <w:rsid w:val="00306E5F"/>
    <w:rsid w:val="00306E84"/>
    <w:rsid w:val="00307E14"/>
    <w:rsid w:val="00310381"/>
    <w:rsid w:val="00310E1F"/>
    <w:rsid w:val="00311BF2"/>
    <w:rsid w:val="00313BFB"/>
    <w:rsid w:val="00314054"/>
    <w:rsid w:val="003140FF"/>
    <w:rsid w:val="003147F5"/>
    <w:rsid w:val="00314A87"/>
    <w:rsid w:val="00314AC5"/>
    <w:rsid w:val="00314C7F"/>
    <w:rsid w:val="003154C8"/>
    <w:rsid w:val="00315826"/>
    <w:rsid w:val="00316064"/>
    <w:rsid w:val="00316F27"/>
    <w:rsid w:val="00320F56"/>
    <w:rsid w:val="003214F1"/>
    <w:rsid w:val="003219C4"/>
    <w:rsid w:val="00322E4B"/>
    <w:rsid w:val="00323105"/>
    <w:rsid w:val="00324947"/>
    <w:rsid w:val="00324B88"/>
    <w:rsid w:val="00325463"/>
    <w:rsid w:val="00325A8C"/>
    <w:rsid w:val="00325E75"/>
    <w:rsid w:val="003276E9"/>
    <w:rsid w:val="00327870"/>
    <w:rsid w:val="003304AC"/>
    <w:rsid w:val="00330531"/>
    <w:rsid w:val="0033259D"/>
    <w:rsid w:val="003333D2"/>
    <w:rsid w:val="0033433E"/>
    <w:rsid w:val="00334686"/>
    <w:rsid w:val="00334A75"/>
    <w:rsid w:val="003355B4"/>
    <w:rsid w:val="00336681"/>
    <w:rsid w:val="00336828"/>
    <w:rsid w:val="00337339"/>
    <w:rsid w:val="0033762D"/>
    <w:rsid w:val="00340345"/>
    <w:rsid w:val="003406C6"/>
    <w:rsid w:val="003418CC"/>
    <w:rsid w:val="003423AA"/>
    <w:rsid w:val="003434EE"/>
    <w:rsid w:val="00343698"/>
    <w:rsid w:val="0034483A"/>
    <w:rsid w:val="003456AF"/>
    <w:rsid w:val="003459BD"/>
    <w:rsid w:val="00345CD4"/>
    <w:rsid w:val="00346139"/>
    <w:rsid w:val="00346652"/>
    <w:rsid w:val="003503C9"/>
    <w:rsid w:val="0035094E"/>
    <w:rsid w:val="00350D38"/>
    <w:rsid w:val="0035156E"/>
    <w:rsid w:val="003515C1"/>
    <w:rsid w:val="00351B36"/>
    <w:rsid w:val="00352D1E"/>
    <w:rsid w:val="00354D10"/>
    <w:rsid w:val="00355CB3"/>
    <w:rsid w:val="0035764A"/>
    <w:rsid w:val="00357B4E"/>
    <w:rsid w:val="00357ECA"/>
    <w:rsid w:val="00362E15"/>
    <w:rsid w:val="003649AA"/>
    <w:rsid w:val="00364A71"/>
    <w:rsid w:val="00364B0D"/>
    <w:rsid w:val="003653EE"/>
    <w:rsid w:val="00365B21"/>
    <w:rsid w:val="0036767B"/>
    <w:rsid w:val="00367CA1"/>
    <w:rsid w:val="00367E5F"/>
    <w:rsid w:val="00370918"/>
    <w:rsid w:val="00371396"/>
    <w:rsid w:val="003716FD"/>
    <w:rsid w:val="0037204B"/>
    <w:rsid w:val="0037217C"/>
    <w:rsid w:val="00372DFE"/>
    <w:rsid w:val="00372E67"/>
    <w:rsid w:val="00372EBF"/>
    <w:rsid w:val="003733E0"/>
    <w:rsid w:val="003736E3"/>
    <w:rsid w:val="003744CF"/>
    <w:rsid w:val="00374683"/>
    <w:rsid w:val="00374717"/>
    <w:rsid w:val="00376419"/>
    <w:rsid w:val="0037676C"/>
    <w:rsid w:val="0037746E"/>
    <w:rsid w:val="00377741"/>
    <w:rsid w:val="00377C72"/>
    <w:rsid w:val="00380F01"/>
    <w:rsid w:val="00381043"/>
    <w:rsid w:val="00381758"/>
    <w:rsid w:val="00381778"/>
    <w:rsid w:val="0038235A"/>
    <w:rsid w:val="003823EA"/>
    <w:rsid w:val="003829E5"/>
    <w:rsid w:val="00383D9D"/>
    <w:rsid w:val="00383FB6"/>
    <w:rsid w:val="00385789"/>
    <w:rsid w:val="00385DB2"/>
    <w:rsid w:val="00386109"/>
    <w:rsid w:val="0038679C"/>
    <w:rsid w:val="00386944"/>
    <w:rsid w:val="00387FD0"/>
    <w:rsid w:val="003910DC"/>
    <w:rsid w:val="003923F4"/>
    <w:rsid w:val="003930C2"/>
    <w:rsid w:val="00393A35"/>
    <w:rsid w:val="00393BBB"/>
    <w:rsid w:val="00394C33"/>
    <w:rsid w:val="003956CC"/>
    <w:rsid w:val="0039583E"/>
    <w:rsid w:val="00395C9A"/>
    <w:rsid w:val="00395D61"/>
    <w:rsid w:val="00396103"/>
    <w:rsid w:val="003A0853"/>
    <w:rsid w:val="003A0F5F"/>
    <w:rsid w:val="003A177C"/>
    <w:rsid w:val="003A1A95"/>
    <w:rsid w:val="003A4EAA"/>
    <w:rsid w:val="003A6880"/>
    <w:rsid w:val="003A69DC"/>
    <w:rsid w:val="003A6B67"/>
    <w:rsid w:val="003B13B6"/>
    <w:rsid w:val="003B14C3"/>
    <w:rsid w:val="003B15E6"/>
    <w:rsid w:val="003B22EF"/>
    <w:rsid w:val="003B28F2"/>
    <w:rsid w:val="003B408A"/>
    <w:rsid w:val="003B4B8F"/>
    <w:rsid w:val="003B4DFF"/>
    <w:rsid w:val="003B5B69"/>
    <w:rsid w:val="003C08A2"/>
    <w:rsid w:val="003C1058"/>
    <w:rsid w:val="003C110F"/>
    <w:rsid w:val="003C1676"/>
    <w:rsid w:val="003C2045"/>
    <w:rsid w:val="003C2195"/>
    <w:rsid w:val="003C28F0"/>
    <w:rsid w:val="003C2BE2"/>
    <w:rsid w:val="003C43A1"/>
    <w:rsid w:val="003C4508"/>
    <w:rsid w:val="003C47EE"/>
    <w:rsid w:val="003C4FC0"/>
    <w:rsid w:val="003C55F4"/>
    <w:rsid w:val="003C613B"/>
    <w:rsid w:val="003C77EE"/>
    <w:rsid w:val="003C7897"/>
    <w:rsid w:val="003C7A3F"/>
    <w:rsid w:val="003D2766"/>
    <w:rsid w:val="003D2A74"/>
    <w:rsid w:val="003D3D88"/>
    <w:rsid w:val="003D3E8F"/>
    <w:rsid w:val="003D4CFB"/>
    <w:rsid w:val="003D54C3"/>
    <w:rsid w:val="003D6475"/>
    <w:rsid w:val="003D6D49"/>
    <w:rsid w:val="003D6EE6"/>
    <w:rsid w:val="003D750B"/>
    <w:rsid w:val="003E0154"/>
    <w:rsid w:val="003E2B7E"/>
    <w:rsid w:val="003E2DF9"/>
    <w:rsid w:val="003E375C"/>
    <w:rsid w:val="003E4086"/>
    <w:rsid w:val="003E5A42"/>
    <w:rsid w:val="003E5ABA"/>
    <w:rsid w:val="003E5B75"/>
    <w:rsid w:val="003E639E"/>
    <w:rsid w:val="003E71E5"/>
    <w:rsid w:val="003E7392"/>
    <w:rsid w:val="003E7901"/>
    <w:rsid w:val="003F0445"/>
    <w:rsid w:val="003F0CF0"/>
    <w:rsid w:val="003F0FB2"/>
    <w:rsid w:val="003F0FEC"/>
    <w:rsid w:val="003F14B1"/>
    <w:rsid w:val="003F17B6"/>
    <w:rsid w:val="003F19C5"/>
    <w:rsid w:val="003F1CB6"/>
    <w:rsid w:val="003F2B20"/>
    <w:rsid w:val="003F31BF"/>
    <w:rsid w:val="003F3289"/>
    <w:rsid w:val="003F36A3"/>
    <w:rsid w:val="003F3AB4"/>
    <w:rsid w:val="003F3B94"/>
    <w:rsid w:val="003F3C62"/>
    <w:rsid w:val="003F55C6"/>
    <w:rsid w:val="003F5CB9"/>
    <w:rsid w:val="003F631A"/>
    <w:rsid w:val="003F74DE"/>
    <w:rsid w:val="004013C7"/>
    <w:rsid w:val="00401E7D"/>
    <w:rsid w:val="00401FCF"/>
    <w:rsid w:val="0040210F"/>
    <w:rsid w:val="00402208"/>
    <w:rsid w:val="00402622"/>
    <w:rsid w:val="0040289B"/>
    <w:rsid w:val="00402DB0"/>
    <w:rsid w:val="00402EA3"/>
    <w:rsid w:val="00403A2D"/>
    <w:rsid w:val="00403B7B"/>
    <w:rsid w:val="00403CFE"/>
    <w:rsid w:val="00406285"/>
    <w:rsid w:val="004077F6"/>
    <w:rsid w:val="00410253"/>
    <w:rsid w:val="004115A2"/>
    <w:rsid w:val="004118FD"/>
    <w:rsid w:val="00412D57"/>
    <w:rsid w:val="00412E07"/>
    <w:rsid w:val="00413005"/>
    <w:rsid w:val="00413F79"/>
    <w:rsid w:val="004148F9"/>
    <w:rsid w:val="00414F39"/>
    <w:rsid w:val="004151AC"/>
    <w:rsid w:val="004175C7"/>
    <w:rsid w:val="0041791F"/>
    <w:rsid w:val="00417BF4"/>
    <w:rsid w:val="00420579"/>
    <w:rsid w:val="0042084E"/>
    <w:rsid w:val="00421759"/>
    <w:rsid w:val="00421A61"/>
    <w:rsid w:val="00421EEF"/>
    <w:rsid w:val="00423EDD"/>
    <w:rsid w:val="00424D65"/>
    <w:rsid w:val="0042526D"/>
    <w:rsid w:val="00426497"/>
    <w:rsid w:val="00427817"/>
    <w:rsid w:val="00427F7C"/>
    <w:rsid w:val="00430393"/>
    <w:rsid w:val="00431029"/>
    <w:rsid w:val="004312F9"/>
    <w:rsid w:val="00431806"/>
    <w:rsid w:val="00431A70"/>
    <w:rsid w:val="00431F42"/>
    <w:rsid w:val="004324C2"/>
    <w:rsid w:val="00432DF1"/>
    <w:rsid w:val="0043499C"/>
    <w:rsid w:val="00435735"/>
    <w:rsid w:val="00436D0B"/>
    <w:rsid w:val="004418C3"/>
    <w:rsid w:val="00441A83"/>
    <w:rsid w:val="00441E26"/>
    <w:rsid w:val="00442A5A"/>
    <w:rsid w:val="00442C6C"/>
    <w:rsid w:val="0044367A"/>
    <w:rsid w:val="00443CBE"/>
    <w:rsid w:val="00443E8A"/>
    <w:rsid w:val="0044402E"/>
    <w:rsid w:val="004441BC"/>
    <w:rsid w:val="004468B4"/>
    <w:rsid w:val="00446D86"/>
    <w:rsid w:val="00447573"/>
    <w:rsid w:val="00447A89"/>
    <w:rsid w:val="00450C1F"/>
    <w:rsid w:val="004517F0"/>
    <w:rsid w:val="00451A67"/>
    <w:rsid w:val="00452167"/>
    <w:rsid w:val="0045230A"/>
    <w:rsid w:val="00453233"/>
    <w:rsid w:val="00453792"/>
    <w:rsid w:val="004543F1"/>
    <w:rsid w:val="004547C7"/>
    <w:rsid w:val="00454AD0"/>
    <w:rsid w:val="00455553"/>
    <w:rsid w:val="00455AB1"/>
    <w:rsid w:val="00457337"/>
    <w:rsid w:val="004579AC"/>
    <w:rsid w:val="004606F3"/>
    <w:rsid w:val="004608EB"/>
    <w:rsid w:val="00461672"/>
    <w:rsid w:val="004619D5"/>
    <w:rsid w:val="004625D2"/>
    <w:rsid w:val="00462A64"/>
    <w:rsid w:val="00462E3D"/>
    <w:rsid w:val="0046471A"/>
    <w:rsid w:val="00465F54"/>
    <w:rsid w:val="00466E79"/>
    <w:rsid w:val="00467143"/>
    <w:rsid w:val="00467474"/>
    <w:rsid w:val="00467B14"/>
    <w:rsid w:val="004704F7"/>
    <w:rsid w:val="00470D7D"/>
    <w:rsid w:val="0047110C"/>
    <w:rsid w:val="0047129F"/>
    <w:rsid w:val="00471453"/>
    <w:rsid w:val="00472E5F"/>
    <w:rsid w:val="004734F0"/>
    <w:rsid w:val="0047372D"/>
    <w:rsid w:val="00473BA3"/>
    <w:rsid w:val="004743DD"/>
    <w:rsid w:val="00474CEA"/>
    <w:rsid w:val="00477CD3"/>
    <w:rsid w:val="00480ACE"/>
    <w:rsid w:val="004818CB"/>
    <w:rsid w:val="00483221"/>
    <w:rsid w:val="00483968"/>
    <w:rsid w:val="004841BE"/>
    <w:rsid w:val="00484245"/>
    <w:rsid w:val="00484F86"/>
    <w:rsid w:val="004854E5"/>
    <w:rsid w:val="00486493"/>
    <w:rsid w:val="00486749"/>
    <w:rsid w:val="004875A6"/>
    <w:rsid w:val="00487826"/>
    <w:rsid w:val="00490746"/>
    <w:rsid w:val="00490852"/>
    <w:rsid w:val="00491A4A"/>
    <w:rsid w:val="00491C9C"/>
    <w:rsid w:val="004920F7"/>
    <w:rsid w:val="004927BA"/>
    <w:rsid w:val="00492F30"/>
    <w:rsid w:val="0049404C"/>
    <w:rsid w:val="0049416C"/>
    <w:rsid w:val="00494502"/>
    <w:rsid w:val="004946F4"/>
    <w:rsid w:val="0049487E"/>
    <w:rsid w:val="004958F6"/>
    <w:rsid w:val="0049590D"/>
    <w:rsid w:val="00495D5C"/>
    <w:rsid w:val="00496CA9"/>
    <w:rsid w:val="004979B0"/>
    <w:rsid w:val="004A01B5"/>
    <w:rsid w:val="004A160D"/>
    <w:rsid w:val="004A2234"/>
    <w:rsid w:val="004A282C"/>
    <w:rsid w:val="004A2E23"/>
    <w:rsid w:val="004A2F8C"/>
    <w:rsid w:val="004A30FE"/>
    <w:rsid w:val="004A3E81"/>
    <w:rsid w:val="004A4195"/>
    <w:rsid w:val="004A4DAD"/>
    <w:rsid w:val="004A5C62"/>
    <w:rsid w:val="004A5CE5"/>
    <w:rsid w:val="004A643F"/>
    <w:rsid w:val="004A677E"/>
    <w:rsid w:val="004A6A24"/>
    <w:rsid w:val="004A6CD0"/>
    <w:rsid w:val="004A707D"/>
    <w:rsid w:val="004B0166"/>
    <w:rsid w:val="004B0974"/>
    <w:rsid w:val="004B1AFF"/>
    <w:rsid w:val="004B3B3D"/>
    <w:rsid w:val="004B4185"/>
    <w:rsid w:val="004B45BD"/>
    <w:rsid w:val="004B4C25"/>
    <w:rsid w:val="004B5331"/>
    <w:rsid w:val="004B7D0F"/>
    <w:rsid w:val="004C014B"/>
    <w:rsid w:val="004C0821"/>
    <w:rsid w:val="004C0A82"/>
    <w:rsid w:val="004C139F"/>
    <w:rsid w:val="004C148A"/>
    <w:rsid w:val="004C1E1D"/>
    <w:rsid w:val="004C2101"/>
    <w:rsid w:val="004C5000"/>
    <w:rsid w:val="004C5541"/>
    <w:rsid w:val="004C6EEE"/>
    <w:rsid w:val="004C702B"/>
    <w:rsid w:val="004C70AF"/>
    <w:rsid w:val="004D0033"/>
    <w:rsid w:val="004D016B"/>
    <w:rsid w:val="004D1B22"/>
    <w:rsid w:val="004D23CC"/>
    <w:rsid w:val="004D36F2"/>
    <w:rsid w:val="004D4355"/>
    <w:rsid w:val="004D4878"/>
    <w:rsid w:val="004D63AC"/>
    <w:rsid w:val="004E0DE2"/>
    <w:rsid w:val="004E0EE6"/>
    <w:rsid w:val="004E1106"/>
    <w:rsid w:val="004E138F"/>
    <w:rsid w:val="004E1581"/>
    <w:rsid w:val="004E1B37"/>
    <w:rsid w:val="004E2BCE"/>
    <w:rsid w:val="004E4649"/>
    <w:rsid w:val="004E49AA"/>
    <w:rsid w:val="004E5077"/>
    <w:rsid w:val="004E58A4"/>
    <w:rsid w:val="004E5BBF"/>
    <w:rsid w:val="004E5C2B"/>
    <w:rsid w:val="004E631F"/>
    <w:rsid w:val="004E6503"/>
    <w:rsid w:val="004E6D97"/>
    <w:rsid w:val="004F00DD"/>
    <w:rsid w:val="004F06E5"/>
    <w:rsid w:val="004F189D"/>
    <w:rsid w:val="004F2133"/>
    <w:rsid w:val="004F2AED"/>
    <w:rsid w:val="004F2C14"/>
    <w:rsid w:val="004F33EE"/>
    <w:rsid w:val="004F4625"/>
    <w:rsid w:val="004F5398"/>
    <w:rsid w:val="004F53F3"/>
    <w:rsid w:val="004F55F1"/>
    <w:rsid w:val="004F5A57"/>
    <w:rsid w:val="004F5DA0"/>
    <w:rsid w:val="004F6936"/>
    <w:rsid w:val="004F6A39"/>
    <w:rsid w:val="00500560"/>
    <w:rsid w:val="0050082B"/>
    <w:rsid w:val="005016D4"/>
    <w:rsid w:val="005031A3"/>
    <w:rsid w:val="005036B2"/>
    <w:rsid w:val="00503DC6"/>
    <w:rsid w:val="00503F5E"/>
    <w:rsid w:val="00504B5C"/>
    <w:rsid w:val="00504DCA"/>
    <w:rsid w:val="00506B33"/>
    <w:rsid w:val="00506BEF"/>
    <w:rsid w:val="00506F2F"/>
    <w:rsid w:val="00506F5D"/>
    <w:rsid w:val="00510C37"/>
    <w:rsid w:val="005126D0"/>
    <w:rsid w:val="005127B0"/>
    <w:rsid w:val="00514667"/>
    <w:rsid w:val="00514FEA"/>
    <w:rsid w:val="0051568D"/>
    <w:rsid w:val="005158BE"/>
    <w:rsid w:val="00515AFB"/>
    <w:rsid w:val="00515CC3"/>
    <w:rsid w:val="005164D7"/>
    <w:rsid w:val="00516ECB"/>
    <w:rsid w:val="0052074F"/>
    <w:rsid w:val="00520B44"/>
    <w:rsid w:val="0052150D"/>
    <w:rsid w:val="0052338F"/>
    <w:rsid w:val="00523CA1"/>
    <w:rsid w:val="00523F8B"/>
    <w:rsid w:val="00525701"/>
    <w:rsid w:val="00526AC7"/>
    <w:rsid w:val="00526C15"/>
    <w:rsid w:val="00526C9B"/>
    <w:rsid w:val="005273D5"/>
    <w:rsid w:val="00527C93"/>
    <w:rsid w:val="0053178F"/>
    <w:rsid w:val="00532CE5"/>
    <w:rsid w:val="00536499"/>
    <w:rsid w:val="005368BC"/>
    <w:rsid w:val="005368D4"/>
    <w:rsid w:val="00540791"/>
    <w:rsid w:val="00540F57"/>
    <w:rsid w:val="00542685"/>
    <w:rsid w:val="00542A03"/>
    <w:rsid w:val="005437B1"/>
    <w:rsid w:val="005437BA"/>
    <w:rsid w:val="00543903"/>
    <w:rsid w:val="00543B8C"/>
    <w:rsid w:val="00543BCC"/>
    <w:rsid w:val="00543F11"/>
    <w:rsid w:val="00544646"/>
    <w:rsid w:val="00546305"/>
    <w:rsid w:val="00546805"/>
    <w:rsid w:val="00547A07"/>
    <w:rsid w:val="00547A95"/>
    <w:rsid w:val="0055119B"/>
    <w:rsid w:val="00551492"/>
    <w:rsid w:val="00552F2F"/>
    <w:rsid w:val="005569CF"/>
    <w:rsid w:val="00557106"/>
    <w:rsid w:val="00557E7C"/>
    <w:rsid w:val="00560CDE"/>
    <w:rsid w:val="00561202"/>
    <w:rsid w:val="005614F6"/>
    <w:rsid w:val="0056195B"/>
    <w:rsid w:val="00562507"/>
    <w:rsid w:val="00562811"/>
    <w:rsid w:val="00564E8D"/>
    <w:rsid w:val="0056595E"/>
    <w:rsid w:val="00566326"/>
    <w:rsid w:val="0057009E"/>
    <w:rsid w:val="00570FD2"/>
    <w:rsid w:val="00572031"/>
    <w:rsid w:val="00572282"/>
    <w:rsid w:val="00573CE3"/>
    <w:rsid w:val="005752AB"/>
    <w:rsid w:val="005757A9"/>
    <w:rsid w:val="00576E84"/>
    <w:rsid w:val="00577F1C"/>
    <w:rsid w:val="00580394"/>
    <w:rsid w:val="005809CD"/>
    <w:rsid w:val="00581A9B"/>
    <w:rsid w:val="00581DA1"/>
    <w:rsid w:val="00582297"/>
    <w:rsid w:val="00582B8C"/>
    <w:rsid w:val="00583440"/>
    <w:rsid w:val="00584CC5"/>
    <w:rsid w:val="005871A1"/>
    <w:rsid w:val="0058757E"/>
    <w:rsid w:val="005907BE"/>
    <w:rsid w:val="005907FB"/>
    <w:rsid w:val="0059185A"/>
    <w:rsid w:val="0059225F"/>
    <w:rsid w:val="00592AC7"/>
    <w:rsid w:val="00593F93"/>
    <w:rsid w:val="005945A2"/>
    <w:rsid w:val="00594EAB"/>
    <w:rsid w:val="00596A4B"/>
    <w:rsid w:val="00596A86"/>
    <w:rsid w:val="00596D3D"/>
    <w:rsid w:val="00596E2C"/>
    <w:rsid w:val="00597507"/>
    <w:rsid w:val="005975CE"/>
    <w:rsid w:val="005A1A88"/>
    <w:rsid w:val="005A1EA6"/>
    <w:rsid w:val="005A1F6B"/>
    <w:rsid w:val="005A2DBE"/>
    <w:rsid w:val="005A2EE4"/>
    <w:rsid w:val="005A3563"/>
    <w:rsid w:val="005A3C26"/>
    <w:rsid w:val="005A479D"/>
    <w:rsid w:val="005A597D"/>
    <w:rsid w:val="005A5C3D"/>
    <w:rsid w:val="005B1C6D"/>
    <w:rsid w:val="005B21B6"/>
    <w:rsid w:val="005B2419"/>
    <w:rsid w:val="005B3A08"/>
    <w:rsid w:val="005B4C2D"/>
    <w:rsid w:val="005B5A00"/>
    <w:rsid w:val="005B6AB9"/>
    <w:rsid w:val="005B75EA"/>
    <w:rsid w:val="005B7A63"/>
    <w:rsid w:val="005C0955"/>
    <w:rsid w:val="005C4747"/>
    <w:rsid w:val="005C49DA"/>
    <w:rsid w:val="005C4BDB"/>
    <w:rsid w:val="005C50F3"/>
    <w:rsid w:val="005C54B5"/>
    <w:rsid w:val="005C5AA4"/>
    <w:rsid w:val="005C5D80"/>
    <w:rsid w:val="005C5D91"/>
    <w:rsid w:val="005C6D4B"/>
    <w:rsid w:val="005C6FAD"/>
    <w:rsid w:val="005C6FDF"/>
    <w:rsid w:val="005D043C"/>
    <w:rsid w:val="005D04D1"/>
    <w:rsid w:val="005D0765"/>
    <w:rsid w:val="005D07B8"/>
    <w:rsid w:val="005D198C"/>
    <w:rsid w:val="005D2ABA"/>
    <w:rsid w:val="005D412C"/>
    <w:rsid w:val="005D5172"/>
    <w:rsid w:val="005D5B9A"/>
    <w:rsid w:val="005D6597"/>
    <w:rsid w:val="005E03AA"/>
    <w:rsid w:val="005E14E7"/>
    <w:rsid w:val="005E1EA5"/>
    <w:rsid w:val="005E1FD5"/>
    <w:rsid w:val="005E26A3"/>
    <w:rsid w:val="005E299E"/>
    <w:rsid w:val="005E2E7F"/>
    <w:rsid w:val="005E2ECB"/>
    <w:rsid w:val="005E3C20"/>
    <w:rsid w:val="005E447E"/>
    <w:rsid w:val="005E4F68"/>
    <w:rsid w:val="005E4FD1"/>
    <w:rsid w:val="005E5891"/>
    <w:rsid w:val="005E79BB"/>
    <w:rsid w:val="005E7A51"/>
    <w:rsid w:val="005F0775"/>
    <w:rsid w:val="005F0CF5"/>
    <w:rsid w:val="005F21EB"/>
    <w:rsid w:val="005F2208"/>
    <w:rsid w:val="005F229E"/>
    <w:rsid w:val="005F579F"/>
    <w:rsid w:val="005F6114"/>
    <w:rsid w:val="005F64CF"/>
    <w:rsid w:val="005F6689"/>
    <w:rsid w:val="005F669D"/>
    <w:rsid w:val="005F6E52"/>
    <w:rsid w:val="006007E6"/>
    <w:rsid w:val="00600ADE"/>
    <w:rsid w:val="00600CD7"/>
    <w:rsid w:val="006011DA"/>
    <w:rsid w:val="0060233F"/>
    <w:rsid w:val="00603FE2"/>
    <w:rsid w:val="006041AD"/>
    <w:rsid w:val="006044F6"/>
    <w:rsid w:val="00605908"/>
    <w:rsid w:val="00605CCA"/>
    <w:rsid w:val="00606ACE"/>
    <w:rsid w:val="00606B2E"/>
    <w:rsid w:val="00606F4B"/>
    <w:rsid w:val="0060728E"/>
    <w:rsid w:val="00607850"/>
    <w:rsid w:val="00607EF7"/>
    <w:rsid w:val="00610878"/>
    <w:rsid w:val="00610C2C"/>
    <w:rsid w:val="00610D7C"/>
    <w:rsid w:val="006113BB"/>
    <w:rsid w:val="00611715"/>
    <w:rsid w:val="00613414"/>
    <w:rsid w:val="00615ACA"/>
    <w:rsid w:val="00615CF2"/>
    <w:rsid w:val="00620154"/>
    <w:rsid w:val="00620240"/>
    <w:rsid w:val="00620ABE"/>
    <w:rsid w:val="00623029"/>
    <w:rsid w:val="00623AB5"/>
    <w:rsid w:val="0062408D"/>
    <w:rsid w:val="006240CC"/>
    <w:rsid w:val="00624427"/>
    <w:rsid w:val="00624940"/>
    <w:rsid w:val="00624D67"/>
    <w:rsid w:val="006254F8"/>
    <w:rsid w:val="00627DA7"/>
    <w:rsid w:val="00627DEC"/>
    <w:rsid w:val="00630DA4"/>
    <w:rsid w:val="00630DC1"/>
    <w:rsid w:val="0063158B"/>
    <w:rsid w:val="00631CD4"/>
    <w:rsid w:val="00632597"/>
    <w:rsid w:val="0063279D"/>
    <w:rsid w:val="006329A1"/>
    <w:rsid w:val="00633ABE"/>
    <w:rsid w:val="00634D13"/>
    <w:rsid w:val="006357A5"/>
    <w:rsid w:val="006358B4"/>
    <w:rsid w:val="006359B7"/>
    <w:rsid w:val="00635EC1"/>
    <w:rsid w:val="00636A53"/>
    <w:rsid w:val="00636B70"/>
    <w:rsid w:val="00637391"/>
    <w:rsid w:val="00641724"/>
    <w:rsid w:val="006417D2"/>
    <w:rsid w:val="006419AA"/>
    <w:rsid w:val="00642FCD"/>
    <w:rsid w:val="00643131"/>
    <w:rsid w:val="0064372A"/>
    <w:rsid w:val="006437E0"/>
    <w:rsid w:val="0064466E"/>
    <w:rsid w:val="00644B1F"/>
    <w:rsid w:val="00644B7E"/>
    <w:rsid w:val="006454E6"/>
    <w:rsid w:val="00645E41"/>
    <w:rsid w:val="00645ED1"/>
    <w:rsid w:val="00646235"/>
    <w:rsid w:val="00646A68"/>
    <w:rsid w:val="00647D98"/>
    <w:rsid w:val="006505BD"/>
    <w:rsid w:val="006508EA"/>
    <w:rsid w:val="0065092E"/>
    <w:rsid w:val="00652F9E"/>
    <w:rsid w:val="006557A7"/>
    <w:rsid w:val="00656290"/>
    <w:rsid w:val="00656EAA"/>
    <w:rsid w:val="006601C9"/>
    <w:rsid w:val="006608D8"/>
    <w:rsid w:val="006611D7"/>
    <w:rsid w:val="0066141E"/>
    <w:rsid w:val="00661606"/>
    <w:rsid w:val="006621D7"/>
    <w:rsid w:val="0066302A"/>
    <w:rsid w:val="00665476"/>
    <w:rsid w:val="006669E1"/>
    <w:rsid w:val="00666DD5"/>
    <w:rsid w:val="00667770"/>
    <w:rsid w:val="00670597"/>
    <w:rsid w:val="006706D0"/>
    <w:rsid w:val="00671005"/>
    <w:rsid w:val="006746FF"/>
    <w:rsid w:val="00674DB8"/>
    <w:rsid w:val="00676C84"/>
    <w:rsid w:val="00677574"/>
    <w:rsid w:val="0068068E"/>
    <w:rsid w:val="006806EC"/>
    <w:rsid w:val="00681010"/>
    <w:rsid w:val="006812ED"/>
    <w:rsid w:val="006816DF"/>
    <w:rsid w:val="0068289C"/>
    <w:rsid w:val="00683264"/>
    <w:rsid w:val="00683878"/>
    <w:rsid w:val="00683D4D"/>
    <w:rsid w:val="00684380"/>
    <w:rsid w:val="0068454C"/>
    <w:rsid w:val="00684CF0"/>
    <w:rsid w:val="006850D4"/>
    <w:rsid w:val="00686688"/>
    <w:rsid w:val="00687DC8"/>
    <w:rsid w:val="00690CA8"/>
    <w:rsid w:val="00691B28"/>
    <w:rsid w:val="00691B62"/>
    <w:rsid w:val="0069301C"/>
    <w:rsid w:val="00693159"/>
    <w:rsid w:val="006933B5"/>
    <w:rsid w:val="00693546"/>
    <w:rsid w:val="00693D14"/>
    <w:rsid w:val="00694367"/>
    <w:rsid w:val="00694372"/>
    <w:rsid w:val="00696AC5"/>
    <w:rsid w:val="00696F27"/>
    <w:rsid w:val="006976E5"/>
    <w:rsid w:val="00697B01"/>
    <w:rsid w:val="006A18C2"/>
    <w:rsid w:val="006A1B02"/>
    <w:rsid w:val="006A2717"/>
    <w:rsid w:val="006A2D55"/>
    <w:rsid w:val="006A3383"/>
    <w:rsid w:val="006A33BD"/>
    <w:rsid w:val="006A3A2E"/>
    <w:rsid w:val="006A7482"/>
    <w:rsid w:val="006A74A3"/>
    <w:rsid w:val="006B077C"/>
    <w:rsid w:val="006B0C81"/>
    <w:rsid w:val="006B51DC"/>
    <w:rsid w:val="006B6803"/>
    <w:rsid w:val="006B6F0D"/>
    <w:rsid w:val="006B75BE"/>
    <w:rsid w:val="006C02B5"/>
    <w:rsid w:val="006C1A6C"/>
    <w:rsid w:val="006C1E8C"/>
    <w:rsid w:val="006C2376"/>
    <w:rsid w:val="006C2599"/>
    <w:rsid w:val="006C2865"/>
    <w:rsid w:val="006C2B61"/>
    <w:rsid w:val="006C4548"/>
    <w:rsid w:val="006C46ED"/>
    <w:rsid w:val="006C6B37"/>
    <w:rsid w:val="006C743D"/>
    <w:rsid w:val="006C7E90"/>
    <w:rsid w:val="006D0A26"/>
    <w:rsid w:val="006D0BC5"/>
    <w:rsid w:val="006D0F16"/>
    <w:rsid w:val="006D14D9"/>
    <w:rsid w:val="006D2A3F"/>
    <w:rsid w:val="006D2FBC"/>
    <w:rsid w:val="006D3EF9"/>
    <w:rsid w:val="006D4686"/>
    <w:rsid w:val="006D6A89"/>
    <w:rsid w:val="006D6E34"/>
    <w:rsid w:val="006D6E45"/>
    <w:rsid w:val="006D7B4E"/>
    <w:rsid w:val="006E0009"/>
    <w:rsid w:val="006E138B"/>
    <w:rsid w:val="006E1867"/>
    <w:rsid w:val="006E1BF2"/>
    <w:rsid w:val="006E2757"/>
    <w:rsid w:val="006E3159"/>
    <w:rsid w:val="006E4CE4"/>
    <w:rsid w:val="006E645F"/>
    <w:rsid w:val="006E678E"/>
    <w:rsid w:val="006E74BF"/>
    <w:rsid w:val="006E7FCD"/>
    <w:rsid w:val="006F0330"/>
    <w:rsid w:val="006F058B"/>
    <w:rsid w:val="006F1CA8"/>
    <w:rsid w:val="006F1FDC"/>
    <w:rsid w:val="006F2B30"/>
    <w:rsid w:val="006F2F5B"/>
    <w:rsid w:val="006F3990"/>
    <w:rsid w:val="006F6B76"/>
    <w:rsid w:val="006F6B8C"/>
    <w:rsid w:val="006F7696"/>
    <w:rsid w:val="0070019A"/>
    <w:rsid w:val="0070047A"/>
    <w:rsid w:val="007013EF"/>
    <w:rsid w:val="00702161"/>
    <w:rsid w:val="00703F75"/>
    <w:rsid w:val="00703FC6"/>
    <w:rsid w:val="007055BD"/>
    <w:rsid w:val="0070635C"/>
    <w:rsid w:val="00706AE1"/>
    <w:rsid w:val="007072E5"/>
    <w:rsid w:val="0071025B"/>
    <w:rsid w:val="00710916"/>
    <w:rsid w:val="007112A1"/>
    <w:rsid w:val="00711600"/>
    <w:rsid w:val="00711608"/>
    <w:rsid w:val="00711818"/>
    <w:rsid w:val="00712EA3"/>
    <w:rsid w:val="0071388A"/>
    <w:rsid w:val="0071412B"/>
    <w:rsid w:val="00714F65"/>
    <w:rsid w:val="00715318"/>
    <w:rsid w:val="007153E0"/>
    <w:rsid w:val="007156AA"/>
    <w:rsid w:val="00716834"/>
    <w:rsid w:val="00716C1E"/>
    <w:rsid w:val="00716D0B"/>
    <w:rsid w:val="007173CA"/>
    <w:rsid w:val="007174E2"/>
    <w:rsid w:val="00717B31"/>
    <w:rsid w:val="007206EB"/>
    <w:rsid w:val="00720C65"/>
    <w:rsid w:val="007211CB"/>
    <w:rsid w:val="007216AA"/>
    <w:rsid w:val="00721AB5"/>
    <w:rsid w:val="00721C38"/>
    <w:rsid w:val="00721CFB"/>
    <w:rsid w:val="00721DEF"/>
    <w:rsid w:val="0072296F"/>
    <w:rsid w:val="007243E3"/>
    <w:rsid w:val="00724A43"/>
    <w:rsid w:val="00724AE6"/>
    <w:rsid w:val="00725AAD"/>
    <w:rsid w:val="00725BC5"/>
    <w:rsid w:val="007273AC"/>
    <w:rsid w:val="007277BF"/>
    <w:rsid w:val="00727B8A"/>
    <w:rsid w:val="00731343"/>
    <w:rsid w:val="007317FD"/>
    <w:rsid w:val="00731AD4"/>
    <w:rsid w:val="0073292B"/>
    <w:rsid w:val="00732CF8"/>
    <w:rsid w:val="00733FA2"/>
    <w:rsid w:val="007342B2"/>
    <w:rsid w:val="0073436C"/>
    <w:rsid w:val="007346E4"/>
    <w:rsid w:val="00734B20"/>
    <w:rsid w:val="007351E7"/>
    <w:rsid w:val="00735564"/>
    <w:rsid w:val="00735C64"/>
    <w:rsid w:val="00735C73"/>
    <w:rsid w:val="00735FE4"/>
    <w:rsid w:val="00736904"/>
    <w:rsid w:val="007378E4"/>
    <w:rsid w:val="00740569"/>
    <w:rsid w:val="00740B15"/>
    <w:rsid w:val="00740F22"/>
    <w:rsid w:val="00741CF0"/>
    <w:rsid w:val="00741F1A"/>
    <w:rsid w:val="00742102"/>
    <w:rsid w:val="0074301B"/>
    <w:rsid w:val="007447DA"/>
    <w:rsid w:val="00744A0F"/>
    <w:rsid w:val="00744F2E"/>
    <w:rsid w:val="007450F8"/>
    <w:rsid w:val="00745944"/>
    <w:rsid w:val="0074696E"/>
    <w:rsid w:val="00747FA6"/>
    <w:rsid w:val="00750135"/>
    <w:rsid w:val="00750EC2"/>
    <w:rsid w:val="00751ECF"/>
    <w:rsid w:val="00752499"/>
    <w:rsid w:val="007524FF"/>
    <w:rsid w:val="007529AB"/>
    <w:rsid w:val="00752B28"/>
    <w:rsid w:val="007534E4"/>
    <w:rsid w:val="007536BC"/>
    <w:rsid w:val="00753DA2"/>
    <w:rsid w:val="007541A9"/>
    <w:rsid w:val="007543D6"/>
    <w:rsid w:val="00754878"/>
    <w:rsid w:val="0075493D"/>
    <w:rsid w:val="0075498E"/>
    <w:rsid w:val="00754E36"/>
    <w:rsid w:val="00754EA7"/>
    <w:rsid w:val="007559E4"/>
    <w:rsid w:val="00757132"/>
    <w:rsid w:val="0075747D"/>
    <w:rsid w:val="00760A3D"/>
    <w:rsid w:val="00762269"/>
    <w:rsid w:val="00762F82"/>
    <w:rsid w:val="00763139"/>
    <w:rsid w:val="007631C7"/>
    <w:rsid w:val="00763FF8"/>
    <w:rsid w:val="0076662B"/>
    <w:rsid w:val="00767740"/>
    <w:rsid w:val="0076778C"/>
    <w:rsid w:val="00767CAA"/>
    <w:rsid w:val="00770CB1"/>
    <w:rsid w:val="00770F37"/>
    <w:rsid w:val="00770F73"/>
    <w:rsid w:val="007711A0"/>
    <w:rsid w:val="00772D5E"/>
    <w:rsid w:val="0077463E"/>
    <w:rsid w:val="00775A72"/>
    <w:rsid w:val="007767A5"/>
    <w:rsid w:val="00776928"/>
    <w:rsid w:val="007769CA"/>
    <w:rsid w:val="00776D56"/>
    <w:rsid w:val="00776E0F"/>
    <w:rsid w:val="00777329"/>
    <w:rsid w:val="007774B1"/>
    <w:rsid w:val="00777BE1"/>
    <w:rsid w:val="00780423"/>
    <w:rsid w:val="007806E6"/>
    <w:rsid w:val="007807BF"/>
    <w:rsid w:val="00781F41"/>
    <w:rsid w:val="00782222"/>
    <w:rsid w:val="00782509"/>
    <w:rsid w:val="007833D8"/>
    <w:rsid w:val="0078343B"/>
    <w:rsid w:val="007842EA"/>
    <w:rsid w:val="00784634"/>
    <w:rsid w:val="00785677"/>
    <w:rsid w:val="00786EAF"/>
    <w:rsid w:val="00786F16"/>
    <w:rsid w:val="00790458"/>
    <w:rsid w:val="00790B56"/>
    <w:rsid w:val="00790D7C"/>
    <w:rsid w:val="00790FA5"/>
    <w:rsid w:val="0079118C"/>
    <w:rsid w:val="00791BD7"/>
    <w:rsid w:val="00791D78"/>
    <w:rsid w:val="00792EBD"/>
    <w:rsid w:val="00793230"/>
    <w:rsid w:val="007933F7"/>
    <w:rsid w:val="00793786"/>
    <w:rsid w:val="00794935"/>
    <w:rsid w:val="00796196"/>
    <w:rsid w:val="00796307"/>
    <w:rsid w:val="00796AA3"/>
    <w:rsid w:val="00796E20"/>
    <w:rsid w:val="007970CA"/>
    <w:rsid w:val="00797C32"/>
    <w:rsid w:val="007A019C"/>
    <w:rsid w:val="007A11E8"/>
    <w:rsid w:val="007A25A1"/>
    <w:rsid w:val="007A394D"/>
    <w:rsid w:val="007A3B3A"/>
    <w:rsid w:val="007A402E"/>
    <w:rsid w:val="007A69F4"/>
    <w:rsid w:val="007A6D25"/>
    <w:rsid w:val="007A7D3E"/>
    <w:rsid w:val="007B0914"/>
    <w:rsid w:val="007B1374"/>
    <w:rsid w:val="007B2172"/>
    <w:rsid w:val="007B32E5"/>
    <w:rsid w:val="007B3815"/>
    <w:rsid w:val="007B3924"/>
    <w:rsid w:val="007B3DB9"/>
    <w:rsid w:val="007B467D"/>
    <w:rsid w:val="007B49C5"/>
    <w:rsid w:val="007B5858"/>
    <w:rsid w:val="007B589F"/>
    <w:rsid w:val="007B6186"/>
    <w:rsid w:val="007B73BC"/>
    <w:rsid w:val="007C03E3"/>
    <w:rsid w:val="007C076A"/>
    <w:rsid w:val="007C1838"/>
    <w:rsid w:val="007C20B9"/>
    <w:rsid w:val="007C4926"/>
    <w:rsid w:val="007C4D6C"/>
    <w:rsid w:val="007C5133"/>
    <w:rsid w:val="007C519C"/>
    <w:rsid w:val="007C5D58"/>
    <w:rsid w:val="007C66F0"/>
    <w:rsid w:val="007C7301"/>
    <w:rsid w:val="007C7804"/>
    <w:rsid w:val="007C7859"/>
    <w:rsid w:val="007C7F28"/>
    <w:rsid w:val="007D1466"/>
    <w:rsid w:val="007D27AA"/>
    <w:rsid w:val="007D2AA9"/>
    <w:rsid w:val="007D2BDE"/>
    <w:rsid w:val="007D2FB6"/>
    <w:rsid w:val="007D4480"/>
    <w:rsid w:val="007D45F6"/>
    <w:rsid w:val="007D464C"/>
    <w:rsid w:val="007D49EB"/>
    <w:rsid w:val="007D4BA1"/>
    <w:rsid w:val="007D4FED"/>
    <w:rsid w:val="007D5E0F"/>
    <w:rsid w:val="007D5E1C"/>
    <w:rsid w:val="007D68A7"/>
    <w:rsid w:val="007D7448"/>
    <w:rsid w:val="007D7831"/>
    <w:rsid w:val="007D7E38"/>
    <w:rsid w:val="007E0196"/>
    <w:rsid w:val="007E0D37"/>
    <w:rsid w:val="007E0DE2"/>
    <w:rsid w:val="007E30A6"/>
    <w:rsid w:val="007E3667"/>
    <w:rsid w:val="007E3B98"/>
    <w:rsid w:val="007E3BE4"/>
    <w:rsid w:val="007E4045"/>
    <w:rsid w:val="007E417A"/>
    <w:rsid w:val="007E4191"/>
    <w:rsid w:val="007E44FC"/>
    <w:rsid w:val="007E4644"/>
    <w:rsid w:val="007E4F0F"/>
    <w:rsid w:val="007F2035"/>
    <w:rsid w:val="007F31B6"/>
    <w:rsid w:val="007F3B64"/>
    <w:rsid w:val="007F546C"/>
    <w:rsid w:val="007F5973"/>
    <w:rsid w:val="007F625F"/>
    <w:rsid w:val="007F665E"/>
    <w:rsid w:val="007F73B7"/>
    <w:rsid w:val="007F7612"/>
    <w:rsid w:val="00800154"/>
    <w:rsid w:val="00800412"/>
    <w:rsid w:val="00800F8C"/>
    <w:rsid w:val="00801FE2"/>
    <w:rsid w:val="00803D2F"/>
    <w:rsid w:val="0080585A"/>
    <w:rsid w:val="0080587B"/>
    <w:rsid w:val="00806468"/>
    <w:rsid w:val="0080774E"/>
    <w:rsid w:val="008107FC"/>
    <w:rsid w:val="008119CA"/>
    <w:rsid w:val="00811EED"/>
    <w:rsid w:val="008130C4"/>
    <w:rsid w:val="0081382F"/>
    <w:rsid w:val="00814033"/>
    <w:rsid w:val="008155F0"/>
    <w:rsid w:val="00815EA4"/>
    <w:rsid w:val="00816735"/>
    <w:rsid w:val="00816760"/>
    <w:rsid w:val="008169FD"/>
    <w:rsid w:val="0081705A"/>
    <w:rsid w:val="00817D53"/>
    <w:rsid w:val="00820141"/>
    <w:rsid w:val="00820792"/>
    <w:rsid w:val="008207F5"/>
    <w:rsid w:val="00820C26"/>
    <w:rsid w:val="00820E0C"/>
    <w:rsid w:val="00821D56"/>
    <w:rsid w:val="00822B20"/>
    <w:rsid w:val="00823275"/>
    <w:rsid w:val="0082366F"/>
    <w:rsid w:val="00825986"/>
    <w:rsid w:val="00826D83"/>
    <w:rsid w:val="00827987"/>
    <w:rsid w:val="00827B7B"/>
    <w:rsid w:val="00831B47"/>
    <w:rsid w:val="008331DB"/>
    <w:rsid w:val="008338A2"/>
    <w:rsid w:val="00833F51"/>
    <w:rsid w:val="00834563"/>
    <w:rsid w:val="008349AD"/>
    <w:rsid w:val="00834CA0"/>
    <w:rsid w:val="00835F13"/>
    <w:rsid w:val="0083662A"/>
    <w:rsid w:val="0084076C"/>
    <w:rsid w:val="00841AA9"/>
    <w:rsid w:val="00844729"/>
    <w:rsid w:val="0084480F"/>
    <w:rsid w:val="00845561"/>
    <w:rsid w:val="0084641C"/>
    <w:rsid w:val="00846C81"/>
    <w:rsid w:val="008474FE"/>
    <w:rsid w:val="0084756D"/>
    <w:rsid w:val="00850137"/>
    <w:rsid w:val="0085199C"/>
    <w:rsid w:val="00853269"/>
    <w:rsid w:val="00853C90"/>
    <w:rsid w:val="00853EE4"/>
    <w:rsid w:val="008548AC"/>
    <w:rsid w:val="00854C21"/>
    <w:rsid w:val="00854F08"/>
    <w:rsid w:val="008554E7"/>
    <w:rsid w:val="00855535"/>
    <w:rsid w:val="00855992"/>
    <w:rsid w:val="0085615A"/>
    <w:rsid w:val="00856AAC"/>
    <w:rsid w:val="008572D0"/>
    <w:rsid w:val="00857372"/>
    <w:rsid w:val="0085764E"/>
    <w:rsid w:val="00857C5A"/>
    <w:rsid w:val="00857EB6"/>
    <w:rsid w:val="008603B3"/>
    <w:rsid w:val="00861314"/>
    <w:rsid w:val="0086255E"/>
    <w:rsid w:val="008632B7"/>
    <w:rsid w:val="008633F0"/>
    <w:rsid w:val="00863B7C"/>
    <w:rsid w:val="00863D2D"/>
    <w:rsid w:val="008651B8"/>
    <w:rsid w:val="00865305"/>
    <w:rsid w:val="00865853"/>
    <w:rsid w:val="00867D9D"/>
    <w:rsid w:val="00870D99"/>
    <w:rsid w:val="00871444"/>
    <w:rsid w:val="00872E0A"/>
    <w:rsid w:val="00873488"/>
    <w:rsid w:val="00873594"/>
    <w:rsid w:val="00875285"/>
    <w:rsid w:val="00875720"/>
    <w:rsid w:val="00876940"/>
    <w:rsid w:val="00877635"/>
    <w:rsid w:val="00880469"/>
    <w:rsid w:val="0088303A"/>
    <w:rsid w:val="00884446"/>
    <w:rsid w:val="00884B62"/>
    <w:rsid w:val="0088529C"/>
    <w:rsid w:val="00885ACD"/>
    <w:rsid w:val="00886230"/>
    <w:rsid w:val="00887361"/>
    <w:rsid w:val="00887903"/>
    <w:rsid w:val="00887F26"/>
    <w:rsid w:val="00890BE6"/>
    <w:rsid w:val="00891017"/>
    <w:rsid w:val="00891ACF"/>
    <w:rsid w:val="00891E39"/>
    <w:rsid w:val="0089270A"/>
    <w:rsid w:val="00893507"/>
    <w:rsid w:val="00893853"/>
    <w:rsid w:val="00893AF6"/>
    <w:rsid w:val="00894BC4"/>
    <w:rsid w:val="008967DF"/>
    <w:rsid w:val="00896890"/>
    <w:rsid w:val="008976C2"/>
    <w:rsid w:val="008A262B"/>
    <w:rsid w:val="008A28A8"/>
    <w:rsid w:val="008A2F15"/>
    <w:rsid w:val="008A378D"/>
    <w:rsid w:val="008A3E80"/>
    <w:rsid w:val="008A5B32"/>
    <w:rsid w:val="008B0B45"/>
    <w:rsid w:val="008B19CA"/>
    <w:rsid w:val="008B2029"/>
    <w:rsid w:val="008B2342"/>
    <w:rsid w:val="008B2D86"/>
    <w:rsid w:val="008B2EE4"/>
    <w:rsid w:val="008B3821"/>
    <w:rsid w:val="008B3C3A"/>
    <w:rsid w:val="008B43EC"/>
    <w:rsid w:val="008B4837"/>
    <w:rsid w:val="008B4D3D"/>
    <w:rsid w:val="008B4F5F"/>
    <w:rsid w:val="008B57C7"/>
    <w:rsid w:val="008B6825"/>
    <w:rsid w:val="008B690B"/>
    <w:rsid w:val="008B7E71"/>
    <w:rsid w:val="008C019F"/>
    <w:rsid w:val="008C206C"/>
    <w:rsid w:val="008C2F92"/>
    <w:rsid w:val="008C3053"/>
    <w:rsid w:val="008C3318"/>
    <w:rsid w:val="008C3546"/>
    <w:rsid w:val="008C36DE"/>
    <w:rsid w:val="008C46A2"/>
    <w:rsid w:val="008C47E4"/>
    <w:rsid w:val="008C589D"/>
    <w:rsid w:val="008C5D64"/>
    <w:rsid w:val="008C6954"/>
    <w:rsid w:val="008C6D51"/>
    <w:rsid w:val="008C73A5"/>
    <w:rsid w:val="008D1095"/>
    <w:rsid w:val="008D2846"/>
    <w:rsid w:val="008D396D"/>
    <w:rsid w:val="008D4236"/>
    <w:rsid w:val="008D462F"/>
    <w:rsid w:val="008D66F6"/>
    <w:rsid w:val="008D6DCF"/>
    <w:rsid w:val="008D7241"/>
    <w:rsid w:val="008D79B2"/>
    <w:rsid w:val="008D7D56"/>
    <w:rsid w:val="008E02BC"/>
    <w:rsid w:val="008E1F9A"/>
    <w:rsid w:val="008E2C87"/>
    <w:rsid w:val="008E2CF4"/>
    <w:rsid w:val="008E4376"/>
    <w:rsid w:val="008E610C"/>
    <w:rsid w:val="008E729E"/>
    <w:rsid w:val="008E7807"/>
    <w:rsid w:val="008E7815"/>
    <w:rsid w:val="008E7A0A"/>
    <w:rsid w:val="008E7B49"/>
    <w:rsid w:val="008E7DA6"/>
    <w:rsid w:val="008F24AB"/>
    <w:rsid w:val="008F2801"/>
    <w:rsid w:val="008F38FF"/>
    <w:rsid w:val="008F59F6"/>
    <w:rsid w:val="008F605D"/>
    <w:rsid w:val="008F7D0F"/>
    <w:rsid w:val="00900719"/>
    <w:rsid w:val="009017AC"/>
    <w:rsid w:val="00901EF7"/>
    <w:rsid w:val="00902071"/>
    <w:rsid w:val="00902A9A"/>
    <w:rsid w:val="009036FD"/>
    <w:rsid w:val="00903852"/>
    <w:rsid w:val="00904961"/>
    <w:rsid w:val="00904A1C"/>
    <w:rsid w:val="00905030"/>
    <w:rsid w:val="009054BA"/>
    <w:rsid w:val="00906490"/>
    <w:rsid w:val="009106D5"/>
    <w:rsid w:val="009111B2"/>
    <w:rsid w:val="009144FB"/>
    <w:rsid w:val="009148C2"/>
    <w:rsid w:val="009151F5"/>
    <w:rsid w:val="0091589D"/>
    <w:rsid w:val="00915BCF"/>
    <w:rsid w:val="00915E0A"/>
    <w:rsid w:val="00916521"/>
    <w:rsid w:val="00917A94"/>
    <w:rsid w:val="009216BA"/>
    <w:rsid w:val="00922C23"/>
    <w:rsid w:val="009237FB"/>
    <w:rsid w:val="00924AE1"/>
    <w:rsid w:val="00924B57"/>
    <w:rsid w:val="00924DD1"/>
    <w:rsid w:val="009250B5"/>
    <w:rsid w:val="0092529C"/>
    <w:rsid w:val="009255DC"/>
    <w:rsid w:val="009269B1"/>
    <w:rsid w:val="00926C59"/>
    <w:rsid w:val="009270A4"/>
    <w:rsid w:val="0092724D"/>
    <w:rsid w:val="009272B3"/>
    <w:rsid w:val="00930C32"/>
    <w:rsid w:val="00930ECA"/>
    <w:rsid w:val="009315BE"/>
    <w:rsid w:val="009326DD"/>
    <w:rsid w:val="00932D4F"/>
    <w:rsid w:val="00932E2A"/>
    <w:rsid w:val="00932E94"/>
    <w:rsid w:val="00933001"/>
    <w:rsid w:val="0093338F"/>
    <w:rsid w:val="00933D0C"/>
    <w:rsid w:val="00934EC2"/>
    <w:rsid w:val="00937BD9"/>
    <w:rsid w:val="00937DDC"/>
    <w:rsid w:val="00940A65"/>
    <w:rsid w:val="009414E7"/>
    <w:rsid w:val="00943270"/>
    <w:rsid w:val="00943439"/>
    <w:rsid w:val="00943825"/>
    <w:rsid w:val="00944430"/>
    <w:rsid w:val="00945C45"/>
    <w:rsid w:val="009462AB"/>
    <w:rsid w:val="00946920"/>
    <w:rsid w:val="00950E2C"/>
    <w:rsid w:val="0095186B"/>
    <w:rsid w:val="00951C04"/>
    <w:rsid w:val="00951D50"/>
    <w:rsid w:val="009525DE"/>
    <w:rsid w:val="009525EB"/>
    <w:rsid w:val="00953FAA"/>
    <w:rsid w:val="009541C5"/>
    <w:rsid w:val="0095470B"/>
    <w:rsid w:val="00954874"/>
    <w:rsid w:val="00954D5B"/>
    <w:rsid w:val="00955048"/>
    <w:rsid w:val="00955AAD"/>
    <w:rsid w:val="0095615A"/>
    <w:rsid w:val="00957581"/>
    <w:rsid w:val="009607F9"/>
    <w:rsid w:val="00961400"/>
    <w:rsid w:val="009614B4"/>
    <w:rsid w:val="009629C6"/>
    <w:rsid w:val="00963646"/>
    <w:rsid w:val="00963C11"/>
    <w:rsid w:val="0096485F"/>
    <w:rsid w:val="0096506F"/>
    <w:rsid w:val="00965BD9"/>
    <w:rsid w:val="0096632D"/>
    <w:rsid w:val="00967124"/>
    <w:rsid w:val="00967D32"/>
    <w:rsid w:val="00967E1B"/>
    <w:rsid w:val="00970AB0"/>
    <w:rsid w:val="00970CFB"/>
    <w:rsid w:val="0097166C"/>
    <w:rsid w:val="009718C7"/>
    <w:rsid w:val="00971A1B"/>
    <w:rsid w:val="00971C86"/>
    <w:rsid w:val="00974794"/>
    <w:rsid w:val="009753A3"/>
    <w:rsid w:val="0097559F"/>
    <w:rsid w:val="009760BD"/>
    <w:rsid w:val="009761EA"/>
    <w:rsid w:val="0097761E"/>
    <w:rsid w:val="00982454"/>
    <w:rsid w:val="00982CF0"/>
    <w:rsid w:val="00983BA1"/>
    <w:rsid w:val="00984AD5"/>
    <w:rsid w:val="0098510E"/>
    <w:rsid w:val="009853E1"/>
    <w:rsid w:val="00985B6E"/>
    <w:rsid w:val="00986E0B"/>
    <w:rsid w:val="00986E6B"/>
    <w:rsid w:val="00987252"/>
    <w:rsid w:val="00987628"/>
    <w:rsid w:val="009877F9"/>
    <w:rsid w:val="00987EAA"/>
    <w:rsid w:val="00990032"/>
    <w:rsid w:val="009904DD"/>
    <w:rsid w:val="00990B19"/>
    <w:rsid w:val="00990C27"/>
    <w:rsid w:val="0099153B"/>
    <w:rsid w:val="00991769"/>
    <w:rsid w:val="0099232C"/>
    <w:rsid w:val="009929CF"/>
    <w:rsid w:val="009938CD"/>
    <w:rsid w:val="00993BC3"/>
    <w:rsid w:val="00994386"/>
    <w:rsid w:val="00994600"/>
    <w:rsid w:val="00994D8D"/>
    <w:rsid w:val="00996D46"/>
    <w:rsid w:val="009971F6"/>
    <w:rsid w:val="009971F8"/>
    <w:rsid w:val="009A096C"/>
    <w:rsid w:val="009A13D8"/>
    <w:rsid w:val="009A22FB"/>
    <w:rsid w:val="009A279E"/>
    <w:rsid w:val="009A2DD7"/>
    <w:rsid w:val="009A3015"/>
    <w:rsid w:val="009A317D"/>
    <w:rsid w:val="009A3490"/>
    <w:rsid w:val="009A40A5"/>
    <w:rsid w:val="009A4459"/>
    <w:rsid w:val="009A44CE"/>
    <w:rsid w:val="009A46E4"/>
    <w:rsid w:val="009A47DE"/>
    <w:rsid w:val="009A4BFB"/>
    <w:rsid w:val="009A5A1E"/>
    <w:rsid w:val="009B05FD"/>
    <w:rsid w:val="009B0A6F"/>
    <w:rsid w:val="009B0A94"/>
    <w:rsid w:val="009B0C62"/>
    <w:rsid w:val="009B0D9A"/>
    <w:rsid w:val="009B1804"/>
    <w:rsid w:val="009B25E3"/>
    <w:rsid w:val="009B26D2"/>
    <w:rsid w:val="009B2AE8"/>
    <w:rsid w:val="009B5277"/>
    <w:rsid w:val="009B5622"/>
    <w:rsid w:val="009B59CF"/>
    <w:rsid w:val="009B59E9"/>
    <w:rsid w:val="009B5DE8"/>
    <w:rsid w:val="009B6F90"/>
    <w:rsid w:val="009B70AA"/>
    <w:rsid w:val="009B70B7"/>
    <w:rsid w:val="009C1727"/>
    <w:rsid w:val="009C22FB"/>
    <w:rsid w:val="009C245E"/>
    <w:rsid w:val="009C2DC9"/>
    <w:rsid w:val="009C3338"/>
    <w:rsid w:val="009C3643"/>
    <w:rsid w:val="009C3CF1"/>
    <w:rsid w:val="009C55EB"/>
    <w:rsid w:val="009C5C18"/>
    <w:rsid w:val="009C5E77"/>
    <w:rsid w:val="009C65B0"/>
    <w:rsid w:val="009C65E5"/>
    <w:rsid w:val="009C7A7E"/>
    <w:rsid w:val="009D02E8"/>
    <w:rsid w:val="009D0E8B"/>
    <w:rsid w:val="009D11E9"/>
    <w:rsid w:val="009D16FF"/>
    <w:rsid w:val="009D22EE"/>
    <w:rsid w:val="009D245E"/>
    <w:rsid w:val="009D309D"/>
    <w:rsid w:val="009D328F"/>
    <w:rsid w:val="009D5033"/>
    <w:rsid w:val="009D51D0"/>
    <w:rsid w:val="009D70A4"/>
    <w:rsid w:val="009D7B14"/>
    <w:rsid w:val="009E08D1"/>
    <w:rsid w:val="009E0D96"/>
    <w:rsid w:val="009E1B95"/>
    <w:rsid w:val="009E2A0C"/>
    <w:rsid w:val="009E4742"/>
    <w:rsid w:val="009E496F"/>
    <w:rsid w:val="009E4B0D"/>
    <w:rsid w:val="009E508B"/>
    <w:rsid w:val="009E5250"/>
    <w:rsid w:val="009E5A17"/>
    <w:rsid w:val="009E6116"/>
    <w:rsid w:val="009E6367"/>
    <w:rsid w:val="009E6B11"/>
    <w:rsid w:val="009E7A69"/>
    <w:rsid w:val="009E7F92"/>
    <w:rsid w:val="009F02A3"/>
    <w:rsid w:val="009F0914"/>
    <w:rsid w:val="009F0AFB"/>
    <w:rsid w:val="009F2182"/>
    <w:rsid w:val="009F2F27"/>
    <w:rsid w:val="009F34AA"/>
    <w:rsid w:val="009F51FE"/>
    <w:rsid w:val="009F5966"/>
    <w:rsid w:val="009F63F7"/>
    <w:rsid w:val="009F6B5B"/>
    <w:rsid w:val="009F6BCB"/>
    <w:rsid w:val="009F74C0"/>
    <w:rsid w:val="009F7B78"/>
    <w:rsid w:val="00A003C8"/>
    <w:rsid w:val="00A0057A"/>
    <w:rsid w:val="00A00D4D"/>
    <w:rsid w:val="00A00F5A"/>
    <w:rsid w:val="00A010FD"/>
    <w:rsid w:val="00A01FB1"/>
    <w:rsid w:val="00A02FA1"/>
    <w:rsid w:val="00A04CCE"/>
    <w:rsid w:val="00A07421"/>
    <w:rsid w:val="00A0776B"/>
    <w:rsid w:val="00A07E59"/>
    <w:rsid w:val="00A10719"/>
    <w:rsid w:val="00A10B37"/>
    <w:rsid w:val="00A10E26"/>
    <w:rsid w:val="00A10FB9"/>
    <w:rsid w:val="00A11421"/>
    <w:rsid w:val="00A12E2A"/>
    <w:rsid w:val="00A1344D"/>
    <w:rsid w:val="00A1389F"/>
    <w:rsid w:val="00A139E2"/>
    <w:rsid w:val="00A14B4D"/>
    <w:rsid w:val="00A15617"/>
    <w:rsid w:val="00A157B1"/>
    <w:rsid w:val="00A16ABC"/>
    <w:rsid w:val="00A211F6"/>
    <w:rsid w:val="00A22229"/>
    <w:rsid w:val="00A22A2E"/>
    <w:rsid w:val="00A24442"/>
    <w:rsid w:val="00A24ADA"/>
    <w:rsid w:val="00A257DC"/>
    <w:rsid w:val="00A31871"/>
    <w:rsid w:val="00A32577"/>
    <w:rsid w:val="00A330BB"/>
    <w:rsid w:val="00A34216"/>
    <w:rsid w:val="00A3460D"/>
    <w:rsid w:val="00A3498E"/>
    <w:rsid w:val="00A36FB6"/>
    <w:rsid w:val="00A4172A"/>
    <w:rsid w:val="00A42670"/>
    <w:rsid w:val="00A446F5"/>
    <w:rsid w:val="00A4470E"/>
    <w:rsid w:val="00A44882"/>
    <w:rsid w:val="00A45125"/>
    <w:rsid w:val="00A45592"/>
    <w:rsid w:val="00A4717A"/>
    <w:rsid w:val="00A47273"/>
    <w:rsid w:val="00A47DD6"/>
    <w:rsid w:val="00A47DE8"/>
    <w:rsid w:val="00A5123A"/>
    <w:rsid w:val="00A51604"/>
    <w:rsid w:val="00A54715"/>
    <w:rsid w:val="00A548E1"/>
    <w:rsid w:val="00A54BAD"/>
    <w:rsid w:val="00A560E1"/>
    <w:rsid w:val="00A566CC"/>
    <w:rsid w:val="00A57FEC"/>
    <w:rsid w:val="00A600BE"/>
    <w:rsid w:val="00A6061C"/>
    <w:rsid w:val="00A62D44"/>
    <w:rsid w:val="00A63153"/>
    <w:rsid w:val="00A64432"/>
    <w:rsid w:val="00A6508D"/>
    <w:rsid w:val="00A65A60"/>
    <w:rsid w:val="00A67263"/>
    <w:rsid w:val="00A67DDD"/>
    <w:rsid w:val="00A70848"/>
    <w:rsid w:val="00A7161C"/>
    <w:rsid w:val="00A71CE4"/>
    <w:rsid w:val="00A71FAA"/>
    <w:rsid w:val="00A726EC"/>
    <w:rsid w:val="00A73D43"/>
    <w:rsid w:val="00A73F45"/>
    <w:rsid w:val="00A75710"/>
    <w:rsid w:val="00A768BB"/>
    <w:rsid w:val="00A76D52"/>
    <w:rsid w:val="00A77AA3"/>
    <w:rsid w:val="00A77B51"/>
    <w:rsid w:val="00A8158E"/>
    <w:rsid w:val="00A81F0E"/>
    <w:rsid w:val="00A8236D"/>
    <w:rsid w:val="00A825CC"/>
    <w:rsid w:val="00A835A9"/>
    <w:rsid w:val="00A83731"/>
    <w:rsid w:val="00A84205"/>
    <w:rsid w:val="00A8539B"/>
    <w:rsid w:val="00A854EB"/>
    <w:rsid w:val="00A86282"/>
    <w:rsid w:val="00A863E9"/>
    <w:rsid w:val="00A86667"/>
    <w:rsid w:val="00A867CF"/>
    <w:rsid w:val="00A86E07"/>
    <w:rsid w:val="00A872E5"/>
    <w:rsid w:val="00A91406"/>
    <w:rsid w:val="00A923BB"/>
    <w:rsid w:val="00A9285E"/>
    <w:rsid w:val="00A955DE"/>
    <w:rsid w:val="00A95D34"/>
    <w:rsid w:val="00A964E4"/>
    <w:rsid w:val="00A9683F"/>
    <w:rsid w:val="00A96DE2"/>
    <w:rsid w:val="00A96E65"/>
    <w:rsid w:val="00A96ECE"/>
    <w:rsid w:val="00A97C72"/>
    <w:rsid w:val="00AA186B"/>
    <w:rsid w:val="00AA1E03"/>
    <w:rsid w:val="00AA310B"/>
    <w:rsid w:val="00AA39F3"/>
    <w:rsid w:val="00AA3B85"/>
    <w:rsid w:val="00AA40B0"/>
    <w:rsid w:val="00AA63D4"/>
    <w:rsid w:val="00AA6B11"/>
    <w:rsid w:val="00AA72AA"/>
    <w:rsid w:val="00AB04A5"/>
    <w:rsid w:val="00AB06E8"/>
    <w:rsid w:val="00AB1B27"/>
    <w:rsid w:val="00AB1CD3"/>
    <w:rsid w:val="00AB2A88"/>
    <w:rsid w:val="00AB2EFD"/>
    <w:rsid w:val="00AB352F"/>
    <w:rsid w:val="00AB3FDE"/>
    <w:rsid w:val="00AB4368"/>
    <w:rsid w:val="00AB45E0"/>
    <w:rsid w:val="00AB49CF"/>
    <w:rsid w:val="00AB4C30"/>
    <w:rsid w:val="00AB508D"/>
    <w:rsid w:val="00AB50A2"/>
    <w:rsid w:val="00AB51DC"/>
    <w:rsid w:val="00AB5785"/>
    <w:rsid w:val="00AB77D9"/>
    <w:rsid w:val="00AC09EB"/>
    <w:rsid w:val="00AC0ED2"/>
    <w:rsid w:val="00AC112F"/>
    <w:rsid w:val="00AC12CA"/>
    <w:rsid w:val="00AC274B"/>
    <w:rsid w:val="00AC2770"/>
    <w:rsid w:val="00AC2A82"/>
    <w:rsid w:val="00AC35A9"/>
    <w:rsid w:val="00AC3B83"/>
    <w:rsid w:val="00AC4764"/>
    <w:rsid w:val="00AC603D"/>
    <w:rsid w:val="00AC65CC"/>
    <w:rsid w:val="00AC6D36"/>
    <w:rsid w:val="00AC793F"/>
    <w:rsid w:val="00AC7D67"/>
    <w:rsid w:val="00AD01F6"/>
    <w:rsid w:val="00AD0821"/>
    <w:rsid w:val="00AD0CBA"/>
    <w:rsid w:val="00AD15A6"/>
    <w:rsid w:val="00AD1C87"/>
    <w:rsid w:val="00AD21E4"/>
    <w:rsid w:val="00AD26E2"/>
    <w:rsid w:val="00AD3B53"/>
    <w:rsid w:val="00AD43C2"/>
    <w:rsid w:val="00AD662A"/>
    <w:rsid w:val="00AD784C"/>
    <w:rsid w:val="00AD7954"/>
    <w:rsid w:val="00AE09B0"/>
    <w:rsid w:val="00AE0E16"/>
    <w:rsid w:val="00AE126A"/>
    <w:rsid w:val="00AE1BAE"/>
    <w:rsid w:val="00AE3005"/>
    <w:rsid w:val="00AE3BD5"/>
    <w:rsid w:val="00AE4B28"/>
    <w:rsid w:val="00AE59A0"/>
    <w:rsid w:val="00AE6282"/>
    <w:rsid w:val="00AE7396"/>
    <w:rsid w:val="00AE74CA"/>
    <w:rsid w:val="00AE7B57"/>
    <w:rsid w:val="00AF0591"/>
    <w:rsid w:val="00AF0A21"/>
    <w:rsid w:val="00AF0C57"/>
    <w:rsid w:val="00AF1E09"/>
    <w:rsid w:val="00AF2169"/>
    <w:rsid w:val="00AF26F3"/>
    <w:rsid w:val="00AF377C"/>
    <w:rsid w:val="00AF4EC2"/>
    <w:rsid w:val="00AF51F1"/>
    <w:rsid w:val="00AF5F04"/>
    <w:rsid w:val="00AF6D6C"/>
    <w:rsid w:val="00AF7179"/>
    <w:rsid w:val="00AF7CB9"/>
    <w:rsid w:val="00B005A1"/>
    <w:rsid w:val="00B00672"/>
    <w:rsid w:val="00B01B4D"/>
    <w:rsid w:val="00B02AE4"/>
    <w:rsid w:val="00B03948"/>
    <w:rsid w:val="00B03C5A"/>
    <w:rsid w:val="00B04489"/>
    <w:rsid w:val="00B05AB3"/>
    <w:rsid w:val="00B0610C"/>
    <w:rsid w:val="00B06571"/>
    <w:rsid w:val="00B068BA"/>
    <w:rsid w:val="00B07217"/>
    <w:rsid w:val="00B074D4"/>
    <w:rsid w:val="00B078A2"/>
    <w:rsid w:val="00B07BD0"/>
    <w:rsid w:val="00B07E10"/>
    <w:rsid w:val="00B11611"/>
    <w:rsid w:val="00B11BCB"/>
    <w:rsid w:val="00B123B7"/>
    <w:rsid w:val="00B13851"/>
    <w:rsid w:val="00B13B1C"/>
    <w:rsid w:val="00B13E7B"/>
    <w:rsid w:val="00B14B5F"/>
    <w:rsid w:val="00B168AC"/>
    <w:rsid w:val="00B16C06"/>
    <w:rsid w:val="00B175E7"/>
    <w:rsid w:val="00B21F90"/>
    <w:rsid w:val="00B22253"/>
    <w:rsid w:val="00B22291"/>
    <w:rsid w:val="00B226EF"/>
    <w:rsid w:val="00B23644"/>
    <w:rsid w:val="00B23ABC"/>
    <w:rsid w:val="00B23F9A"/>
    <w:rsid w:val="00B2417B"/>
    <w:rsid w:val="00B24E6F"/>
    <w:rsid w:val="00B25270"/>
    <w:rsid w:val="00B258FB"/>
    <w:rsid w:val="00B26CB5"/>
    <w:rsid w:val="00B2752E"/>
    <w:rsid w:val="00B307CC"/>
    <w:rsid w:val="00B3082A"/>
    <w:rsid w:val="00B31009"/>
    <w:rsid w:val="00B32223"/>
    <w:rsid w:val="00B326B7"/>
    <w:rsid w:val="00B32D4B"/>
    <w:rsid w:val="00B348D1"/>
    <w:rsid w:val="00B3588E"/>
    <w:rsid w:val="00B375CE"/>
    <w:rsid w:val="00B375E1"/>
    <w:rsid w:val="00B3786F"/>
    <w:rsid w:val="00B40AF9"/>
    <w:rsid w:val="00B40BE6"/>
    <w:rsid w:val="00B4198F"/>
    <w:rsid w:val="00B41F3D"/>
    <w:rsid w:val="00B42649"/>
    <w:rsid w:val="00B430A2"/>
    <w:rsid w:val="00B431E8"/>
    <w:rsid w:val="00B449D3"/>
    <w:rsid w:val="00B45141"/>
    <w:rsid w:val="00B452D5"/>
    <w:rsid w:val="00B4758F"/>
    <w:rsid w:val="00B47B78"/>
    <w:rsid w:val="00B47B8E"/>
    <w:rsid w:val="00B50805"/>
    <w:rsid w:val="00B519CD"/>
    <w:rsid w:val="00B5273A"/>
    <w:rsid w:val="00B533FA"/>
    <w:rsid w:val="00B539FD"/>
    <w:rsid w:val="00B53BC8"/>
    <w:rsid w:val="00B550B3"/>
    <w:rsid w:val="00B553B0"/>
    <w:rsid w:val="00B55A0D"/>
    <w:rsid w:val="00B565BE"/>
    <w:rsid w:val="00B57329"/>
    <w:rsid w:val="00B604AC"/>
    <w:rsid w:val="00B60E61"/>
    <w:rsid w:val="00B6298F"/>
    <w:rsid w:val="00B62B50"/>
    <w:rsid w:val="00B62C35"/>
    <w:rsid w:val="00B635B7"/>
    <w:rsid w:val="00B63AE8"/>
    <w:rsid w:val="00B6483D"/>
    <w:rsid w:val="00B65447"/>
    <w:rsid w:val="00B65950"/>
    <w:rsid w:val="00B65998"/>
    <w:rsid w:val="00B66326"/>
    <w:rsid w:val="00B66D83"/>
    <w:rsid w:val="00B672C0"/>
    <w:rsid w:val="00B676FD"/>
    <w:rsid w:val="00B678B6"/>
    <w:rsid w:val="00B7112E"/>
    <w:rsid w:val="00B71D86"/>
    <w:rsid w:val="00B72B8F"/>
    <w:rsid w:val="00B731AB"/>
    <w:rsid w:val="00B7385C"/>
    <w:rsid w:val="00B74F99"/>
    <w:rsid w:val="00B75199"/>
    <w:rsid w:val="00B75646"/>
    <w:rsid w:val="00B7629E"/>
    <w:rsid w:val="00B76A63"/>
    <w:rsid w:val="00B76F81"/>
    <w:rsid w:val="00B779BE"/>
    <w:rsid w:val="00B77D7A"/>
    <w:rsid w:val="00B80D3D"/>
    <w:rsid w:val="00B80EF6"/>
    <w:rsid w:val="00B84B42"/>
    <w:rsid w:val="00B866AA"/>
    <w:rsid w:val="00B86808"/>
    <w:rsid w:val="00B86E1F"/>
    <w:rsid w:val="00B86E26"/>
    <w:rsid w:val="00B8798D"/>
    <w:rsid w:val="00B90729"/>
    <w:rsid w:val="00B907DA"/>
    <w:rsid w:val="00B90A76"/>
    <w:rsid w:val="00B90D60"/>
    <w:rsid w:val="00B90D76"/>
    <w:rsid w:val="00B914C9"/>
    <w:rsid w:val="00B92A25"/>
    <w:rsid w:val="00B92B7D"/>
    <w:rsid w:val="00B931F8"/>
    <w:rsid w:val="00B941CF"/>
    <w:rsid w:val="00B94C5E"/>
    <w:rsid w:val="00B950BC"/>
    <w:rsid w:val="00B961F0"/>
    <w:rsid w:val="00B97046"/>
    <w:rsid w:val="00B9714C"/>
    <w:rsid w:val="00BA0836"/>
    <w:rsid w:val="00BA10F9"/>
    <w:rsid w:val="00BA1242"/>
    <w:rsid w:val="00BA14F4"/>
    <w:rsid w:val="00BA29AD"/>
    <w:rsid w:val="00BA2CE5"/>
    <w:rsid w:val="00BA33CF"/>
    <w:rsid w:val="00BA3F8D"/>
    <w:rsid w:val="00BA4905"/>
    <w:rsid w:val="00BA57CF"/>
    <w:rsid w:val="00BA6994"/>
    <w:rsid w:val="00BA6BE4"/>
    <w:rsid w:val="00BA7110"/>
    <w:rsid w:val="00BB030C"/>
    <w:rsid w:val="00BB05A6"/>
    <w:rsid w:val="00BB0FCE"/>
    <w:rsid w:val="00BB1C3F"/>
    <w:rsid w:val="00BB30AE"/>
    <w:rsid w:val="00BB39C3"/>
    <w:rsid w:val="00BB4869"/>
    <w:rsid w:val="00BB5975"/>
    <w:rsid w:val="00BB7930"/>
    <w:rsid w:val="00BB79B7"/>
    <w:rsid w:val="00BB7A10"/>
    <w:rsid w:val="00BB7D90"/>
    <w:rsid w:val="00BC056C"/>
    <w:rsid w:val="00BC08EA"/>
    <w:rsid w:val="00BC1363"/>
    <w:rsid w:val="00BC13E3"/>
    <w:rsid w:val="00BC257D"/>
    <w:rsid w:val="00BC25B0"/>
    <w:rsid w:val="00BC3EB4"/>
    <w:rsid w:val="00BC414F"/>
    <w:rsid w:val="00BC422F"/>
    <w:rsid w:val="00BC60BE"/>
    <w:rsid w:val="00BC6DDD"/>
    <w:rsid w:val="00BC7468"/>
    <w:rsid w:val="00BC7C25"/>
    <w:rsid w:val="00BC7D4F"/>
    <w:rsid w:val="00BC7ED7"/>
    <w:rsid w:val="00BD11B1"/>
    <w:rsid w:val="00BD2850"/>
    <w:rsid w:val="00BD41A1"/>
    <w:rsid w:val="00BD5106"/>
    <w:rsid w:val="00BD5D9C"/>
    <w:rsid w:val="00BD6055"/>
    <w:rsid w:val="00BD6C35"/>
    <w:rsid w:val="00BE00E8"/>
    <w:rsid w:val="00BE28D2"/>
    <w:rsid w:val="00BE4A64"/>
    <w:rsid w:val="00BE537A"/>
    <w:rsid w:val="00BE5456"/>
    <w:rsid w:val="00BE5DE3"/>
    <w:rsid w:val="00BE5E43"/>
    <w:rsid w:val="00BE6E05"/>
    <w:rsid w:val="00BE7A12"/>
    <w:rsid w:val="00BF013D"/>
    <w:rsid w:val="00BF05D1"/>
    <w:rsid w:val="00BF0DCE"/>
    <w:rsid w:val="00BF28AB"/>
    <w:rsid w:val="00BF3262"/>
    <w:rsid w:val="00BF4863"/>
    <w:rsid w:val="00BF51BB"/>
    <w:rsid w:val="00BF557D"/>
    <w:rsid w:val="00BF658D"/>
    <w:rsid w:val="00BF6B9C"/>
    <w:rsid w:val="00BF7F58"/>
    <w:rsid w:val="00C01381"/>
    <w:rsid w:val="00C01AB1"/>
    <w:rsid w:val="00C026A0"/>
    <w:rsid w:val="00C03A66"/>
    <w:rsid w:val="00C04020"/>
    <w:rsid w:val="00C06137"/>
    <w:rsid w:val="00C06929"/>
    <w:rsid w:val="00C069E6"/>
    <w:rsid w:val="00C06D43"/>
    <w:rsid w:val="00C07075"/>
    <w:rsid w:val="00C079B8"/>
    <w:rsid w:val="00C10037"/>
    <w:rsid w:val="00C103B4"/>
    <w:rsid w:val="00C10A16"/>
    <w:rsid w:val="00C115E1"/>
    <w:rsid w:val="00C11809"/>
    <w:rsid w:val="00C11C60"/>
    <w:rsid w:val="00C123EA"/>
    <w:rsid w:val="00C12A49"/>
    <w:rsid w:val="00C12B05"/>
    <w:rsid w:val="00C133EE"/>
    <w:rsid w:val="00C13C11"/>
    <w:rsid w:val="00C14433"/>
    <w:rsid w:val="00C146DF"/>
    <w:rsid w:val="00C149D0"/>
    <w:rsid w:val="00C14A29"/>
    <w:rsid w:val="00C15D95"/>
    <w:rsid w:val="00C16D6F"/>
    <w:rsid w:val="00C172E9"/>
    <w:rsid w:val="00C17F1D"/>
    <w:rsid w:val="00C212AD"/>
    <w:rsid w:val="00C21F02"/>
    <w:rsid w:val="00C22006"/>
    <w:rsid w:val="00C229F6"/>
    <w:rsid w:val="00C24806"/>
    <w:rsid w:val="00C2546A"/>
    <w:rsid w:val="00C254D5"/>
    <w:rsid w:val="00C26588"/>
    <w:rsid w:val="00C274C7"/>
    <w:rsid w:val="00C27DE9"/>
    <w:rsid w:val="00C30722"/>
    <w:rsid w:val="00C3076F"/>
    <w:rsid w:val="00C30834"/>
    <w:rsid w:val="00C30F05"/>
    <w:rsid w:val="00C319F1"/>
    <w:rsid w:val="00C31F1F"/>
    <w:rsid w:val="00C32989"/>
    <w:rsid w:val="00C32C0A"/>
    <w:rsid w:val="00C33388"/>
    <w:rsid w:val="00C33473"/>
    <w:rsid w:val="00C344D4"/>
    <w:rsid w:val="00C35484"/>
    <w:rsid w:val="00C36DD4"/>
    <w:rsid w:val="00C41655"/>
    <w:rsid w:val="00C4173A"/>
    <w:rsid w:val="00C44980"/>
    <w:rsid w:val="00C45474"/>
    <w:rsid w:val="00C456E8"/>
    <w:rsid w:val="00C45CA7"/>
    <w:rsid w:val="00C45FE4"/>
    <w:rsid w:val="00C47939"/>
    <w:rsid w:val="00C4796F"/>
    <w:rsid w:val="00C503D1"/>
    <w:rsid w:val="00C50DC1"/>
    <w:rsid w:val="00C50DED"/>
    <w:rsid w:val="00C51DE4"/>
    <w:rsid w:val="00C52217"/>
    <w:rsid w:val="00C536A7"/>
    <w:rsid w:val="00C53B5A"/>
    <w:rsid w:val="00C57AC0"/>
    <w:rsid w:val="00C60130"/>
    <w:rsid w:val="00C602FF"/>
    <w:rsid w:val="00C60411"/>
    <w:rsid w:val="00C61174"/>
    <w:rsid w:val="00C6148F"/>
    <w:rsid w:val="00C61666"/>
    <w:rsid w:val="00C61AFB"/>
    <w:rsid w:val="00C621B1"/>
    <w:rsid w:val="00C624A5"/>
    <w:rsid w:val="00C62F7A"/>
    <w:rsid w:val="00C630F1"/>
    <w:rsid w:val="00C63B9C"/>
    <w:rsid w:val="00C650E1"/>
    <w:rsid w:val="00C66674"/>
    <w:rsid w:val="00C6682F"/>
    <w:rsid w:val="00C67BF4"/>
    <w:rsid w:val="00C71A35"/>
    <w:rsid w:val="00C721B2"/>
    <w:rsid w:val="00C7275E"/>
    <w:rsid w:val="00C731AF"/>
    <w:rsid w:val="00C7434F"/>
    <w:rsid w:val="00C749F0"/>
    <w:rsid w:val="00C74C5D"/>
    <w:rsid w:val="00C74C63"/>
    <w:rsid w:val="00C808C7"/>
    <w:rsid w:val="00C82346"/>
    <w:rsid w:val="00C82DF4"/>
    <w:rsid w:val="00C82E38"/>
    <w:rsid w:val="00C83D37"/>
    <w:rsid w:val="00C85375"/>
    <w:rsid w:val="00C85F19"/>
    <w:rsid w:val="00C863C4"/>
    <w:rsid w:val="00C90035"/>
    <w:rsid w:val="00C90DAB"/>
    <w:rsid w:val="00C91458"/>
    <w:rsid w:val="00C91FAF"/>
    <w:rsid w:val="00C920EA"/>
    <w:rsid w:val="00C93811"/>
    <w:rsid w:val="00C93C3E"/>
    <w:rsid w:val="00C951E1"/>
    <w:rsid w:val="00C95266"/>
    <w:rsid w:val="00C9528D"/>
    <w:rsid w:val="00C95B0B"/>
    <w:rsid w:val="00C96398"/>
    <w:rsid w:val="00C97F60"/>
    <w:rsid w:val="00CA12E3"/>
    <w:rsid w:val="00CA1476"/>
    <w:rsid w:val="00CA168D"/>
    <w:rsid w:val="00CA1D64"/>
    <w:rsid w:val="00CA2047"/>
    <w:rsid w:val="00CA22B2"/>
    <w:rsid w:val="00CA23BC"/>
    <w:rsid w:val="00CA3A76"/>
    <w:rsid w:val="00CA3CEE"/>
    <w:rsid w:val="00CA4073"/>
    <w:rsid w:val="00CA6611"/>
    <w:rsid w:val="00CA6AE6"/>
    <w:rsid w:val="00CA7822"/>
    <w:rsid w:val="00CA782F"/>
    <w:rsid w:val="00CA7FC7"/>
    <w:rsid w:val="00CB0BE5"/>
    <w:rsid w:val="00CB102F"/>
    <w:rsid w:val="00CB187B"/>
    <w:rsid w:val="00CB1ED4"/>
    <w:rsid w:val="00CB2835"/>
    <w:rsid w:val="00CB3285"/>
    <w:rsid w:val="00CB37BA"/>
    <w:rsid w:val="00CB4500"/>
    <w:rsid w:val="00CB5EA8"/>
    <w:rsid w:val="00CB65DD"/>
    <w:rsid w:val="00CB7E16"/>
    <w:rsid w:val="00CC0157"/>
    <w:rsid w:val="00CC0C72"/>
    <w:rsid w:val="00CC1B74"/>
    <w:rsid w:val="00CC1BDF"/>
    <w:rsid w:val="00CC1BE9"/>
    <w:rsid w:val="00CC2BFD"/>
    <w:rsid w:val="00CC33DC"/>
    <w:rsid w:val="00CC5740"/>
    <w:rsid w:val="00CC6F40"/>
    <w:rsid w:val="00CD1575"/>
    <w:rsid w:val="00CD19B5"/>
    <w:rsid w:val="00CD3476"/>
    <w:rsid w:val="00CD410A"/>
    <w:rsid w:val="00CD46E8"/>
    <w:rsid w:val="00CD4E17"/>
    <w:rsid w:val="00CD64B3"/>
    <w:rsid w:val="00CD64DF"/>
    <w:rsid w:val="00CD6592"/>
    <w:rsid w:val="00CD6A0A"/>
    <w:rsid w:val="00CD6B8C"/>
    <w:rsid w:val="00CD75EB"/>
    <w:rsid w:val="00CD761F"/>
    <w:rsid w:val="00CD768F"/>
    <w:rsid w:val="00CE08E3"/>
    <w:rsid w:val="00CE225F"/>
    <w:rsid w:val="00CE2BB8"/>
    <w:rsid w:val="00CE47E5"/>
    <w:rsid w:val="00CE4975"/>
    <w:rsid w:val="00CE6081"/>
    <w:rsid w:val="00CE65E8"/>
    <w:rsid w:val="00CE7FE8"/>
    <w:rsid w:val="00CF14B8"/>
    <w:rsid w:val="00CF1BCF"/>
    <w:rsid w:val="00CF1C3B"/>
    <w:rsid w:val="00CF230C"/>
    <w:rsid w:val="00CF24FD"/>
    <w:rsid w:val="00CF2F50"/>
    <w:rsid w:val="00CF4FFA"/>
    <w:rsid w:val="00CF5BBB"/>
    <w:rsid w:val="00CF5C29"/>
    <w:rsid w:val="00CF6198"/>
    <w:rsid w:val="00CF6869"/>
    <w:rsid w:val="00CF7818"/>
    <w:rsid w:val="00CF7D5E"/>
    <w:rsid w:val="00D0002F"/>
    <w:rsid w:val="00D00B58"/>
    <w:rsid w:val="00D01CBF"/>
    <w:rsid w:val="00D0216B"/>
    <w:rsid w:val="00D02535"/>
    <w:rsid w:val="00D02919"/>
    <w:rsid w:val="00D0358C"/>
    <w:rsid w:val="00D0415E"/>
    <w:rsid w:val="00D04C61"/>
    <w:rsid w:val="00D05B8D"/>
    <w:rsid w:val="00D05B9B"/>
    <w:rsid w:val="00D065A2"/>
    <w:rsid w:val="00D0744D"/>
    <w:rsid w:val="00D079AA"/>
    <w:rsid w:val="00D07F00"/>
    <w:rsid w:val="00D10992"/>
    <w:rsid w:val="00D1130F"/>
    <w:rsid w:val="00D12076"/>
    <w:rsid w:val="00D120C0"/>
    <w:rsid w:val="00D125DD"/>
    <w:rsid w:val="00D14339"/>
    <w:rsid w:val="00D14F7A"/>
    <w:rsid w:val="00D152C0"/>
    <w:rsid w:val="00D1571F"/>
    <w:rsid w:val="00D15CEB"/>
    <w:rsid w:val="00D160CE"/>
    <w:rsid w:val="00D16FBB"/>
    <w:rsid w:val="00D17B72"/>
    <w:rsid w:val="00D20C09"/>
    <w:rsid w:val="00D230DA"/>
    <w:rsid w:val="00D23BE9"/>
    <w:rsid w:val="00D24404"/>
    <w:rsid w:val="00D24BDF"/>
    <w:rsid w:val="00D3185C"/>
    <w:rsid w:val="00D31AAF"/>
    <w:rsid w:val="00D3205F"/>
    <w:rsid w:val="00D32399"/>
    <w:rsid w:val="00D3290F"/>
    <w:rsid w:val="00D3318E"/>
    <w:rsid w:val="00D336CD"/>
    <w:rsid w:val="00D3387F"/>
    <w:rsid w:val="00D33E72"/>
    <w:rsid w:val="00D35BD6"/>
    <w:rsid w:val="00D361B5"/>
    <w:rsid w:val="00D40680"/>
    <w:rsid w:val="00D4108C"/>
    <w:rsid w:val="00D411A2"/>
    <w:rsid w:val="00D43271"/>
    <w:rsid w:val="00D434DA"/>
    <w:rsid w:val="00D43ECC"/>
    <w:rsid w:val="00D4606D"/>
    <w:rsid w:val="00D4693C"/>
    <w:rsid w:val="00D47E42"/>
    <w:rsid w:val="00D50B9C"/>
    <w:rsid w:val="00D513AF"/>
    <w:rsid w:val="00D51787"/>
    <w:rsid w:val="00D51792"/>
    <w:rsid w:val="00D51CF2"/>
    <w:rsid w:val="00D52D73"/>
    <w:rsid w:val="00D52E58"/>
    <w:rsid w:val="00D551B9"/>
    <w:rsid w:val="00D55FE5"/>
    <w:rsid w:val="00D56B20"/>
    <w:rsid w:val="00D578B3"/>
    <w:rsid w:val="00D57B6A"/>
    <w:rsid w:val="00D57F28"/>
    <w:rsid w:val="00D602A4"/>
    <w:rsid w:val="00D60619"/>
    <w:rsid w:val="00D618F4"/>
    <w:rsid w:val="00D6240C"/>
    <w:rsid w:val="00D62D2C"/>
    <w:rsid w:val="00D63636"/>
    <w:rsid w:val="00D636A4"/>
    <w:rsid w:val="00D63DAD"/>
    <w:rsid w:val="00D640AD"/>
    <w:rsid w:val="00D6493E"/>
    <w:rsid w:val="00D64C53"/>
    <w:rsid w:val="00D64E10"/>
    <w:rsid w:val="00D64FB7"/>
    <w:rsid w:val="00D6580F"/>
    <w:rsid w:val="00D660EB"/>
    <w:rsid w:val="00D6721A"/>
    <w:rsid w:val="00D67365"/>
    <w:rsid w:val="00D677FC"/>
    <w:rsid w:val="00D714CC"/>
    <w:rsid w:val="00D715A7"/>
    <w:rsid w:val="00D737A8"/>
    <w:rsid w:val="00D75EA7"/>
    <w:rsid w:val="00D767F2"/>
    <w:rsid w:val="00D77252"/>
    <w:rsid w:val="00D7731B"/>
    <w:rsid w:val="00D80F7E"/>
    <w:rsid w:val="00D81597"/>
    <w:rsid w:val="00D816F9"/>
    <w:rsid w:val="00D81ADF"/>
    <w:rsid w:val="00D81F21"/>
    <w:rsid w:val="00D8330B"/>
    <w:rsid w:val="00D83D06"/>
    <w:rsid w:val="00D8429A"/>
    <w:rsid w:val="00D863D6"/>
    <w:rsid w:val="00D864F2"/>
    <w:rsid w:val="00D86D8E"/>
    <w:rsid w:val="00D873D9"/>
    <w:rsid w:val="00D8753F"/>
    <w:rsid w:val="00D87C81"/>
    <w:rsid w:val="00D922E9"/>
    <w:rsid w:val="00D943F8"/>
    <w:rsid w:val="00D95470"/>
    <w:rsid w:val="00D96B55"/>
    <w:rsid w:val="00D96F11"/>
    <w:rsid w:val="00D97F0B"/>
    <w:rsid w:val="00DA0322"/>
    <w:rsid w:val="00DA0F80"/>
    <w:rsid w:val="00DA1A4A"/>
    <w:rsid w:val="00DA2619"/>
    <w:rsid w:val="00DA2842"/>
    <w:rsid w:val="00DA2B09"/>
    <w:rsid w:val="00DA3839"/>
    <w:rsid w:val="00DA421A"/>
    <w:rsid w:val="00DA4239"/>
    <w:rsid w:val="00DA53D2"/>
    <w:rsid w:val="00DA56B8"/>
    <w:rsid w:val="00DA588C"/>
    <w:rsid w:val="00DA6244"/>
    <w:rsid w:val="00DA65DE"/>
    <w:rsid w:val="00DA680E"/>
    <w:rsid w:val="00DA69A5"/>
    <w:rsid w:val="00DA72B3"/>
    <w:rsid w:val="00DB01FD"/>
    <w:rsid w:val="00DB0B61"/>
    <w:rsid w:val="00DB10C5"/>
    <w:rsid w:val="00DB1474"/>
    <w:rsid w:val="00DB2962"/>
    <w:rsid w:val="00DB42C0"/>
    <w:rsid w:val="00DB4690"/>
    <w:rsid w:val="00DB5252"/>
    <w:rsid w:val="00DB52FB"/>
    <w:rsid w:val="00DB743E"/>
    <w:rsid w:val="00DB7D73"/>
    <w:rsid w:val="00DC00C1"/>
    <w:rsid w:val="00DC013B"/>
    <w:rsid w:val="00DC03C8"/>
    <w:rsid w:val="00DC0571"/>
    <w:rsid w:val="00DC090B"/>
    <w:rsid w:val="00DC1679"/>
    <w:rsid w:val="00DC1F39"/>
    <w:rsid w:val="00DC219B"/>
    <w:rsid w:val="00DC2CF1"/>
    <w:rsid w:val="00DC2DC7"/>
    <w:rsid w:val="00DC3A7C"/>
    <w:rsid w:val="00DC3B24"/>
    <w:rsid w:val="00DC3C4C"/>
    <w:rsid w:val="00DC4182"/>
    <w:rsid w:val="00DC4FCF"/>
    <w:rsid w:val="00DC50E0"/>
    <w:rsid w:val="00DC57F9"/>
    <w:rsid w:val="00DC6386"/>
    <w:rsid w:val="00DC6D0F"/>
    <w:rsid w:val="00DC7044"/>
    <w:rsid w:val="00DD032D"/>
    <w:rsid w:val="00DD1130"/>
    <w:rsid w:val="00DD1951"/>
    <w:rsid w:val="00DD29B3"/>
    <w:rsid w:val="00DD2E37"/>
    <w:rsid w:val="00DD2F54"/>
    <w:rsid w:val="00DD4320"/>
    <w:rsid w:val="00DD4836"/>
    <w:rsid w:val="00DD487D"/>
    <w:rsid w:val="00DD4C4E"/>
    <w:rsid w:val="00DD4E83"/>
    <w:rsid w:val="00DD52F6"/>
    <w:rsid w:val="00DD5B67"/>
    <w:rsid w:val="00DD5D37"/>
    <w:rsid w:val="00DD5F68"/>
    <w:rsid w:val="00DD6628"/>
    <w:rsid w:val="00DD6945"/>
    <w:rsid w:val="00DD6B21"/>
    <w:rsid w:val="00DD7066"/>
    <w:rsid w:val="00DD70E6"/>
    <w:rsid w:val="00DD7312"/>
    <w:rsid w:val="00DE0E84"/>
    <w:rsid w:val="00DE1294"/>
    <w:rsid w:val="00DE1380"/>
    <w:rsid w:val="00DE1EB2"/>
    <w:rsid w:val="00DE2D04"/>
    <w:rsid w:val="00DE3131"/>
    <w:rsid w:val="00DE3250"/>
    <w:rsid w:val="00DE4584"/>
    <w:rsid w:val="00DE4CB6"/>
    <w:rsid w:val="00DE4CBE"/>
    <w:rsid w:val="00DE6028"/>
    <w:rsid w:val="00DE6C85"/>
    <w:rsid w:val="00DE726C"/>
    <w:rsid w:val="00DE78A3"/>
    <w:rsid w:val="00DE7F7B"/>
    <w:rsid w:val="00DF0A6A"/>
    <w:rsid w:val="00DF1A71"/>
    <w:rsid w:val="00DF2567"/>
    <w:rsid w:val="00DF2937"/>
    <w:rsid w:val="00DF50FC"/>
    <w:rsid w:val="00DF6511"/>
    <w:rsid w:val="00DF68C7"/>
    <w:rsid w:val="00DF6EDB"/>
    <w:rsid w:val="00DF731A"/>
    <w:rsid w:val="00E03043"/>
    <w:rsid w:val="00E032D0"/>
    <w:rsid w:val="00E04BBB"/>
    <w:rsid w:val="00E04CA9"/>
    <w:rsid w:val="00E0570C"/>
    <w:rsid w:val="00E0573C"/>
    <w:rsid w:val="00E06B75"/>
    <w:rsid w:val="00E10230"/>
    <w:rsid w:val="00E109F3"/>
    <w:rsid w:val="00E11332"/>
    <w:rsid w:val="00E11352"/>
    <w:rsid w:val="00E115AF"/>
    <w:rsid w:val="00E14D4A"/>
    <w:rsid w:val="00E159B6"/>
    <w:rsid w:val="00E170DC"/>
    <w:rsid w:val="00E172CD"/>
    <w:rsid w:val="00E17546"/>
    <w:rsid w:val="00E175E4"/>
    <w:rsid w:val="00E210B5"/>
    <w:rsid w:val="00E2409A"/>
    <w:rsid w:val="00E261B3"/>
    <w:rsid w:val="00E26818"/>
    <w:rsid w:val="00E27CB8"/>
    <w:rsid w:val="00E27FFC"/>
    <w:rsid w:val="00E3005B"/>
    <w:rsid w:val="00E30B15"/>
    <w:rsid w:val="00E31211"/>
    <w:rsid w:val="00E32555"/>
    <w:rsid w:val="00E32C35"/>
    <w:rsid w:val="00E32C73"/>
    <w:rsid w:val="00E33237"/>
    <w:rsid w:val="00E345B1"/>
    <w:rsid w:val="00E34FB8"/>
    <w:rsid w:val="00E352D7"/>
    <w:rsid w:val="00E35AD9"/>
    <w:rsid w:val="00E35D8F"/>
    <w:rsid w:val="00E40181"/>
    <w:rsid w:val="00E419AB"/>
    <w:rsid w:val="00E4339D"/>
    <w:rsid w:val="00E43A8D"/>
    <w:rsid w:val="00E467EA"/>
    <w:rsid w:val="00E51347"/>
    <w:rsid w:val="00E5244E"/>
    <w:rsid w:val="00E543FF"/>
    <w:rsid w:val="00E54950"/>
    <w:rsid w:val="00E55FB3"/>
    <w:rsid w:val="00E56175"/>
    <w:rsid w:val="00E56A01"/>
    <w:rsid w:val="00E56E9B"/>
    <w:rsid w:val="00E57BAA"/>
    <w:rsid w:val="00E60D6E"/>
    <w:rsid w:val="00E614EE"/>
    <w:rsid w:val="00E6162E"/>
    <w:rsid w:val="00E61B75"/>
    <w:rsid w:val="00E629A1"/>
    <w:rsid w:val="00E63A65"/>
    <w:rsid w:val="00E63D32"/>
    <w:rsid w:val="00E65151"/>
    <w:rsid w:val="00E65D03"/>
    <w:rsid w:val="00E65FD1"/>
    <w:rsid w:val="00E667FC"/>
    <w:rsid w:val="00E66900"/>
    <w:rsid w:val="00E66D70"/>
    <w:rsid w:val="00E6794C"/>
    <w:rsid w:val="00E7016E"/>
    <w:rsid w:val="00E702B9"/>
    <w:rsid w:val="00E71591"/>
    <w:rsid w:val="00E71CEB"/>
    <w:rsid w:val="00E72E62"/>
    <w:rsid w:val="00E73A24"/>
    <w:rsid w:val="00E73DA5"/>
    <w:rsid w:val="00E745F3"/>
    <w:rsid w:val="00E7474F"/>
    <w:rsid w:val="00E80DE3"/>
    <w:rsid w:val="00E81386"/>
    <w:rsid w:val="00E82C55"/>
    <w:rsid w:val="00E83F9C"/>
    <w:rsid w:val="00E84DDE"/>
    <w:rsid w:val="00E86407"/>
    <w:rsid w:val="00E865CC"/>
    <w:rsid w:val="00E86C6E"/>
    <w:rsid w:val="00E87612"/>
    <w:rsid w:val="00E8787E"/>
    <w:rsid w:val="00E87A8E"/>
    <w:rsid w:val="00E87BB6"/>
    <w:rsid w:val="00E9013D"/>
    <w:rsid w:val="00E90EAC"/>
    <w:rsid w:val="00E92604"/>
    <w:rsid w:val="00E929D4"/>
    <w:rsid w:val="00E92AC3"/>
    <w:rsid w:val="00E94122"/>
    <w:rsid w:val="00E94ABB"/>
    <w:rsid w:val="00E94D6C"/>
    <w:rsid w:val="00E95361"/>
    <w:rsid w:val="00E9540B"/>
    <w:rsid w:val="00E95542"/>
    <w:rsid w:val="00E95564"/>
    <w:rsid w:val="00E97555"/>
    <w:rsid w:val="00EA2429"/>
    <w:rsid w:val="00EA2F6A"/>
    <w:rsid w:val="00EA3709"/>
    <w:rsid w:val="00EA44CC"/>
    <w:rsid w:val="00EA475C"/>
    <w:rsid w:val="00EA4A04"/>
    <w:rsid w:val="00EA4AB1"/>
    <w:rsid w:val="00EA53C7"/>
    <w:rsid w:val="00EA5975"/>
    <w:rsid w:val="00EA61B8"/>
    <w:rsid w:val="00EA689E"/>
    <w:rsid w:val="00EA712A"/>
    <w:rsid w:val="00EA799A"/>
    <w:rsid w:val="00EB00E0"/>
    <w:rsid w:val="00EB05D5"/>
    <w:rsid w:val="00EB1401"/>
    <w:rsid w:val="00EB4BC7"/>
    <w:rsid w:val="00EB64A4"/>
    <w:rsid w:val="00EC059F"/>
    <w:rsid w:val="00EC0766"/>
    <w:rsid w:val="00EC081C"/>
    <w:rsid w:val="00EC0CC7"/>
    <w:rsid w:val="00EC1080"/>
    <w:rsid w:val="00EC19C8"/>
    <w:rsid w:val="00EC1F24"/>
    <w:rsid w:val="00EC22F6"/>
    <w:rsid w:val="00EC3294"/>
    <w:rsid w:val="00EC3C65"/>
    <w:rsid w:val="00EC3DB9"/>
    <w:rsid w:val="00EC4195"/>
    <w:rsid w:val="00EC45D9"/>
    <w:rsid w:val="00EC51E0"/>
    <w:rsid w:val="00EC5640"/>
    <w:rsid w:val="00EC5E45"/>
    <w:rsid w:val="00EC7700"/>
    <w:rsid w:val="00ED1768"/>
    <w:rsid w:val="00ED197E"/>
    <w:rsid w:val="00ED313A"/>
    <w:rsid w:val="00ED4CB6"/>
    <w:rsid w:val="00ED5B9B"/>
    <w:rsid w:val="00ED5F6A"/>
    <w:rsid w:val="00ED669A"/>
    <w:rsid w:val="00ED6BAD"/>
    <w:rsid w:val="00ED7447"/>
    <w:rsid w:val="00ED7762"/>
    <w:rsid w:val="00EE00D6"/>
    <w:rsid w:val="00EE0211"/>
    <w:rsid w:val="00EE11E7"/>
    <w:rsid w:val="00EE1488"/>
    <w:rsid w:val="00EE29AD"/>
    <w:rsid w:val="00EE3E24"/>
    <w:rsid w:val="00EE3E61"/>
    <w:rsid w:val="00EE469F"/>
    <w:rsid w:val="00EE4D5D"/>
    <w:rsid w:val="00EE5131"/>
    <w:rsid w:val="00EE53DC"/>
    <w:rsid w:val="00EE5672"/>
    <w:rsid w:val="00EF109B"/>
    <w:rsid w:val="00EF13B1"/>
    <w:rsid w:val="00EF1504"/>
    <w:rsid w:val="00EF16AC"/>
    <w:rsid w:val="00EF201C"/>
    <w:rsid w:val="00EF2793"/>
    <w:rsid w:val="00EF27C3"/>
    <w:rsid w:val="00EF2C72"/>
    <w:rsid w:val="00EF2FF3"/>
    <w:rsid w:val="00EF3357"/>
    <w:rsid w:val="00EF36AF"/>
    <w:rsid w:val="00EF43E4"/>
    <w:rsid w:val="00EF5050"/>
    <w:rsid w:val="00EF59A3"/>
    <w:rsid w:val="00EF6675"/>
    <w:rsid w:val="00EF7A28"/>
    <w:rsid w:val="00F00312"/>
    <w:rsid w:val="00F0063D"/>
    <w:rsid w:val="00F00C90"/>
    <w:rsid w:val="00F00F9C"/>
    <w:rsid w:val="00F0184A"/>
    <w:rsid w:val="00F01E5F"/>
    <w:rsid w:val="00F024F3"/>
    <w:rsid w:val="00F028C3"/>
    <w:rsid w:val="00F02ABA"/>
    <w:rsid w:val="00F02BD0"/>
    <w:rsid w:val="00F0437A"/>
    <w:rsid w:val="00F05330"/>
    <w:rsid w:val="00F074FB"/>
    <w:rsid w:val="00F07572"/>
    <w:rsid w:val="00F101B8"/>
    <w:rsid w:val="00F103F6"/>
    <w:rsid w:val="00F11037"/>
    <w:rsid w:val="00F124FB"/>
    <w:rsid w:val="00F12735"/>
    <w:rsid w:val="00F12EBC"/>
    <w:rsid w:val="00F15144"/>
    <w:rsid w:val="00F1526E"/>
    <w:rsid w:val="00F155A4"/>
    <w:rsid w:val="00F15A31"/>
    <w:rsid w:val="00F15A7D"/>
    <w:rsid w:val="00F16F1B"/>
    <w:rsid w:val="00F213FD"/>
    <w:rsid w:val="00F21616"/>
    <w:rsid w:val="00F222FB"/>
    <w:rsid w:val="00F22807"/>
    <w:rsid w:val="00F2302A"/>
    <w:rsid w:val="00F23049"/>
    <w:rsid w:val="00F23D80"/>
    <w:rsid w:val="00F2403E"/>
    <w:rsid w:val="00F249E3"/>
    <w:rsid w:val="00F250A9"/>
    <w:rsid w:val="00F251E2"/>
    <w:rsid w:val="00F25491"/>
    <w:rsid w:val="00F260C0"/>
    <w:rsid w:val="00F267AF"/>
    <w:rsid w:val="00F278D0"/>
    <w:rsid w:val="00F27D16"/>
    <w:rsid w:val="00F30834"/>
    <w:rsid w:val="00F30B65"/>
    <w:rsid w:val="00F30FF4"/>
    <w:rsid w:val="00F3122E"/>
    <w:rsid w:val="00F31FDE"/>
    <w:rsid w:val="00F32368"/>
    <w:rsid w:val="00F32BC8"/>
    <w:rsid w:val="00F331AD"/>
    <w:rsid w:val="00F33526"/>
    <w:rsid w:val="00F35287"/>
    <w:rsid w:val="00F362F3"/>
    <w:rsid w:val="00F37DE2"/>
    <w:rsid w:val="00F40052"/>
    <w:rsid w:val="00F40A70"/>
    <w:rsid w:val="00F41074"/>
    <w:rsid w:val="00F41D0D"/>
    <w:rsid w:val="00F43A37"/>
    <w:rsid w:val="00F44712"/>
    <w:rsid w:val="00F456E9"/>
    <w:rsid w:val="00F4641B"/>
    <w:rsid w:val="00F46EB8"/>
    <w:rsid w:val="00F50CD1"/>
    <w:rsid w:val="00F511E4"/>
    <w:rsid w:val="00F5237B"/>
    <w:rsid w:val="00F52D09"/>
    <w:rsid w:val="00F52E08"/>
    <w:rsid w:val="00F5384F"/>
    <w:rsid w:val="00F53A66"/>
    <w:rsid w:val="00F54051"/>
    <w:rsid w:val="00F5462D"/>
    <w:rsid w:val="00F55B21"/>
    <w:rsid w:val="00F56244"/>
    <w:rsid w:val="00F563F7"/>
    <w:rsid w:val="00F56642"/>
    <w:rsid w:val="00F56EF6"/>
    <w:rsid w:val="00F57695"/>
    <w:rsid w:val="00F60082"/>
    <w:rsid w:val="00F60328"/>
    <w:rsid w:val="00F60EED"/>
    <w:rsid w:val="00F61A9F"/>
    <w:rsid w:val="00F61B5F"/>
    <w:rsid w:val="00F61C8B"/>
    <w:rsid w:val="00F63BA5"/>
    <w:rsid w:val="00F64696"/>
    <w:rsid w:val="00F65AA9"/>
    <w:rsid w:val="00F6768F"/>
    <w:rsid w:val="00F67D37"/>
    <w:rsid w:val="00F70213"/>
    <w:rsid w:val="00F71FD1"/>
    <w:rsid w:val="00F72240"/>
    <w:rsid w:val="00F72C2C"/>
    <w:rsid w:val="00F7309A"/>
    <w:rsid w:val="00F741F2"/>
    <w:rsid w:val="00F74A23"/>
    <w:rsid w:val="00F76CAB"/>
    <w:rsid w:val="00F770F5"/>
    <w:rsid w:val="00F7715C"/>
    <w:rsid w:val="00F7729F"/>
    <w:rsid w:val="00F772C6"/>
    <w:rsid w:val="00F8035A"/>
    <w:rsid w:val="00F815B5"/>
    <w:rsid w:val="00F82995"/>
    <w:rsid w:val="00F8329A"/>
    <w:rsid w:val="00F83F30"/>
    <w:rsid w:val="00F849E2"/>
    <w:rsid w:val="00F84C5B"/>
    <w:rsid w:val="00F85195"/>
    <w:rsid w:val="00F857D4"/>
    <w:rsid w:val="00F866CF"/>
    <w:rsid w:val="00F868E3"/>
    <w:rsid w:val="00F86A59"/>
    <w:rsid w:val="00F87CD2"/>
    <w:rsid w:val="00F900E0"/>
    <w:rsid w:val="00F90236"/>
    <w:rsid w:val="00F91C2D"/>
    <w:rsid w:val="00F92808"/>
    <w:rsid w:val="00F92869"/>
    <w:rsid w:val="00F938BA"/>
    <w:rsid w:val="00F94288"/>
    <w:rsid w:val="00F94678"/>
    <w:rsid w:val="00F96CFC"/>
    <w:rsid w:val="00F970FA"/>
    <w:rsid w:val="00F9786F"/>
    <w:rsid w:val="00F97919"/>
    <w:rsid w:val="00FA0804"/>
    <w:rsid w:val="00FA0998"/>
    <w:rsid w:val="00FA230B"/>
    <w:rsid w:val="00FA2C46"/>
    <w:rsid w:val="00FA3525"/>
    <w:rsid w:val="00FA4902"/>
    <w:rsid w:val="00FA589B"/>
    <w:rsid w:val="00FA5A53"/>
    <w:rsid w:val="00FA5F67"/>
    <w:rsid w:val="00FA61BD"/>
    <w:rsid w:val="00FA6208"/>
    <w:rsid w:val="00FB09D4"/>
    <w:rsid w:val="00FB0AFB"/>
    <w:rsid w:val="00FB0D73"/>
    <w:rsid w:val="00FB1E29"/>
    <w:rsid w:val="00FB1F6E"/>
    <w:rsid w:val="00FB26D4"/>
    <w:rsid w:val="00FB3731"/>
    <w:rsid w:val="00FB45D7"/>
    <w:rsid w:val="00FB45DD"/>
    <w:rsid w:val="00FB4769"/>
    <w:rsid w:val="00FB4CDA"/>
    <w:rsid w:val="00FB4E48"/>
    <w:rsid w:val="00FB5694"/>
    <w:rsid w:val="00FB6481"/>
    <w:rsid w:val="00FB6515"/>
    <w:rsid w:val="00FB6D36"/>
    <w:rsid w:val="00FC0483"/>
    <w:rsid w:val="00FC0965"/>
    <w:rsid w:val="00FC0DF1"/>
    <w:rsid w:val="00FC0F81"/>
    <w:rsid w:val="00FC205B"/>
    <w:rsid w:val="00FC252F"/>
    <w:rsid w:val="00FC2BD7"/>
    <w:rsid w:val="00FC2E19"/>
    <w:rsid w:val="00FC3645"/>
    <w:rsid w:val="00FC395C"/>
    <w:rsid w:val="00FC5E8E"/>
    <w:rsid w:val="00FC6A70"/>
    <w:rsid w:val="00FC6A7A"/>
    <w:rsid w:val="00FC6B6C"/>
    <w:rsid w:val="00FC6EE2"/>
    <w:rsid w:val="00FC76CF"/>
    <w:rsid w:val="00FC7A50"/>
    <w:rsid w:val="00FD1BD8"/>
    <w:rsid w:val="00FD2812"/>
    <w:rsid w:val="00FD2F45"/>
    <w:rsid w:val="00FD3381"/>
    <w:rsid w:val="00FD3642"/>
    <w:rsid w:val="00FD3766"/>
    <w:rsid w:val="00FD3D05"/>
    <w:rsid w:val="00FD40B1"/>
    <w:rsid w:val="00FD47C4"/>
    <w:rsid w:val="00FD51B1"/>
    <w:rsid w:val="00FD643C"/>
    <w:rsid w:val="00FD7F04"/>
    <w:rsid w:val="00FE1A0E"/>
    <w:rsid w:val="00FE2DCF"/>
    <w:rsid w:val="00FE331E"/>
    <w:rsid w:val="00FE3FA7"/>
    <w:rsid w:val="00FE4081"/>
    <w:rsid w:val="00FE4692"/>
    <w:rsid w:val="00FE5390"/>
    <w:rsid w:val="00FE7FB1"/>
    <w:rsid w:val="00FE7FC2"/>
    <w:rsid w:val="00FF2817"/>
    <w:rsid w:val="00FF28AF"/>
    <w:rsid w:val="00FF2A4E"/>
    <w:rsid w:val="00FF2FCE"/>
    <w:rsid w:val="00FF3415"/>
    <w:rsid w:val="00FF4BA5"/>
    <w:rsid w:val="00FF4C63"/>
    <w:rsid w:val="00FF4E94"/>
    <w:rsid w:val="00FF4F7D"/>
    <w:rsid w:val="00FF549D"/>
    <w:rsid w:val="00FF5D99"/>
    <w:rsid w:val="00FF6D9D"/>
    <w:rsid w:val="00FF7620"/>
    <w:rsid w:val="00FF7B31"/>
    <w:rsid w:val="00FF7DD5"/>
    <w:rsid w:val="03583167"/>
    <w:rsid w:val="0669BDE3"/>
    <w:rsid w:val="120FDE00"/>
    <w:rsid w:val="1D62D6DD"/>
    <w:rsid w:val="2E68A9BF"/>
    <w:rsid w:val="3A9BF558"/>
    <w:rsid w:val="4D72D6BC"/>
    <w:rsid w:val="7FFDA0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3DC9A620-DA3B-467F-B07E-3CD5A1DD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29"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21" w:qFormat="1"/>
    <w:lsdException w:name="Subtle Reference" w:semiHidden="1" w:uiPriority="67" w:qFormat="1"/>
    <w:lsdException w:name="Intense Reference" w:semiHidden="1" w:uiPriority="32"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20132A"/>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9"/>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9"/>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945C45"/>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AU"/>
      <w14:ligatures w14:val="standardContextual"/>
    </w:rPr>
  </w:style>
  <w:style w:type="paragraph" w:styleId="Heading7">
    <w:name w:val="heading 7"/>
    <w:basedOn w:val="Normal"/>
    <w:next w:val="Normal"/>
    <w:link w:val="Heading7Char"/>
    <w:uiPriority w:val="9"/>
    <w:semiHidden/>
    <w:unhideWhenUsed/>
    <w:qFormat/>
    <w:rsid w:val="00945C45"/>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AU"/>
      <w14:ligatures w14:val="standardContextual"/>
    </w:rPr>
  </w:style>
  <w:style w:type="paragraph" w:styleId="Heading8">
    <w:name w:val="heading 8"/>
    <w:basedOn w:val="Normal"/>
    <w:next w:val="Normal"/>
    <w:link w:val="Heading8Char"/>
    <w:uiPriority w:val="9"/>
    <w:semiHidden/>
    <w:unhideWhenUsed/>
    <w:qFormat/>
    <w:rsid w:val="00945C45"/>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AU"/>
      <w14:ligatures w14:val="standardContextual"/>
    </w:rPr>
  </w:style>
  <w:style w:type="paragraph" w:styleId="Heading9">
    <w:name w:val="heading 9"/>
    <w:basedOn w:val="Normal"/>
    <w:next w:val="Normal"/>
    <w:link w:val="Heading9Char"/>
    <w:uiPriority w:val="9"/>
    <w:semiHidden/>
    <w:unhideWhenUsed/>
    <w:qFormat/>
    <w:rsid w:val="00945C45"/>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F15144"/>
    <w:rPr>
      <w:rFonts w:ascii="Arial" w:hAnsi="Arial"/>
      <w:b/>
      <w:color w:val="201547"/>
      <w:sz w:val="32"/>
      <w:szCs w:val="28"/>
      <w:lang w:eastAsia="en-US"/>
    </w:rPr>
  </w:style>
  <w:style w:type="character" w:customStyle="1" w:styleId="Heading3Char">
    <w:name w:val="Heading 3 Char"/>
    <w:link w:val="Heading3"/>
    <w:uiPriority w:val="9"/>
    <w:rsid w:val="00F15144"/>
    <w:rPr>
      <w:rFonts w:ascii="Arial" w:eastAsia="MS Gothic" w:hAnsi="Arial"/>
      <w:bCs/>
      <w:color w:val="201547"/>
      <w:sz w:val="28"/>
      <w:szCs w:val="26"/>
      <w:lang w:eastAsia="en-US"/>
    </w:rPr>
  </w:style>
  <w:style w:type="character" w:customStyle="1" w:styleId="Heading4Char">
    <w:name w:val="Heading 4 Char"/>
    <w:link w:val="Heading4"/>
    <w:uiPriority w:val="9"/>
    <w:rsid w:val="00F15144"/>
    <w:rPr>
      <w:rFonts w:ascii="Arial" w:eastAsia="MS Mincho" w:hAnsi="Arial"/>
      <w:b/>
      <w:bCs/>
      <w:color w:val="201547"/>
      <w:sz w:val="24"/>
      <w:szCs w:val="22"/>
      <w:lang w:eastAsia="en-US"/>
    </w:rPr>
  </w:style>
  <w:style w:type="paragraph" w:styleId="Header">
    <w:name w:val="header"/>
    <w:link w:val="HeaderChar"/>
    <w:uiPriority w:val="99"/>
    <w:rsid w:val="00F15144"/>
    <w:rPr>
      <w:rFonts w:ascii="Arial" w:hAnsi="Arial" w:cs="Arial"/>
      <w:b/>
      <w:color w:val="201547"/>
      <w:sz w:val="18"/>
      <w:szCs w:val="18"/>
      <w:lang w:eastAsia="en-US"/>
    </w:rPr>
  </w:style>
  <w:style w:type="paragraph" w:styleId="Footer">
    <w:name w:val="footer"/>
    <w:link w:val="FooterChar"/>
    <w:uiPriority w:val="99"/>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uiPriority w:val="99"/>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Tabletext">
    <w:name w:val="Table text"/>
    <w:uiPriority w:val="3"/>
    <w:qFormat/>
    <w:rsid w:val="00A54BAD"/>
    <w:pPr>
      <w:spacing w:before="80" w:after="60"/>
    </w:pPr>
    <w:rPr>
      <w:rFonts w:ascii="Arial" w:hAnsi="Arial"/>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4"/>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4"/>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E0570C"/>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3"/>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F15144"/>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Body"/>
    <w:uiPriority w:val="3"/>
    <w:rsid w:val="00F15144"/>
    <w:pPr>
      <w:tabs>
        <w:tab w:val="num" w:pos="794"/>
      </w:tabs>
      <w:ind w:left="794" w:hanging="397"/>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ind w:left="1191" w:hanging="397"/>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unhideWhenUsed/>
    <w:rsid w:val="00EE29AD"/>
    <w:rPr>
      <w:b/>
      <w:bCs/>
    </w:rPr>
  </w:style>
  <w:style w:type="character" w:customStyle="1" w:styleId="CommentSubjectChar">
    <w:name w:val="Comment Subject Char"/>
    <w:basedOn w:val="CommentTextChar"/>
    <w:link w:val="CommentSubject"/>
    <w:uiPriority w:val="99"/>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99"/>
    <w:rsid w:val="00F15144"/>
    <w:rPr>
      <w:rFonts w:ascii="Arial" w:hAnsi="Arial" w:cs="Arial"/>
      <w:b/>
      <w:color w:val="201547"/>
      <w:sz w:val="18"/>
      <w:szCs w:val="18"/>
      <w:lang w:eastAsia="en-US"/>
    </w:rPr>
  </w:style>
  <w:style w:type="paragraph" w:styleId="TOCHeading">
    <w:name w:val="TOC Heading"/>
    <w:basedOn w:val="Heading1"/>
    <w:next w:val="Normal"/>
    <w:uiPriority w:val="39"/>
    <w:unhideWhenUsed/>
    <w:qFormat/>
    <w:rsid w:val="00945C45"/>
    <w:pPr>
      <w:spacing w:before="240" w:after="0" w:line="280" w:lineRule="atLeast"/>
      <w:outlineLvl w:val="9"/>
    </w:pPr>
    <w:rPr>
      <w:rFonts w:asciiTheme="majorHAnsi" w:eastAsiaTheme="majorEastAsia" w:hAnsiTheme="majorHAnsi" w:cstheme="majorBidi"/>
      <w:bCs w:val="0"/>
      <w:color w:val="365F91" w:themeColor="accent1" w:themeShade="BF"/>
      <w:kern w:val="0"/>
      <w:sz w:val="32"/>
      <w:szCs w:val="32"/>
    </w:rPr>
  </w:style>
  <w:style w:type="character" w:customStyle="1" w:styleId="Heading6Char">
    <w:name w:val="Heading 6 Char"/>
    <w:basedOn w:val="DefaultParagraphFont"/>
    <w:link w:val="Heading6"/>
    <w:uiPriority w:val="9"/>
    <w:semiHidden/>
    <w:rsid w:val="00945C45"/>
    <w:rPr>
      <w:rFonts w:asciiTheme="minorHAnsi" w:eastAsiaTheme="majorEastAsia" w:hAnsiTheme="minorHAnsi" w:cstheme="majorBidi"/>
      <w:i/>
      <w:iCs/>
      <w:color w:val="595959" w:themeColor="text1" w:themeTint="A6"/>
      <w:kern w:val="2"/>
      <w:sz w:val="22"/>
      <w:szCs w:val="22"/>
      <w14:ligatures w14:val="standardContextual"/>
    </w:rPr>
  </w:style>
  <w:style w:type="character" w:customStyle="1" w:styleId="Heading7Char">
    <w:name w:val="Heading 7 Char"/>
    <w:basedOn w:val="DefaultParagraphFont"/>
    <w:link w:val="Heading7"/>
    <w:uiPriority w:val="9"/>
    <w:semiHidden/>
    <w:rsid w:val="00945C45"/>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945C45"/>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945C45"/>
    <w:rPr>
      <w:rFonts w:asciiTheme="minorHAnsi" w:eastAsiaTheme="majorEastAsia" w:hAnsiTheme="minorHAnsi" w:cstheme="majorBidi"/>
      <w:color w:val="272727" w:themeColor="text1" w:themeTint="D8"/>
      <w:kern w:val="2"/>
      <w:sz w:val="22"/>
      <w:szCs w:val="22"/>
      <w14:ligatures w14:val="standardContextual"/>
    </w:rPr>
  </w:style>
  <w:style w:type="paragraph" w:styleId="Quote">
    <w:name w:val="Quote"/>
    <w:basedOn w:val="Normal"/>
    <w:next w:val="Normal"/>
    <w:link w:val="QuoteChar"/>
    <w:uiPriority w:val="29"/>
    <w:qFormat/>
    <w:rsid w:val="00945C45"/>
    <w:pPr>
      <w:spacing w:before="160" w:after="160" w:line="259" w:lineRule="auto"/>
      <w:jc w:val="center"/>
    </w:pPr>
    <w:rPr>
      <w:rFonts w:asciiTheme="minorHAnsi" w:eastAsiaTheme="minorEastAsia" w:hAnsiTheme="minorHAnsi" w:cstheme="minorBidi"/>
      <w:i/>
      <w:iCs/>
      <w:color w:val="404040" w:themeColor="text1" w:themeTint="BF"/>
      <w:kern w:val="2"/>
      <w:sz w:val="22"/>
      <w:szCs w:val="22"/>
      <w:lang w:eastAsia="en-AU"/>
      <w14:ligatures w14:val="standardContextual"/>
    </w:rPr>
  </w:style>
  <w:style w:type="character" w:customStyle="1" w:styleId="QuoteChar">
    <w:name w:val="Quote Char"/>
    <w:basedOn w:val="DefaultParagraphFont"/>
    <w:link w:val="Quote"/>
    <w:uiPriority w:val="29"/>
    <w:rsid w:val="00945C45"/>
    <w:rPr>
      <w:rFonts w:asciiTheme="minorHAnsi" w:eastAsiaTheme="minorEastAsia" w:hAnsiTheme="minorHAnsi" w:cstheme="minorBidi"/>
      <w:i/>
      <w:iCs/>
      <w:color w:val="404040" w:themeColor="text1" w:themeTint="BF"/>
      <w:kern w:val="2"/>
      <w:sz w:val="22"/>
      <w:szCs w:val="22"/>
      <w14:ligatures w14:val="standardContextual"/>
    </w:rPr>
  </w:style>
  <w:style w:type="paragraph" w:styleId="ListParagraph">
    <w:name w:val="List Paragraph"/>
    <w:basedOn w:val="Normal"/>
    <w:uiPriority w:val="34"/>
    <w:qFormat/>
    <w:rsid w:val="00945C45"/>
    <w:pPr>
      <w:spacing w:after="160" w:line="259" w:lineRule="auto"/>
      <w:ind w:left="720"/>
      <w:contextualSpacing/>
    </w:pPr>
    <w:rPr>
      <w:rFonts w:asciiTheme="minorHAnsi" w:eastAsiaTheme="minorEastAsia" w:hAnsiTheme="minorHAnsi" w:cstheme="minorBidi"/>
      <w:kern w:val="2"/>
      <w:sz w:val="22"/>
      <w:szCs w:val="22"/>
      <w:lang w:eastAsia="en-AU"/>
      <w14:ligatures w14:val="standardContextual"/>
    </w:rPr>
  </w:style>
  <w:style w:type="character" w:styleId="IntenseEmphasis">
    <w:name w:val="Intense Emphasis"/>
    <w:basedOn w:val="DefaultParagraphFont"/>
    <w:uiPriority w:val="21"/>
    <w:qFormat/>
    <w:rsid w:val="00945C45"/>
    <w:rPr>
      <w:i/>
      <w:iCs/>
      <w:color w:val="365F91" w:themeColor="accent1" w:themeShade="BF"/>
    </w:rPr>
  </w:style>
  <w:style w:type="paragraph" w:styleId="IntenseQuote">
    <w:name w:val="Intense Quote"/>
    <w:basedOn w:val="Normal"/>
    <w:next w:val="Normal"/>
    <w:link w:val="IntenseQuoteChar"/>
    <w:uiPriority w:val="30"/>
    <w:qFormat/>
    <w:rsid w:val="00945C4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EastAsia" w:hAnsiTheme="minorHAnsi" w:cstheme="minorBidi"/>
      <w:i/>
      <w:iCs/>
      <w:color w:val="365F91" w:themeColor="accent1" w:themeShade="BF"/>
      <w:kern w:val="2"/>
      <w:sz w:val="22"/>
      <w:szCs w:val="22"/>
      <w:lang w:eastAsia="en-AU"/>
      <w14:ligatures w14:val="standardContextual"/>
    </w:rPr>
  </w:style>
  <w:style w:type="character" w:customStyle="1" w:styleId="IntenseQuoteChar">
    <w:name w:val="Intense Quote Char"/>
    <w:basedOn w:val="DefaultParagraphFont"/>
    <w:link w:val="IntenseQuote"/>
    <w:uiPriority w:val="30"/>
    <w:rsid w:val="00945C45"/>
    <w:rPr>
      <w:rFonts w:asciiTheme="minorHAnsi" w:eastAsiaTheme="minorEastAsia" w:hAnsi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945C45"/>
    <w:rPr>
      <w:b/>
      <w:bCs/>
      <w:smallCaps/>
      <w:color w:val="365F91" w:themeColor="accent1" w:themeShade="BF"/>
      <w:spacing w:val="5"/>
    </w:rPr>
  </w:style>
  <w:style w:type="paragraph" w:styleId="NormalWeb">
    <w:name w:val="Normal (Web)"/>
    <w:basedOn w:val="Normal"/>
    <w:uiPriority w:val="99"/>
    <w:semiHidden/>
    <w:unhideWhenUsed/>
    <w:rsid w:val="00945C45"/>
    <w:pPr>
      <w:spacing w:before="100" w:beforeAutospacing="1" w:after="100" w:afterAutospacing="1" w:line="240" w:lineRule="auto"/>
    </w:pPr>
    <w:rPr>
      <w:rFonts w:ascii="Times New Roman" w:hAnsi="Times New Roman"/>
      <w:sz w:val="24"/>
      <w:szCs w:val="24"/>
      <w:lang w:eastAsia="en-AU"/>
      <w14:ligatures w14:val="standardContextual"/>
    </w:rPr>
  </w:style>
  <w:style w:type="paragraph" w:customStyle="1" w:styleId="msonormal0">
    <w:name w:val="msonormal"/>
    <w:basedOn w:val="Normal"/>
    <w:rsid w:val="00945C45"/>
    <w:pPr>
      <w:spacing w:before="100" w:beforeAutospacing="1" w:after="100" w:afterAutospacing="1" w:line="240" w:lineRule="auto"/>
    </w:pPr>
    <w:rPr>
      <w:rFonts w:ascii="Times New Roman" w:hAnsi="Times New Roman"/>
      <w:sz w:val="24"/>
      <w:szCs w:val="24"/>
      <w:lang w:eastAsia="en-AU"/>
    </w:rPr>
  </w:style>
  <w:style w:type="character" w:customStyle="1" w:styleId="flex">
    <w:name w:val="flex"/>
    <w:basedOn w:val="DefaultParagraphFont"/>
    <w:rsid w:val="00945C45"/>
  </w:style>
  <w:style w:type="character" w:customStyle="1" w:styleId="line-clamp-1">
    <w:name w:val="line-clamp-1"/>
    <w:basedOn w:val="DefaultParagraphFont"/>
    <w:rsid w:val="00945C45"/>
  </w:style>
  <w:style w:type="paragraph" w:styleId="z-TopofForm">
    <w:name w:val="HTML Top of Form"/>
    <w:basedOn w:val="Normal"/>
    <w:next w:val="Normal"/>
    <w:link w:val="z-TopofFormChar"/>
    <w:hidden/>
    <w:uiPriority w:val="99"/>
    <w:semiHidden/>
    <w:unhideWhenUsed/>
    <w:rsid w:val="00945C45"/>
    <w:pPr>
      <w:pBdr>
        <w:bottom w:val="single" w:sz="6" w:space="1" w:color="auto"/>
      </w:pBdr>
      <w:spacing w:after="0" w:line="240" w:lineRule="auto"/>
      <w:jc w:val="center"/>
    </w:pPr>
    <w:rPr>
      <w:rFonts w:cs="Arial"/>
      <w:vanish/>
      <w:sz w:val="16"/>
      <w:szCs w:val="16"/>
      <w:lang w:eastAsia="en-AU"/>
    </w:rPr>
  </w:style>
  <w:style w:type="character" w:customStyle="1" w:styleId="z-TopofFormChar">
    <w:name w:val="z-Top of Form Char"/>
    <w:basedOn w:val="DefaultParagraphFont"/>
    <w:link w:val="z-TopofForm"/>
    <w:uiPriority w:val="99"/>
    <w:semiHidden/>
    <w:rsid w:val="00945C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5C45"/>
    <w:pPr>
      <w:pBdr>
        <w:top w:val="single" w:sz="6" w:space="1" w:color="auto"/>
      </w:pBdr>
      <w:spacing w:after="0" w:line="240" w:lineRule="auto"/>
      <w:jc w:val="center"/>
    </w:pPr>
    <w:rPr>
      <w:rFonts w:cs="Arial"/>
      <w:vanish/>
      <w:sz w:val="16"/>
      <w:szCs w:val="16"/>
      <w:lang w:eastAsia="en-AU"/>
    </w:rPr>
  </w:style>
  <w:style w:type="character" w:customStyle="1" w:styleId="z-BottomofFormChar">
    <w:name w:val="z-Bottom of Form Char"/>
    <w:basedOn w:val="DefaultParagraphFont"/>
    <w:link w:val="z-BottomofForm"/>
    <w:uiPriority w:val="99"/>
    <w:semiHidden/>
    <w:rsid w:val="00945C45"/>
    <w:rPr>
      <w:rFonts w:ascii="Arial" w:hAnsi="Arial" w:cs="Arial"/>
      <w:vanish/>
      <w:sz w:val="16"/>
      <w:szCs w:val="16"/>
    </w:rPr>
  </w:style>
  <w:style w:type="character" w:customStyle="1" w:styleId="FooterChar">
    <w:name w:val="Footer Char"/>
    <w:basedOn w:val="DefaultParagraphFont"/>
    <w:link w:val="Footer"/>
    <w:uiPriority w:val="99"/>
    <w:rsid w:val="00945C45"/>
    <w:rPr>
      <w:rFonts w:ascii="Arial" w:hAnsi="Arial" w:cs="Arial"/>
      <w:sz w:val="18"/>
      <w:szCs w:val="18"/>
      <w:lang w:eastAsia="en-US"/>
    </w:rPr>
  </w:style>
  <w:style w:type="paragraph" w:styleId="NoSpacing">
    <w:name w:val="No Spacing"/>
    <w:link w:val="NoSpacingChar"/>
    <w:uiPriority w:val="1"/>
    <w:qFormat/>
    <w:rsid w:val="00945C4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45C45"/>
    <w:rPr>
      <w:rFonts w:asciiTheme="minorHAnsi" w:eastAsiaTheme="minorEastAsia" w:hAnsiTheme="minorHAnsi" w:cstheme="minorBidi"/>
      <w:sz w:val="22"/>
      <w:szCs w:val="22"/>
      <w:lang w:val="en-US" w:eastAsia="en-US"/>
    </w:rPr>
  </w:style>
  <w:style w:type="paragraph" w:customStyle="1" w:styleId="paragraph">
    <w:name w:val="paragraph"/>
    <w:basedOn w:val="Normal"/>
    <w:rsid w:val="00945C45"/>
    <w:pPr>
      <w:spacing w:before="100" w:beforeAutospacing="1" w:after="100" w:afterAutospacing="1" w:line="240" w:lineRule="auto"/>
    </w:pPr>
    <w:rPr>
      <w:rFonts w:ascii="Times New Roman" w:hAnsi="Times New Roman"/>
      <w:sz w:val="24"/>
      <w:szCs w:val="24"/>
      <w:lang w:eastAsia="en-AU"/>
    </w:rPr>
  </w:style>
  <w:style w:type="character" w:customStyle="1" w:styleId="textrun">
    <w:name w:val="textrun"/>
    <w:basedOn w:val="DefaultParagraphFont"/>
    <w:rsid w:val="00945C45"/>
  </w:style>
  <w:style w:type="character" w:customStyle="1" w:styleId="normaltextrun">
    <w:name w:val="normaltextrun"/>
    <w:basedOn w:val="DefaultParagraphFont"/>
    <w:rsid w:val="00945C45"/>
  </w:style>
  <w:style w:type="character" w:customStyle="1" w:styleId="eop">
    <w:name w:val="eop"/>
    <w:basedOn w:val="DefaultParagraphFont"/>
    <w:rsid w:val="00945C45"/>
  </w:style>
  <w:style w:type="character" w:customStyle="1" w:styleId="pagebreakblob">
    <w:name w:val="pagebreakblob"/>
    <w:basedOn w:val="DefaultParagraphFont"/>
    <w:rsid w:val="00945C45"/>
  </w:style>
  <w:style w:type="character" w:customStyle="1" w:styleId="pagebreakborderspan">
    <w:name w:val="pagebreakborderspan"/>
    <w:basedOn w:val="DefaultParagraphFont"/>
    <w:rsid w:val="00945C45"/>
  </w:style>
  <w:style w:type="character" w:customStyle="1" w:styleId="pagebreaktextspan">
    <w:name w:val="pagebreaktextspan"/>
    <w:basedOn w:val="DefaultParagraphFont"/>
    <w:rsid w:val="00945C45"/>
  </w:style>
  <w:style w:type="paragraph" w:customStyle="1" w:styleId="pf1">
    <w:name w:val="pf1"/>
    <w:basedOn w:val="Normal"/>
    <w:rsid w:val="00945C45"/>
    <w:pPr>
      <w:spacing w:before="100" w:beforeAutospacing="1" w:after="100" w:afterAutospacing="1" w:line="240" w:lineRule="auto"/>
      <w:ind w:left="300"/>
    </w:pPr>
    <w:rPr>
      <w:rFonts w:ascii="Times New Roman" w:hAnsi="Times New Roman"/>
      <w:sz w:val="24"/>
      <w:szCs w:val="24"/>
      <w:lang w:eastAsia="en-AU"/>
    </w:rPr>
  </w:style>
  <w:style w:type="paragraph" w:customStyle="1" w:styleId="pf0">
    <w:name w:val="pf0"/>
    <w:basedOn w:val="Normal"/>
    <w:rsid w:val="00945C45"/>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945C45"/>
    <w:rPr>
      <w:rFonts w:ascii="Segoe UI" w:hAnsi="Segoe UI" w:cs="Segoe UI" w:hint="default"/>
      <w:sz w:val="18"/>
      <w:szCs w:val="18"/>
    </w:rPr>
  </w:style>
  <w:style w:type="paragraph" w:styleId="Caption">
    <w:name w:val="caption"/>
    <w:basedOn w:val="Normal"/>
    <w:next w:val="Normal"/>
    <w:uiPriority w:val="35"/>
    <w:unhideWhenUsed/>
    <w:qFormat/>
    <w:rsid w:val="00945C45"/>
    <w:pPr>
      <w:spacing w:after="200" w:line="240" w:lineRule="auto"/>
    </w:pPr>
    <w:rPr>
      <w:rFonts w:asciiTheme="minorHAnsi" w:eastAsiaTheme="minorEastAsia" w:hAnsiTheme="minorHAnsi" w:cstheme="minorBidi"/>
      <w:i/>
      <w:iCs/>
      <w:color w:val="1F497D" w:themeColor="text2"/>
      <w:kern w:val="2"/>
      <w:sz w:val="18"/>
      <w:szCs w:val="18"/>
      <w:lang w:eastAsia="en-AU"/>
      <w14:ligatures w14:val="standardContextual"/>
    </w:rPr>
  </w:style>
  <w:style w:type="paragraph" w:customStyle="1" w:styleId="Default">
    <w:name w:val="Default"/>
    <w:rsid w:val="00945C45"/>
    <w:pPr>
      <w:autoSpaceDE w:val="0"/>
      <w:autoSpaceDN w:val="0"/>
      <w:adjustRightInd w:val="0"/>
    </w:pPr>
    <w:rPr>
      <w:rFonts w:ascii="Arial" w:eastAsiaTheme="minorHAnsi" w:hAnsi="Arial" w:cs="Arial"/>
      <w:color w:val="000000"/>
      <w:sz w:val="24"/>
      <w:szCs w:val="24"/>
      <w14:ligatures w14:val="standardContextual"/>
    </w:rPr>
  </w:style>
  <w:style w:type="character" w:styleId="Emphasis">
    <w:name w:val="Emphasis"/>
    <w:basedOn w:val="DefaultParagraphFont"/>
    <w:uiPriority w:val="20"/>
    <w:qFormat/>
    <w:rsid w:val="00945C45"/>
    <w:rPr>
      <w:i/>
      <w:iCs/>
    </w:rPr>
  </w:style>
  <w:style w:type="paragraph" w:styleId="TableofFigures">
    <w:name w:val="table of figures"/>
    <w:basedOn w:val="Normal"/>
    <w:next w:val="Normal"/>
    <w:uiPriority w:val="99"/>
    <w:unhideWhenUsed/>
    <w:rsid w:val="00945C45"/>
    <w:pPr>
      <w:spacing w:after="0" w:line="259" w:lineRule="auto"/>
    </w:pPr>
    <w:rPr>
      <w:rFonts w:asciiTheme="minorHAnsi" w:eastAsiaTheme="minorEastAsia" w:hAnsiTheme="minorHAnsi" w:cstheme="minorBidi"/>
      <w:kern w:val="2"/>
      <w:sz w:val="22"/>
      <w:szCs w:val="22"/>
      <w:lang w:eastAsia="en-AU"/>
      <w14:ligatures w14:val="standardContextual"/>
    </w:rPr>
  </w:style>
  <w:style w:type="paragraph" w:styleId="Date">
    <w:name w:val="Date"/>
    <w:basedOn w:val="Normal"/>
    <w:next w:val="Normal"/>
    <w:link w:val="DateChar"/>
    <w:uiPriority w:val="99"/>
    <w:semiHidden/>
    <w:unhideWhenUsed/>
    <w:rsid w:val="007C519C"/>
  </w:style>
  <w:style w:type="character" w:customStyle="1" w:styleId="DateChar">
    <w:name w:val="Date Char"/>
    <w:basedOn w:val="DefaultParagraphFont"/>
    <w:link w:val="Date"/>
    <w:uiPriority w:val="99"/>
    <w:semiHidden/>
    <w:rsid w:val="007C519C"/>
    <w:rPr>
      <w:rFonts w:ascii="Arial" w:hAnsi="Arial"/>
      <w:sz w:val="21"/>
      <w:lang w:eastAsia="en-US"/>
    </w:rPr>
  </w:style>
  <w:style w:type="table" w:styleId="ListTable2-Accent1">
    <w:name w:val="List Table 2 Accent 1"/>
    <w:basedOn w:val="TableNormal"/>
    <w:uiPriority w:val="47"/>
    <w:rsid w:val="00B8798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044CD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4-Accent1">
    <w:name w:val="List Table 4 Accent 1"/>
    <w:basedOn w:val="TableNormal"/>
    <w:uiPriority w:val="49"/>
    <w:rsid w:val="0037746E"/>
    <w:tblPr>
      <w:tblStyleRowBandSize w:val="1"/>
      <w:tblStyleColBandSize w:val="1"/>
      <w:tblBorders>
        <w:top w:val="single" w:sz="4" w:space="0" w:color="F13F0F"/>
        <w:left w:val="single" w:sz="4" w:space="0" w:color="F13F0F"/>
        <w:bottom w:val="single" w:sz="4" w:space="0" w:color="F13F0F"/>
        <w:right w:val="single" w:sz="4" w:space="0" w:color="F13F0F"/>
        <w:insideH w:val="single" w:sz="4" w:space="0" w:color="F13F0F"/>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DD432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i-provider">
    <w:name w:val="ui-provider"/>
    <w:basedOn w:val="DefaultParagraphFont"/>
    <w:rsid w:val="00EE5672"/>
  </w:style>
  <w:style w:type="character" w:styleId="Mention">
    <w:name w:val="Mention"/>
    <w:basedOn w:val="DefaultParagraphFont"/>
    <w:uiPriority w:val="99"/>
    <w:unhideWhenUsed/>
    <w:rsid w:val="00885ACD"/>
    <w:rPr>
      <w:color w:val="2B579A"/>
      <w:shd w:val="clear" w:color="auto" w:fill="E1DFDD"/>
    </w:rPr>
  </w:style>
  <w:style w:type="paragraph" w:customStyle="1" w:styleId="Heading4TextHeadings">
    <w:name w:val="Heading 4 Text (Headings)"/>
    <w:basedOn w:val="Normal"/>
    <w:uiPriority w:val="99"/>
    <w:rsid w:val="004F4625"/>
    <w:pPr>
      <w:keepLines/>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270" w:lineRule="atLeast"/>
      <w:textAlignment w:val="center"/>
    </w:pPr>
    <w:rPr>
      <w:rFonts w:ascii="VIC SemiBold" w:eastAsiaTheme="minorHAnsi" w:hAnsi="VIC SemiBold" w:cs="VIC SemiBold"/>
      <w:b/>
      <w:bCs/>
      <w:color w:val="100149"/>
      <w:sz w:val="20"/>
      <w:lang w:val="en-GB"/>
      <w14:ligatures w14:val="standardContextual"/>
    </w:rPr>
  </w:style>
  <w:style w:type="table" w:styleId="ListTable2-Accent6">
    <w:name w:val="List Table 2 Accent 6"/>
    <w:basedOn w:val="TableNormal"/>
    <w:uiPriority w:val="47"/>
    <w:rsid w:val="00AB3FD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Style1">
    <w:name w:val="Style1"/>
    <w:basedOn w:val="TableNormal"/>
    <w:uiPriority w:val="99"/>
    <w:rsid w:val="00AB3FDE"/>
    <w:tblPr/>
    <w:tcPr>
      <w:shd w:val="clear" w:color="auto" w:fill="FDE6E0"/>
    </w:tcPr>
  </w:style>
  <w:style w:type="table" w:customStyle="1" w:styleId="CASSGP">
    <w:name w:val="CASSGP"/>
    <w:basedOn w:val="TableNormal"/>
    <w:uiPriority w:val="99"/>
    <w:rsid w:val="00967D32"/>
    <w:tblPr>
      <w:tblStyleRowBandSize w:val="1"/>
      <w:tblBorders>
        <w:top w:val="single" w:sz="4" w:space="0" w:color="201547"/>
        <w:left w:val="single" w:sz="4" w:space="0" w:color="201547"/>
        <w:bottom w:val="single" w:sz="4" w:space="0" w:color="201547"/>
        <w:right w:val="single" w:sz="4" w:space="0" w:color="201547"/>
        <w:insideH w:val="single" w:sz="4" w:space="0" w:color="201547"/>
        <w:insideV w:val="single" w:sz="4" w:space="0" w:color="201547"/>
      </w:tblBorders>
    </w:tblPr>
    <w:tblStylePr w:type="firstRow">
      <w:rPr>
        <w:rFonts w:ascii="Arial" w:hAnsi="Arial"/>
        <w:b/>
        <w:color w:val="FFFFFF" w:themeColor="background1"/>
      </w:rPr>
      <w:tblPr/>
      <w:tcPr>
        <w:shd w:val="clear" w:color="auto" w:fill="87189D"/>
      </w:tcPr>
    </w:tblStylePr>
    <w:tblStylePr w:type="band1Horz">
      <w:tblPr/>
      <w:tcPr>
        <w:shd w:val="clear" w:color="auto" w:fill="F5DEFA"/>
      </w:tcPr>
    </w:tblStylePr>
  </w:style>
  <w:style w:type="paragraph" w:customStyle="1" w:styleId="Tablecolheadwhite">
    <w:name w:val="Table col head white"/>
    <w:basedOn w:val="Tablecolhead"/>
    <w:uiPriority w:val="11"/>
    <w:rsid w:val="00E0570C"/>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97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382969">
      <w:bodyDiv w:val="1"/>
      <w:marLeft w:val="0"/>
      <w:marRight w:val="0"/>
      <w:marTop w:val="0"/>
      <w:marBottom w:val="0"/>
      <w:divBdr>
        <w:top w:val="none" w:sz="0" w:space="0" w:color="auto"/>
        <w:left w:val="none" w:sz="0" w:space="0" w:color="auto"/>
        <w:bottom w:val="none" w:sz="0" w:space="0" w:color="auto"/>
        <w:right w:val="none" w:sz="0" w:space="0" w:color="auto"/>
      </w:divBdr>
    </w:div>
    <w:div w:id="382871810">
      <w:bodyDiv w:val="1"/>
      <w:marLeft w:val="0"/>
      <w:marRight w:val="0"/>
      <w:marTop w:val="0"/>
      <w:marBottom w:val="0"/>
      <w:divBdr>
        <w:top w:val="none" w:sz="0" w:space="0" w:color="auto"/>
        <w:left w:val="none" w:sz="0" w:space="0" w:color="auto"/>
        <w:bottom w:val="none" w:sz="0" w:space="0" w:color="auto"/>
        <w:right w:val="none" w:sz="0" w:space="0" w:color="auto"/>
      </w:divBdr>
    </w:div>
    <w:div w:id="746456851">
      <w:bodyDiv w:val="1"/>
      <w:marLeft w:val="0"/>
      <w:marRight w:val="0"/>
      <w:marTop w:val="0"/>
      <w:marBottom w:val="0"/>
      <w:divBdr>
        <w:top w:val="none" w:sz="0" w:space="0" w:color="auto"/>
        <w:left w:val="none" w:sz="0" w:space="0" w:color="auto"/>
        <w:bottom w:val="none" w:sz="0" w:space="0" w:color="auto"/>
        <w:right w:val="none" w:sz="0" w:space="0" w:color="auto"/>
      </w:divBdr>
    </w:div>
    <w:div w:id="81541328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2941927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ccesshub.gov.au/about-the-nrs/nrs-call-numbers-and-links" TargetMode="External"/><Relationship Id="rId26" Type="http://schemas.openxmlformats.org/officeDocument/2006/relationships/image" Target="media/image7.jpeg"/><Relationship Id="rId39" Type="http://schemas.openxmlformats.org/officeDocument/2006/relationships/footer" Target="footer6.xml"/><Relationship Id="rId21" Type="http://schemas.openxmlformats.org/officeDocument/2006/relationships/image" Target="media/image3.png"/><Relationship Id="rId34" Type="http://schemas.openxmlformats.org/officeDocument/2006/relationships/hyperlink" Target="https://www.vic.gov.au/family-violence-capability-frameworks" TargetMode="External"/><Relationship Id="rId42" Type="http://schemas.openxmlformats.org/officeDocument/2006/relationships/hyperlink" Target="https://www.vic.gov.au/family-violence-capability-frameworks"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chiavic.com.au/resources/capacity-building/" TargetMode="External"/><Relationship Id="rId11" Type="http://schemas.openxmlformats.org/officeDocument/2006/relationships/image" Target="media/image1.png"/><Relationship Id="rId24" Type="http://schemas.openxmlformats.org/officeDocument/2006/relationships/image" Target="media/image5.emf"/><Relationship Id="rId32" Type="http://schemas.openxmlformats.org/officeDocument/2006/relationships/hyperlink" Target="https://www.cpmanual.vic.gov.au/our-workforce/learning-and-development/child-protection-capability-framework" TargetMode="External"/><Relationship Id="rId37" Type="http://schemas.openxmlformats.org/officeDocument/2006/relationships/footer" Target="footer5.xml"/><Relationship Id="rId40" Type="http://schemas.openxmlformats.org/officeDocument/2006/relationships/hyperlink" Target="https://www.cpmanual.vic.gov.au/our-workforce/learning-and-development/child-protection-capability-framework" TargetMode="External"/><Relationship Id="rId45" Type="http://schemas.openxmlformats.org/officeDocument/2006/relationships/hyperlink" Target="https://chiavic.com.au/victorian-community-housing-workforce-strategy-2023-2025/"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jpeg"/><Relationship Id="rId28" Type="http://schemas.openxmlformats.org/officeDocument/2006/relationships/hyperlink" Target="https://www.cfecfw.asn.au/sector-capability/" TargetMode="External"/><Relationship Id="rId36" Type="http://schemas.openxmlformats.org/officeDocument/2006/relationships/footer" Target="footer4.xml"/><Relationship Id="rId49"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accesshub.gov.au/about-the-nrs" TargetMode="External"/><Relationship Id="rId31" Type="http://schemas.openxmlformats.org/officeDocument/2006/relationships/hyperlink" Target="https://workforcecapability.ndiscommission.gov.au/framework" TargetMode="External"/><Relationship Id="rId44" Type="http://schemas.openxmlformats.org/officeDocument/2006/relationships/hyperlink" Target="https://chp.org.au/publication/specialist-homelessness-sector-workforce-capability-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creativecommons.org/licenses/by/4.0/" TargetMode="External"/><Relationship Id="rId27" Type="http://schemas.openxmlformats.org/officeDocument/2006/relationships/header" Target="header2.xml"/><Relationship Id="rId30" Type="http://schemas.openxmlformats.org/officeDocument/2006/relationships/hyperlink" Target="https://chp.org.au/publication/specialist-homelessness-sector-workforce-capability-framework/" TargetMode="External"/><Relationship Id="rId35" Type="http://schemas.openxmlformats.org/officeDocument/2006/relationships/header" Target="header3.xml"/><Relationship Id="rId43" Type="http://schemas.openxmlformats.org/officeDocument/2006/relationships/hyperlink" Target="https://www.vic.gov.au/family-violence-capability-frameworks"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CASSgraduateprogram@dffh.vic.gov.au" TargetMode="External"/><Relationship Id="rId25" Type="http://schemas.openxmlformats.org/officeDocument/2006/relationships/image" Target="media/image6.emf"/><Relationship Id="rId33" Type="http://schemas.openxmlformats.org/officeDocument/2006/relationships/hyperlink" Target="https://www.vic.gov.au/family-violence-capability-frameworks" TargetMode="External"/><Relationship Id="rId38" Type="http://schemas.openxmlformats.org/officeDocument/2006/relationships/header" Target="header4.xml"/><Relationship Id="rId46" Type="http://schemas.openxmlformats.org/officeDocument/2006/relationships/hyperlink" Target="https://workforcecapability.ndiscommission.gov.au/framework" TargetMode="External"/><Relationship Id="rId20" Type="http://schemas.openxmlformats.org/officeDocument/2006/relationships/hyperlink" Target="https://creativecommons.org/licenses/by/4.0/" TargetMode="External"/><Relationship Id="rId41" Type="http://schemas.openxmlformats.org/officeDocument/2006/relationships/hyperlink" Target="https://www.cfecfw.asn.au/sector-capability/"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support-for-social-workers.education.gov.uk/asye?preferenceSe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4183F706BAD84588B4D4D2E3F0BE4A" ma:contentTypeVersion="13" ma:contentTypeDescription="Create a new document." ma:contentTypeScope="" ma:versionID="111f340e08aacb1d410e8a9a808cc368">
  <xsd:schema xmlns:xsd="http://www.w3.org/2001/XMLSchema" xmlns:xs="http://www.w3.org/2001/XMLSchema" xmlns:p="http://schemas.microsoft.com/office/2006/metadata/properties" xmlns:ns2="8021eba6-7eb1-4a9e-ae0c-c94b9a04e513" xmlns:ns3="fdba196f-8661-49ca-9cbe-4903eec409da" targetNamespace="http://schemas.microsoft.com/office/2006/metadata/properties" ma:root="true" ma:fieldsID="69a2f71c90954babd2b2638795bf0120" ns2:_="" ns3:_="">
    <xsd:import namespace="8021eba6-7eb1-4a9e-ae0c-c94b9a04e513"/>
    <xsd:import namespace="fdba196f-8661-49ca-9cbe-4903eec40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1eba6-7eb1-4a9e-ae0c-c94b9a04e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a196f-8661-49ca-9cbe-4903eec409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44bbaf-ac2f-49b2-9739-aa6485cd6b41}" ma:internalName="TaxCatchAll" ma:showField="CatchAllData" ma:web="fdba196f-8661-49ca-9cbe-4903eec40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21eba6-7eb1-4a9e-ae0c-c94b9a04e513">
      <Terms xmlns="http://schemas.microsoft.com/office/infopath/2007/PartnerControls"/>
    </lcf76f155ced4ddcb4097134ff3c332f>
    <TaxCatchAll xmlns="fdba196f-8661-49ca-9cbe-4903eec409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0B050-58E2-4082-9E94-06A8D5C97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1eba6-7eb1-4a9e-ae0c-c94b9a04e513"/>
    <ds:schemaRef ds:uri="fdba196f-8661-49ca-9cbe-4903eec40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021eba6-7eb1-4a9e-ae0c-c94b9a04e513"/>
    <ds:schemaRef ds:uri="fdba196f-8661-49ca-9cbe-4903eec409da"/>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9440</Words>
  <Characters>53814</Characters>
  <Application>Microsoft Office Word</Application>
  <DocSecurity>0</DocSecurity>
  <Lines>448</Lines>
  <Paragraphs>126</Paragraphs>
  <ScaleCrop>false</ScaleCrop>
  <Company>Victoria State Government, Department of Families, Fairness and Housing</Company>
  <LinksUpToDate>false</LinksUpToDate>
  <CharactersWithSpaces>63128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and Social Services Graduate Program - Professional Learning Framework</dc:title>
  <dc:subject>Community and Social Services Graduate Program</dc:subject>
  <dc:creator>System Reform, Workforce &amp; Engagement Division</dc:creator>
  <cp:keywords>community and social services graduate program, professional learning framework</cp:keywords>
  <cp:lastPrinted>2024-10-11T21:21:00Z</cp:lastPrinted>
  <dcterms:created xsi:type="dcterms:W3CDTF">2026-02-19T04:47:00Z</dcterms:created>
  <dcterms:modified xsi:type="dcterms:W3CDTF">2026-02-19T04:47:00Z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0x0101000A4183F706BAD84588B4D4D2E3F0BE4A</vt:lpwstr>
  </property>
  <property fmtid="{D5CDD505-2E9C-101B-9397-08002B2CF9AE}" pid="4" name="version">
    <vt:lpwstr>2022v1 15032022</vt:lpwstr>
  </property>
  <property fmtid="{D5CDD505-2E9C-101B-9397-08002B2CF9AE}" pid="5" name="MediaServiceImageTags">
    <vt:lpwstr/>
  </property>
  <property fmtid="{D5CDD505-2E9C-101B-9397-08002B2CF9AE}" pid="6" name="ClassificationContentMarkingFooterShapeIds">
    <vt:lpwstr>3a4bdade,4347332b,5cc32877,150ec40b,169da747,660b8221,29d9b705,5a9202ee,41958e98,5b5432a</vt:lpwstr>
  </property>
  <property fmtid="{D5CDD505-2E9C-101B-9397-08002B2CF9AE}" pid="7" name="ClassificationContentMarkingFooterFontProps">
    <vt:lpwstr>#000000,10,Arial Black</vt:lpwstr>
  </property>
  <property fmtid="{D5CDD505-2E9C-101B-9397-08002B2CF9AE}" pid="8" name="ClassificationContentMarkingFooterText">
    <vt:lpwstr>OFFICIAL</vt:lpwstr>
  </property>
  <property fmtid="{D5CDD505-2E9C-101B-9397-08002B2CF9AE}" pid="9" name="MSIP_Label_43e64453-338c-4f93-8a4d-0039a0a41f2a_Enabled">
    <vt:lpwstr>true</vt:lpwstr>
  </property>
  <property fmtid="{D5CDD505-2E9C-101B-9397-08002B2CF9AE}" pid="10" name="MSIP_Label_43e64453-338c-4f93-8a4d-0039a0a41f2a_SetDate">
    <vt:lpwstr>2026-01-20T00:41:15Z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3bb8999b-fdc3-4952-a93d-2e866c1de337</vt:lpwstr>
  </property>
  <property fmtid="{D5CDD505-2E9C-101B-9397-08002B2CF9AE}" pid="15" name="MSIP_Label_43e64453-338c-4f93-8a4d-0039a0a41f2a_ContentBits">
    <vt:lpwstr>2</vt:lpwstr>
  </property>
  <property fmtid="{D5CDD505-2E9C-101B-9397-08002B2CF9AE}" pid="16" name="MSIP_Label_43e64453-338c-4f93-8a4d-0039a0a41f2a_Tag">
    <vt:lpwstr>10, 0, 1, 1</vt:lpwstr>
  </property>
</Properties>
</file>